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95E94C">
      <w:pPr>
        <w:rPr>
          <w:rFonts w:hint="eastAsia" w:ascii="Times New Roman" w:hAnsi="Times New Roman"/>
          <w:sz w:val="24"/>
          <w:szCs w:val="28"/>
        </w:rPr>
      </w:pPr>
      <w:r>
        <w:rPr>
          <w:rFonts w:ascii="Times New Roman" w:hAnsi="Times New Roman"/>
          <w:b/>
          <w:bCs/>
          <w:sz w:val="24"/>
          <w:szCs w:val="28"/>
        </w:rPr>
        <w:t>E</w:t>
      </w:r>
      <w:r>
        <w:rPr>
          <w:rFonts w:hint="eastAsia" w:ascii="Times New Roman" w:hAnsi="Times New Roman"/>
          <w:b/>
          <w:bCs/>
          <w:sz w:val="24"/>
          <w:szCs w:val="28"/>
        </w:rPr>
        <w:t>f</w:t>
      </w:r>
      <w:r>
        <w:rPr>
          <w:rFonts w:ascii="Times New Roman" w:hAnsi="Times New Roman"/>
          <w:b/>
          <w:bCs/>
          <w:sz w:val="24"/>
          <w:szCs w:val="28"/>
        </w:rPr>
        <w:t>fect</w:t>
      </w:r>
      <w:r>
        <w:rPr>
          <w:rFonts w:hint="eastAsia" w:ascii="Times New Roman" w:hAnsi="Times New Roman"/>
          <w:b/>
          <w:bCs/>
          <w:sz w:val="24"/>
          <w:szCs w:val="28"/>
        </w:rPr>
        <w:t xml:space="preserve"> </w:t>
      </w:r>
      <w:r>
        <w:rPr>
          <w:rFonts w:ascii="Times New Roman" w:hAnsi="Times New Roman"/>
          <w:b/>
          <w:bCs/>
          <w:sz w:val="24"/>
          <w:szCs w:val="28"/>
        </w:rPr>
        <w:t xml:space="preserve">of </w:t>
      </w:r>
      <w:r>
        <w:rPr>
          <w:rFonts w:hint="eastAsia" w:ascii="Times New Roman" w:hAnsi="Times New Roman"/>
          <w:b/>
          <w:bCs/>
          <w:sz w:val="24"/>
          <w:szCs w:val="28"/>
        </w:rPr>
        <w:t>the</w:t>
      </w:r>
      <w:r>
        <w:rPr>
          <w:rFonts w:ascii="Times New Roman" w:hAnsi="Times New Roman"/>
          <w:b/>
          <w:bCs/>
          <w:sz w:val="24"/>
          <w:szCs w:val="28"/>
        </w:rPr>
        <w:t xml:space="preserve"> BOPPPS-PBL</w:t>
      </w:r>
      <w:r>
        <w:rPr>
          <w:rFonts w:hint="eastAsia" w:ascii="Times New Roman" w:hAnsi="Times New Roman"/>
          <w:b/>
          <w:bCs/>
          <w:sz w:val="24"/>
          <w:szCs w:val="28"/>
        </w:rPr>
        <w:t xml:space="preserve"> </w:t>
      </w:r>
      <w:bookmarkStart w:id="0" w:name="OLE_LINK29"/>
      <w:r>
        <w:rPr>
          <w:rFonts w:ascii="Times New Roman" w:hAnsi="Times New Roman"/>
          <w:b/>
          <w:bCs/>
          <w:sz w:val="24"/>
          <w:szCs w:val="28"/>
        </w:rPr>
        <w:t>teaching m</w:t>
      </w:r>
      <w:r>
        <w:rPr>
          <w:rFonts w:hint="eastAsia" w:ascii="Times New Roman" w:hAnsi="Times New Roman"/>
          <w:b/>
          <w:bCs/>
          <w:sz w:val="24"/>
          <w:szCs w:val="28"/>
        </w:rPr>
        <w:t>odel</w:t>
      </w:r>
      <w:bookmarkEnd w:id="0"/>
      <w:r>
        <w:rPr>
          <w:rFonts w:ascii="Times New Roman" w:hAnsi="Times New Roman"/>
          <w:b/>
          <w:bCs/>
          <w:sz w:val="24"/>
          <w:szCs w:val="28"/>
        </w:rPr>
        <w:t xml:space="preserve"> on </w:t>
      </w:r>
      <w:r>
        <w:rPr>
          <w:rFonts w:hint="eastAsia" w:ascii="Times New Roman" w:hAnsi="Times New Roman"/>
          <w:b/>
          <w:bCs/>
          <w:sz w:val="24"/>
          <w:szCs w:val="28"/>
        </w:rPr>
        <w:t>c</w:t>
      </w:r>
      <w:r>
        <w:rPr>
          <w:rFonts w:ascii="Times New Roman" w:hAnsi="Times New Roman"/>
          <w:b/>
          <w:bCs/>
          <w:sz w:val="24"/>
          <w:szCs w:val="28"/>
        </w:rPr>
        <w:t>linical</w:t>
      </w:r>
      <w:r>
        <w:rPr>
          <w:rFonts w:hint="eastAsia" w:ascii="Times New Roman" w:hAnsi="Times New Roman"/>
          <w:b/>
          <w:bCs/>
          <w:sz w:val="24"/>
          <w:szCs w:val="28"/>
        </w:rPr>
        <w:t xml:space="preserve"> pharmacotherapeutics</w:t>
      </w:r>
      <w:r>
        <w:rPr>
          <w:rFonts w:ascii="Times New Roman" w:hAnsi="Times New Roman"/>
          <w:b/>
          <w:bCs/>
          <w:sz w:val="24"/>
          <w:szCs w:val="28"/>
        </w:rPr>
        <w:t xml:space="preserve"> education</w:t>
      </w:r>
      <w:r>
        <w:rPr>
          <w:rFonts w:hint="eastAsia" w:ascii="Times New Roman" w:hAnsi="Times New Roman"/>
          <w:b/>
          <w:bCs/>
          <w:sz w:val="24"/>
          <w:szCs w:val="28"/>
        </w:rPr>
        <w:t xml:space="preserve"> </w:t>
      </w:r>
      <w:r>
        <w:rPr>
          <w:rFonts w:ascii="Times New Roman" w:hAnsi="Times New Roman"/>
          <w:b/>
          <w:bCs/>
          <w:sz w:val="24"/>
          <w:szCs w:val="28"/>
        </w:rPr>
        <w:t>for</w:t>
      </w:r>
      <w:r>
        <w:rPr>
          <w:rFonts w:hint="eastAsia" w:ascii="Times New Roman" w:hAnsi="Times New Roman"/>
          <w:b/>
          <w:bCs/>
          <w:sz w:val="24"/>
          <w:szCs w:val="28"/>
          <w:lang w:val="en-US" w:eastAsia="zh-CN"/>
        </w:rPr>
        <w:t xml:space="preserve"> </w:t>
      </w:r>
      <w:r>
        <w:rPr>
          <w:rFonts w:hint="eastAsia" w:ascii="Times New Roman" w:hAnsi="Times New Roman"/>
          <w:b/>
          <w:bCs/>
          <w:sz w:val="24"/>
          <w:szCs w:val="28"/>
        </w:rPr>
        <w:t>pharmacy</w:t>
      </w:r>
      <w:r>
        <w:rPr>
          <w:rFonts w:ascii="Times New Roman" w:hAnsi="Times New Roman"/>
          <w:b/>
          <w:bCs/>
          <w:sz w:val="24"/>
          <w:szCs w:val="28"/>
        </w:rPr>
        <w:t xml:space="preserve"> undergraduates in </w:t>
      </w:r>
      <w:r>
        <w:rPr>
          <w:rFonts w:hint="eastAsia" w:ascii="Times New Roman" w:hAnsi="Times New Roman"/>
          <w:b/>
          <w:bCs/>
          <w:sz w:val="24"/>
          <w:szCs w:val="28"/>
        </w:rPr>
        <w:t>Central</w:t>
      </w:r>
      <w:r>
        <w:rPr>
          <w:rFonts w:ascii="Times New Roman" w:hAnsi="Times New Roman"/>
          <w:b/>
          <w:bCs/>
          <w:sz w:val="24"/>
          <w:szCs w:val="28"/>
        </w:rPr>
        <w:t xml:space="preserve"> China</w:t>
      </w:r>
      <w:r>
        <w:rPr>
          <w:rFonts w:hint="eastAsia" w:ascii="Times New Roman" w:hAnsi="Times New Roman"/>
          <w:b/>
          <w:bCs/>
          <w:sz w:val="24"/>
          <w:szCs w:val="28"/>
        </w:rPr>
        <w:t xml:space="preserve">: a non-randomized </w:t>
      </w:r>
      <w:bookmarkStart w:id="1" w:name="_GoBack"/>
      <w:bookmarkEnd w:id="1"/>
      <w:r>
        <w:rPr>
          <w:rFonts w:hint="eastAsia" w:ascii="Times New Roman" w:hAnsi="Times New Roman"/>
          <w:sz w:val="24"/>
          <w:szCs w:val="28"/>
        </w:rPr>
        <w:t>Fangying Si, Xue Ying, Xiaojing Lu, Kelei Guan</w:t>
      </w:r>
    </w:p>
    <w:p w14:paraId="2F424748">
      <w:pPr>
        <w:spacing w:line="480" w:lineRule="auto"/>
        <w:ind w:firstLine="0" w:firstLineChars="0"/>
        <w:rPr>
          <w:rFonts w:hint="eastAsia" w:ascii="Times New Roman" w:hAnsi="Times New Roman"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sz w:val="24"/>
          <w:szCs w:val="28"/>
        </w:rPr>
        <w:t>Supplemental</w:t>
      </w:r>
      <w:r>
        <w:rPr>
          <w:rFonts w:hint="eastAsia" w:ascii="Times New Roman" w:hAnsi="Times New Roman"/>
          <w:sz w:val="24"/>
          <w:szCs w:val="28"/>
          <w:lang w:val="en-US" w:eastAsia="zh-CN"/>
        </w:rPr>
        <w:t xml:space="preserve"> </w:t>
      </w:r>
      <w:r>
        <w:rPr>
          <w:rFonts w:hint="eastAsia" w:ascii="Times New Roman" w:hAnsi="Times New Roman"/>
          <w:b w:val="0"/>
          <w:bCs w:val="0"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 xml:space="preserve">Table </w:t>
      </w:r>
      <w:r>
        <w:rPr>
          <w:rFonts w:hint="eastAsia" w:ascii="Times New Roman" w:hAnsi="Times New Roman"/>
          <w:b w:val="0"/>
          <w:bCs w:val="0"/>
          <w:color w:val="000000" w:themeColor="text1"/>
          <w:sz w:val="24"/>
          <w:szCs w:val="28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Times New Roman" w:hAnsi="Times New Roman"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 xml:space="preserve"> </w:t>
      </w:r>
    </w:p>
    <w:p w14:paraId="1B37402E">
      <w:pPr>
        <w:spacing w:line="480" w:lineRule="auto"/>
        <w:ind w:firstLine="0" w:firstLineChars="0"/>
        <w:rPr>
          <w:rFonts w:ascii="Times New Roman" w:hAnsi="Times New Roman"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sz w:val="24"/>
          <w:szCs w:val="28"/>
        </w:rPr>
        <w:t xml:space="preserve">Design of </w:t>
      </w:r>
      <w:r>
        <w:rPr>
          <w:rFonts w:ascii="Times New Roman" w:hAnsi="Times New Roman"/>
          <w:sz w:val="24"/>
          <w:szCs w:val="28"/>
        </w:rPr>
        <w:t>“</w:t>
      </w:r>
      <w:r>
        <w:rPr>
          <w:rFonts w:hint="eastAsia" w:ascii="Times New Roman" w:hAnsi="Times New Roman"/>
          <w:sz w:val="24"/>
          <w:szCs w:val="28"/>
        </w:rPr>
        <w:t>drug treatment of common resistant bacterial infections</w:t>
      </w:r>
      <w:r>
        <w:rPr>
          <w:rFonts w:ascii="Times New Roman" w:hAnsi="Times New Roman"/>
          <w:sz w:val="24"/>
          <w:szCs w:val="28"/>
        </w:rPr>
        <w:t>”</w:t>
      </w:r>
      <w:r>
        <w:rPr>
          <w:rFonts w:hint="eastAsia" w:ascii="Times New Roman" w:hAnsi="Times New Roman"/>
          <w:sz w:val="24"/>
          <w:szCs w:val="28"/>
        </w:rPr>
        <w:t xml:space="preserve"> based on </w:t>
      </w:r>
      <w:r>
        <w:rPr>
          <w:rFonts w:ascii="Times New Roman" w:hAnsi="Times New Roman"/>
          <w:sz w:val="24"/>
          <w:szCs w:val="28"/>
        </w:rPr>
        <w:t>BOPPPS</w:t>
      </w:r>
      <w:r>
        <w:rPr>
          <w:rFonts w:hint="eastAsia" w:ascii="Times New Roman" w:hAnsi="Times New Roman"/>
          <w:sz w:val="24"/>
          <w:szCs w:val="28"/>
        </w:rPr>
        <w:t>-P</w:t>
      </w:r>
      <w:r>
        <w:rPr>
          <w:rFonts w:ascii="Times New Roman" w:hAnsi="Times New Roman"/>
          <w:sz w:val="24"/>
          <w:szCs w:val="28"/>
        </w:rPr>
        <w:t>BL</w:t>
      </w:r>
      <w:r>
        <w:rPr>
          <w:rFonts w:hint="eastAsia" w:ascii="Times New Roman" w:hAnsi="Times New Roman"/>
          <w:sz w:val="24"/>
          <w:szCs w:val="28"/>
        </w:rPr>
        <w:t xml:space="preserve"> model </w:t>
      </w:r>
    </w:p>
    <w:tbl>
      <w:tblPr>
        <w:tblStyle w:val="2"/>
        <w:tblW w:w="1120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0"/>
        <w:gridCol w:w="3920"/>
        <w:gridCol w:w="5140"/>
      </w:tblGrid>
      <w:tr w14:paraId="76FE23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14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4B7E38DD">
            <w:pPr>
              <w:widowControl/>
              <w:spacing w:line="480" w:lineRule="auto"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14:ligatures w14:val="none"/>
              </w:rPr>
              <w:t>BOPPPS</w:t>
            </w:r>
          </w:p>
        </w:tc>
        <w:tc>
          <w:tcPr>
            <w:tcW w:w="39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bottom"/>
          </w:tcPr>
          <w:p w14:paraId="44584689">
            <w:pPr>
              <w:widowControl/>
              <w:spacing w:line="480" w:lineRule="auto"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14:ligatures w14:val="none"/>
              </w:rPr>
              <w:t>Method and Purpose</w:t>
            </w:r>
          </w:p>
        </w:tc>
        <w:tc>
          <w:tcPr>
            <w:tcW w:w="514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bottom"/>
          </w:tcPr>
          <w:p w14:paraId="0996BDDB">
            <w:pPr>
              <w:widowControl/>
              <w:spacing w:line="480" w:lineRule="auto"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14:ligatures w14:val="none"/>
              </w:rPr>
              <w:t>Teaching implementation and technical route</w:t>
            </w:r>
          </w:p>
        </w:tc>
      </w:tr>
      <w:tr w14:paraId="2FCCC7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5" w:hRule="atLeast"/>
          <w:jc w:val="center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B7B246">
            <w:pPr>
              <w:widowControl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Bridge in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</w:tcPr>
          <w:p w14:paraId="383EE998">
            <w:pPr>
              <w:widowControl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 xml:space="preserve">Outline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 xml:space="preserve">the 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content of the course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 xml:space="preserve"> by 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presenting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 xml:space="preserve"> cases, the latest data 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 xml:space="preserve">and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current events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 xml:space="preserve"> to draw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 xml:space="preserve">students’ attention and 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motivate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 xml:space="preserve"> students’ curiosity in learning.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</w:tcPr>
          <w:p w14:paraId="60942E9B">
            <w:pPr>
              <w:widowControl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Mr Liu, 56 years old, diagnosed with intestinal malignancy, prepared for partial resection of the intestine, 3 days before surgery, cefazoxime, 1g, q8h, ivgtt, was given for prophylactic anti-infection, after the surgery, body temperature of the patient was 39.3℃, chest radiographs showed infiltration,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moxifloxacin, 0.4g, bid,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 xml:space="preserve">ivgtt, was given as empirical treatment ,two days later, bacterial culture of alveolar lavage fluid showed bacteriological diagnosis of MRSA, then the antibacterial drug was changed to oxacillin. </w:t>
            </w:r>
          </w:p>
        </w:tc>
      </w:tr>
      <w:tr w14:paraId="123E07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5" w:hRule="atLeast"/>
          <w:jc w:val="center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1229DF">
            <w:pPr>
              <w:widowControl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Objective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</w:tcPr>
          <w:p w14:paraId="79DD426D">
            <w:pPr>
              <w:widowControl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 xml:space="preserve">Introduce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 xml:space="preserve">learning objectives 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in order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 xml:space="preserve"> that the students can 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grasp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 xml:space="preserve"> the purpose and significance of course.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</w:tcPr>
          <w:p w14:paraId="384A3773">
            <w:pPr>
              <w:widowControl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Knowledge objective: To formulate appropriate antibacterial regimen according to the parameters, and grasp therapeutic drugs of common resistant bacterial infections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.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 xml:space="preserve">                                                                                                           Ability objective: Establish clinical thinking ability and professional quality. Quality objective: Realize the severity of antibiotics abuse and importance of rational use of antibiotics.</w:t>
            </w:r>
          </w:p>
        </w:tc>
      </w:tr>
      <w:tr w14:paraId="7A89FF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5" w:hRule="atLeast"/>
          <w:jc w:val="center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ABDF1B">
            <w:pPr>
              <w:widowControl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Pre-assessment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</w:tcPr>
          <w:p w14:paraId="0C9AF47D">
            <w:pPr>
              <w:widowControl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 xml:space="preserve">Design 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 xml:space="preserve">no less than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 xml:space="preserve">3 questions to 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 xml:space="preserve">evaluate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the students’ knowledge reserve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</w:tcPr>
          <w:p w14:paraId="2FA2259F">
            <w:pPr>
              <w:widowControl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1. What is the evidence and course of preventive use of antibiotics?                                                                                                             2. What is the evidence and course of therapeutic use of antibiotics?                                                                      3. What are the common drug-resistant bacteria currently? What are their therapeutic drugs?</w:t>
            </w:r>
          </w:p>
        </w:tc>
      </w:tr>
      <w:tr w14:paraId="17B3E5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8" w:hRule="atLeast"/>
          <w:jc w:val="center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2760C6">
            <w:pPr>
              <w:widowControl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Participatory Learning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</w:tcPr>
          <w:p w14:paraId="50B844CD">
            <w:pPr>
              <w:widowControl/>
              <w:spacing w:line="480" w:lineRule="auto"/>
              <w:jc w:val="left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 xml:space="preserve">Construct knowledge points based on “problems”, and promote students’ subjective actively thinking, and improve student </w:t>
            </w:r>
            <w:r>
              <w:rPr>
                <w:rFonts w:hint="eastAsia" w:ascii="Times New Roman" w:hAnsi="Times New Roman" w:eastAsia="等线" w:cs="Times New Roman"/>
                <w:kern w:val="0"/>
                <w:sz w:val="22"/>
                <w14:ligatures w14:val="none"/>
              </w:rPr>
              <w:t>engagement</w:t>
            </w: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 xml:space="preserve"> in </w:t>
            </w:r>
            <w:r>
              <w:rPr>
                <w:rFonts w:hint="eastAsia" w:ascii="Times New Roman" w:hAnsi="Times New Roman" w:eastAsia="等线" w:cs="Times New Roman"/>
                <w:kern w:val="0"/>
                <w:sz w:val="22"/>
                <w14:ligatures w14:val="none"/>
              </w:rPr>
              <w:t>class</w:t>
            </w: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.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</w:tcPr>
          <w:p w14:paraId="48344124">
            <w:pPr>
              <w:widowControl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 xml:space="preserve">Students were 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 xml:space="preserve">grouped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 xml:space="preserve">into eight 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 xml:space="preserve">teams, with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 xml:space="preserve">each 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 xml:space="preserve">receiving several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randomly assigned questions. Group discussion, student presentation in any form (PowerPoint, video, role play, scenario simulation, standardized patient, etc.), teachers comment and teacher-student interaction were conducted.</w:t>
            </w:r>
          </w:p>
        </w:tc>
      </w:tr>
      <w:tr w14:paraId="3036A4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8" w:hRule="atLeast"/>
          <w:jc w:val="center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7E473A">
            <w:pPr>
              <w:widowControl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Post-assessment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</w:tcPr>
          <w:p w14:paraId="667F7D2B">
            <w:pPr>
              <w:widowControl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Gain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 xml:space="preserve"> a comprehensive understanding of 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 xml:space="preserve">both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students’ knowledge mastery and teach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ing effectiveness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.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</w:tcPr>
          <w:p w14:paraId="43F1D9A0">
            <w:pPr>
              <w:widowControl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A time-limited quiz comprising five multiple-choice questions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 xml:space="preserve">was 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 xml:space="preserve">allocated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through WeChat. Based on the outcomes, teachers adjusted the teaching design.</w:t>
            </w:r>
          </w:p>
        </w:tc>
      </w:tr>
      <w:tr w14:paraId="28FC4F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8" w:hRule="atLeast"/>
          <w:jc w:val="center"/>
        </w:trPr>
        <w:tc>
          <w:tcPr>
            <w:tcW w:w="214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B4D854B">
            <w:pPr>
              <w:widowControl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Summary</w:t>
            </w:r>
          </w:p>
        </w:tc>
        <w:tc>
          <w:tcPr>
            <w:tcW w:w="392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27FF567B">
            <w:pPr>
              <w:widowControl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Analyze and summarize the knowledge system</w:t>
            </w:r>
          </w:p>
        </w:tc>
        <w:tc>
          <w:tcPr>
            <w:tcW w:w="514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09A5640F">
            <w:pPr>
              <w:widowControl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 xml:space="preserve">1. Students were led to summarize the knowledge they learned and 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 xml:space="preserve">construct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 xml:space="preserve">a 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 xml:space="preserve">systematic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knowledge framework.                                                                             2. Teacher summarized the course content through flow chart, emphasized the key and difficult knowledge points.</w:t>
            </w:r>
          </w:p>
        </w:tc>
      </w:tr>
    </w:tbl>
    <w:p w14:paraId="5DBD1C40">
      <w:pPr>
        <w:rPr>
          <w:rFonts w:hint="eastAsia" w:ascii="Times New Roman" w:hAnsi="Times New Roman"/>
          <w:sz w:val="24"/>
          <w:szCs w:val="28"/>
        </w:rPr>
      </w:pPr>
    </w:p>
    <w:p w14:paraId="2F6449D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473577"/>
    <w:rsid w:val="380D00E1"/>
    <w:rsid w:val="57B05A90"/>
    <w:rsid w:val="5FC92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387</Words>
  <Characters>2461</Characters>
  <Lines>0</Lines>
  <Paragraphs>0</Paragraphs>
  <TotalTime>0</TotalTime>
  <ScaleCrop>false</ScaleCrop>
  <LinksUpToDate>false</LinksUpToDate>
  <CharactersWithSpaces>3185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2026-06-07T06:55:00Z</dcterms:created>
  <dc:creator>fangy</dc:creator>
  <cp:lastModifiedBy>司方莹</cp:lastModifiedBy>
  <dcterms:modified xsi:type="dcterms:W3CDTF">2026-07-28T01:18:07Z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eyJoZGlkIjoiMmY0MmZlNTVhMzRlNmFmNDMzNjlmMmQ1OTYyNzU0MjciLCJ1c2VySWQiOiIxNzE2NzE5MTU1In0=</vt:lpwstr>
  </property>
  <property fmtid="{D5CDD505-2E9C-101B-9397-08002B2CF9AE}" pid="4" name="ICV">
    <vt:lpwstr>C485E435F1014E34B620751B210E1305_12</vt:lpwstr>
  </property>
</Properties>
</file>