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01644" w14:textId="77777777" w:rsidR="00B3123A" w:rsidRDefault="00000000" w:rsidP="00555BD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Sorting for Identity: Dielectrophoresis Enriches GABAergic-Fated Neural Stem Cells </w:t>
      </w:r>
    </w:p>
    <w:p w14:paraId="67A68C6B" w14:textId="2E0211BC" w:rsidR="003C4E01" w:rsidRDefault="003C4E01" w:rsidP="00555BD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Supplemental </w:t>
      </w:r>
      <w:r w:rsidR="002D5F4B">
        <w:rPr>
          <w:rFonts w:ascii="Times New Roman" w:eastAsia="Times New Roman" w:hAnsi="Times New Roman" w:cs="Times New Roman"/>
          <w:b/>
          <w:sz w:val="24"/>
          <w:szCs w:val="24"/>
        </w:rPr>
        <w:t>Material</w:t>
      </w:r>
    </w:p>
    <w:p w14:paraId="2AB9AD35" w14:textId="77777777" w:rsidR="00B3123A" w:rsidRDefault="00000000" w:rsidP="00555BDE">
      <w:pPr>
        <w:spacing w:line="360" w:lineRule="auto"/>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Jazmine S. Moore</w:t>
      </w:r>
      <w:r>
        <w:rPr>
          <w:rFonts w:ascii="Times New Roman" w:eastAsia="Times New Roman" w:hAnsi="Times New Roman" w:cs="Times New Roman"/>
          <w:b/>
          <w:sz w:val="24"/>
          <w:szCs w:val="24"/>
          <w:vertAlign w:val="superscript"/>
        </w:rPr>
        <w:t xml:space="preserve">1, 2, </w:t>
      </w:r>
      <w:r>
        <w:rPr>
          <w:rFonts w:ascii="Times New Roman" w:eastAsia="Times New Roman" w:hAnsi="Times New Roman" w:cs="Times New Roman"/>
          <w:b/>
          <w:sz w:val="24"/>
          <w:szCs w:val="24"/>
        </w:rPr>
        <w:t>; Lauren M. Nishitani</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Nicole S. Lav</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Kirsten Ha</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Lisa A. Flanagan;</w:t>
      </w:r>
      <w:r>
        <w:rPr>
          <w:rFonts w:ascii="Times New Roman" w:eastAsia="Times New Roman" w:hAnsi="Times New Roman" w:cs="Times New Roman"/>
          <w:b/>
          <w:sz w:val="24"/>
          <w:szCs w:val="24"/>
          <w:vertAlign w:val="superscript"/>
        </w:rPr>
        <w:t xml:space="preserve">1, 2, 3, 4 </w:t>
      </w:r>
      <w:r>
        <w:rPr>
          <w:rFonts w:ascii="Times New Roman" w:eastAsia="Times New Roman" w:hAnsi="Times New Roman" w:cs="Times New Roman"/>
          <w:b/>
          <w:sz w:val="24"/>
          <w:szCs w:val="24"/>
        </w:rPr>
        <w:t>and Tayloria N.G. Adams</w:t>
      </w:r>
      <w:r>
        <w:rPr>
          <w:rFonts w:ascii="Times New Roman" w:eastAsia="Times New Roman" w:hAnsi="Times New Roman" w:cs="Times New Roman"/>
          <w:b/>
          <w:sz w:val="24"/>
          <w:szCs w:val="24"/>
          <w:vertAlign w:val="superscript"/>
        </w:rPr>
        <w:t>1, 2, 5, a)</w:t>
      </w:r>
    </w:p>
    <w:p w14:paraId="30369B41" w14:textId="77777777" w:rsidR="00B3123A" w:rsidRDefault="00000000" w:rsidP="00555BDE">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Department of Anatomy &amp; Neurobiology, University of California, Irvine, Irvine, California 92697-4291, USA</w:t>
      </w:r>
    </w:p>
    <w:p w14:paraId="39EECDA7" w14:textId="77777777" w:rsidR="00B3123A" w:rsidRDefault="00000000" w:rsidP="00555BDE">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Sue &amp; Bill Gross Stem Cell Research Center, University of California, Irvine, Irvine, California 92697-1705, USA</w:t>
      </w:r>
    </w:p>
    <w:p w14:paraId="19544C9F" w14:textId="77777777" w:rsidR="00B3123A" w:rsidRDefault="00000000" w:rsidP="00555BDE">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Department of Neurology, University of California, Irvine, Irvine, California 92697-6750, USA</w:t>
      </w:r>
    </w:p>
    <w:p w14:paraId="520C3824" w14:textId="77777777" w:rsidR="00B3123A" w:rsidRDefault="00000000" w:rsidP="00555BDE">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4</w:t>
      </w:r>
      <w:r>
        <w:rPr>
          <w:rFonts w:ascii="Times New Roman" w:eastAsia="Times New Roman" w:hAnsi="Times New Roman" w:cs="Times New Roman"/>
          <w:sz w:val="20"/>
          <w:szCs w:val="20"/>
        </w:rPr>
        <w:t>Department of Biomedical Engineering, University of California, Irvine, Irvine, California 92697</w:t>
      </w:r>
    </w:p>
    <w:p w14:paraId="39D2A8C0" w14:textId="77777777" w:rsidR="00B3123A" w:rsidRDefault="00000000" w:rsidP="00555BDE">
      <w:pPr>
        <w:spacing w:line="36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5</w:t>
      </w:r>
      <w:r>
        <w:rPr>
          <w:rFonts w:ascii="Times New Roman" w:eastAsia="Times New Roman" w:hAnsi="Times New Roman" w:cs="Times New Roman"/>
          <w:sz w:val="20"/>
          <w:szCs w:val="20"/>
        </w:rPr>
        <w:t>Department of Chemical and Biomolecular Engineering, University of California, Irvine, Irvine, California 92697-2580, USA</w:t>
      </w:r>
    </w:p>
    <w:p w14:paraId="61F40D9B" w14:textId="4FFD2B7D" w:rsidR="00B3123A" w:rsidRDefault="00000000" w:rsidP="0018587D">
      <w:pPr>
        <w:spacing w:line="360" w:lineRule="auto"/>
      </w:pPr>
      <w:r>
        <w:rPr>
          <w:rFonts w:ascii="Times New Roman" w:eastAsia="Times New Roman" w:hAnsi="Times New Roman" w:cs="Times New Roman"/>
          <w:sz w:val="20"/>
          <w:szCs w:val="20"/>
          <w:vertAlign w:val="superscript"/>
        </w:rPr>
        <w:t>a</w:t>
      </w:r>
      <w:r>
        <w:rPr>
          <w:rFonts w:ascii="Times New Roman" w:eastAsia="Times New Roman" w:hAnsi="Times New Roman" w:cs="Times New Roman"/>
          <w:sz w:val="20"/>
          <w:szCs w:val="20"/>
        </w:rPr>
        <w:t xml:space="preserve">Author to whom correspondence should be addressed: </w:t>
      </w:r>
      <w:hyperlink r:id="rId8">
        <w:r w:rsidR="00B3123A">
          <w:rPr>
            <w:rFonts w:ascii="Times New Roman" w:eastAsia="Times New Roman" w:hAnsi="Times New Roman" w:cs="Times New Roman"/>
            <w:color w:val="1155CC"/>
            <w:sz w:val="20"/>
            <w:szCs w:val="20"/>
            <w:u w:val="single"/>
          </w:rPr>
          <w:t>tayloria@uci.edu</w:t>
        </w:r>
      </w:hyperlink>
    </w:p>
    <w:p w14:paraId="77E40F43" w14:textId="77777777" w:rsidR="001E4393" w:rsidRPr="0018587D" w:rsidRDefault="001E4393" w:rsidP="0018587D">
      <w:pPr>
        <w:spacing w:line="360" w:lineRule="auto"/>
      </w:pPr>
    </w:p>
    <w:p w14:paraId="198CC11A" w14:textId="0139148A" w:rsidR="0018587D" w:rsidRDefault="0018587D">
      <w:pPr>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05D5ACBB" wp14:editId="16624818">
            <wp:extent cx="5932714" cy="3593855"/>
            <wp:effectExtent l="0" t="0" r="0" b="635"/>
            <wp:docPr id="1853264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64132" name="Picture 1853264132"/>
                    <pic:cNvPicPr/>
                  </pic:nvPicPr>
                  <pic:blipFill rotWithShape="1">
                    <a:blip r:embed="rId9" cstate="print">
                      <a:extLst>
                        <a:ext uri="{28A0092B-C50C-407E-A947-70E740481C1C}">
                          <a14:useLocalDpi xmlns:a14="http://schemas.microsoft.com/office/drawing/2010/main" val="0"/>
                        </a:ext>
                      </a:extLst>
                    </a:blip>
                    <a:srcRect r="7143"/>
                    <a:stretch>
                      <a:fillRect/>
                    </a:stretch>
                  </pic:blipFill>
                  <pic:spPr bwMode="auto">
                    <a:xfrm>
                      <a:off x="0" y="0"/>
                      <a:ext cx="5944722" cy="3601129"/>
                    </a:xfrm>
                    <a:prstGeom prst="rect">
                      <a:avLst/>
                    </a:prstGeom>
                    <a:ln>
                      <a:noFill/>
                    </a:ln>
                    <a:extLst>
                      <a:ext uri="{53640926-AAD7-44D8-BBD7-CCE9431645EC}">
                        <a14:shadowObscured xmlns:a14="http://schemas.microsoft.com/office/drawing/2010/main"/>
                      </a:ext>
                    </a:extLst>
                  </pic:spPr>
                </pic:pic>
              </a:graphicData>
            </a:graphic>
          </wp:inline>
        </w:drawing>
      </w:r>
    </w:p>
    <w:p w14:paraId="2FD41367" w14:textId="48524ECD" w:rsidR="00F925FD" w:rsidRPr="001E4393" w:rsidRDefault="0039056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Supplemental Figure 1. Validation of control conditions for DEP sorting</w:t>
      </w:r>
      <w:r w:rsidR="003C4E01">
        <w:rPr>
          <w:rFonts w:ascii="Times New Roman" w:eastAsia="Times New Roman" w:hAnsi="Times New Roman" w:cs="Times New Roman"/>
          <w:b/>
          <w:sz w:val="24"/>
          <w:szCs w:val="24"/>
        </w:rPr>
        <w:t xml:space="preserve"> of mNSPCs</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D5125B" w:rsidRPr="00D5125B">
        <w:rPr>
          <w:rFonts w:ascii="Times New Roman" w:eastAsia="Times New Roman" w:hAnsi="Times New Roman" w:cs="Times New Roman"/>
          <w:sz w:val="24"/>
          <w:szCs w:val="24"/>
        </w:rPr>
        <w:t xml:space="preserve">(A) </w:t>
      </w:r>
      <w:r w:rsidR="00C2632F">
        <w:rPr>
          <w:rFonts w:ascii="Times New Roman" w:eastAsia="Times New Roman" w:hAnsi="Times New Roman" w:cs="Times New Roman"/>
          <w:sz w:val="24"/>
          <w:szCs w:val="24"/>
        </w:rPr>
        <w:t>C</w:t>
      </w:r>
      <w:r w:rsidR="00D5125B" w:rsidRPr="00D5125B">
        <w:rPr>
          <w:rFonts w:ascii="Times New Roman" w:eastAsia="Times New Roman" w:hAnsi="Times New Roman" w:cs="Times New Roman"/>
          <w:sz w:val="24"/>
          <w:szCs w:val="24"/>
        </w:rPr>
        <w:t>ell viability of controls assessed by Trypan Blue exclusion</w:t>
      </w:r>
      <w:r w:rsidR="00D5125B">
        <w:rPr>
          <w:rFonts w:ascii="Times New Roman" w:eastAsia="Times New Roman" w:hAnsi="Times New Roman" w:cs="Times New Roman"/>
          <w:sz w:val="24"/>
          <w:szCs w:val="24"/>
        </w:rPr>
        <w:t xml:space="preserve"> (MCcrtx n=5, MCge n=4, and BUFFER n=5)</w:t>
      </w:r>
      <w:r w:rsidR="00D5125B" w:rsidRPr="00D5125B">
        <w:rPr>
          <w:rFonts w:ascii="Times New Roman" w:eastAsia="Times New Roman" w:hAnsi="Times New Roman" w:cs="Times New Roman"/>
          <w:sz w:val="24"/>
          <w:szCs w:val="24"/>
        </w:rPr>
        <w:t>. All groups maintained high cell viability.</w:t>
      </w:r>
      <w:r>
        <w:rPr>
          <w:rFonts w:ascii="Times New Roman" w:eastAsia="Times New Roman" w:hAnsi="Times New Roman" w:cs="Times New Roman"/>
          <w:sz w:val="24"/>
          <w:szCs w:val="24"/>
        </w:rPr>
        <w:t xml:space="preserve"> (B) </w:t>
      </w:r>
      <w:r w:rsidR="00D5125B" w:rsidRPr="00D5125B">
        <w:rPr>
          <w:rFonts w:ascii="Times New Roman" w:eastAsia="Times New Roman" w:hAnsi="Times New Roman" w:cs="Times New Roman"/>
          <w:sz w:val="24"/>
          <w:szCs w:val="24"/>
        </w:rPr>
        <w:t xml:space="preserve">Cell </w:t>
      </w:r>
      <w:r w:rsidR="00D5125B">
        <w:rPr>
          <w:rFonts w:ascii="Times New Roman" w:eastAsia="Times New Roman" w:hAnsi="Times New Roman" w:cs="Times New Roman"/>
          <w:sz w:val="24"/>
          <w:szCs w:val="24"/>
        </w:rPr>
        <w:t>radius</w:t>
      </w:r>
      <w:r w:rsidR="00D5125B" w:rsidRPr="00D5125B">
        <w:rPr>
          <w:rFonts w:ascii="Times New Roman" w:eastAsia="Times New Roman" w:hAnsi="Times New Roman" w:cs="Times New Roman"/>
          <w:sz w:val="24"/>
          <w:szCs w:val="24"/>
        </w:rPr>
        <w:t xml:space="preserve"> measurements obtained using ImageJ revealed no significant differences among control conditions</w:t>
      </w:r>
      <w:r w:rsidR="00C2632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(MCcrtx n=2, MCge n=2, and BUFFER n=3).</w:t>
      </w:r>
      <w:r w:rsidR="00D5125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w:t>
      </w:r>
      <w:r w:rsidR="00C2632F">
        <w:rPr>
          <w:rFonts w:ascii="Times New Roman" w:eastAsia="Times New Roman" w:hAnsi="Times New Roman" w:cs="Times New Roman"/>
          <w:sz w:val="24"/>
          <w:szCs w:val="24"/>
        </w:rPr>
        <w:t xml:space="preserve"> </w:t>
      </w:r>
      <w:r w:rsidR="00D5125B" w:rsidRPr="00D5125B">
        <w:rPr>
          <w:rFonts w:ascii="Times New Roman" w:eastAsia="Times New Roman" w:hAnsi="Times New Roman" w:cs="Times New Roman"/>
          <w:sz w:val="24"/>
          <w:szCs w:val="24"/>
        </w:rPr>
        <w:t>DEP spectra of control populations demonstrating comparable electrophysiological responses across the tested frequency range</w:t>
      </w:r>
      <w:r>
        <w:rPr>
          <w:rFonts w:ascii="Times New Roman" w:eastAsia="Times New Roman" w:hAnsi="Times New Roman" w:cs="Times New Roman"/>
          <w:sz w:val="24"/>
          <w:szCs w:val="24"/>
        </w:rPr>
        <w:t xml:space="preserve"> (MCcrtx n=2, MCge n=2, and BUFFER n=3).</w:t>
      </w:r>
      <w:r w:rsidR="003C4E0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w:t>
      </w:r>
      <w:r w:rsidR="003C4E01">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pecific membrane capacitance, </w:t>
      </w:r>
      <w:r w:rsidR="003C4E01">
        <w:rPr>
          <w:rFonts w:ascii="Times New Roman" w:eastAsia="Times New Roman" w:hAnsi="Times New Roman" w:cs="Times New Roman"/>
          <w:sz w:val="24"/>
          <w:szCs w:val="24"/>
        </w:rPr>
        <w:t xml:space="preserve">(E) </w:t>
      </w:r>
      <w:r>
        <w:rPr>
          <w:rFonts w:ascii="Times New Roman" w:eastAsia="Times New Roman" w:hAnsi="Times New Roman" w:cs="Times New Roman"/>
          <w:sz w:val="24"/>
          <w:szCs w:val="24"/>
        </w:rPr>
        <w:t>midpoint membrane frequency,</w:t>
      </w:r>
      <w:r w:rsidR="003C4E01">
        <w:rPr>
          <w:rFonts w:ascii="Times New Roman" w:eastAsia="Times New Roman" w:hAnsi="Times New Roman" w:cs="Times New Roman"/>
          <w:sz w:val="24"/>
          <w:szCs w:val="24"/>
        </w:rPr>
        <w:t xml:space="preserve"> and (F)</w:t>
      </w:r>
      <w:r>
        <w:rPr>
          <w:rFonts w:ascii="Times New Roman" w:eastAsia="Times New Roman" w:hAnsi="Times New Roman" w:cs="Times New Roman"/>
          <w:sz w:val="24"/>
          <w:szCs w:val="24"/>
        </w:rPr>
        <w:t xml:space="preserve"> </w:t>
      </w:r>
      <w:r w:rsidR="00D5125B" w:rsidRPr="00D5125B">
        <w:rPr>
          <w:rFonts w:ascii="Times New Roman" w:eastAsia="Times New Roman" w:hAnsi="Times New Roman" w:cs="Times New Roman"/>
          <w:sz w:val="24"/>
          <w:szCs w:val="24"/>
        </w:rPr>
        <w:t>midpoint cytoplasm frequency of control conditions</w:t>
      </w:r>
      <w:r>
        <w:rPr>
          <w:rFonts w:ascii="Times New Roman" w:eastAsia="Times New Roman" w:hAnsi="Times New Roman" w:cs="Times New Roman"/>
          <w:sz w:val="24"/>
          <w:szCs w:val="24"/>
        </w:rPr>
        <w:t xml:space="preserve">. </w:t>
      </w:r>
      <w:r w:rsidR="00D5125B" w:rsidRPr="00D5125B">
        <w:rPr>
          <w:rFonts w:ascii="Times New Roman" w:eastAsia="Times New Roman" w:hAnsi="Times New Roman" w:cs="Times New Roman"/>
          <w:sz w:val="24"/>
          <w:szCs w:val="24"/>
        </w:rPr>
        <w:t xml:space="preserve">No statistically significant differences were </w:t>
      </w:r>
      <w:r w:rsidR="00D5125B" w:rsidRPr="00D5125B">
        <w:rPr>
          <w:rFonts w:ascii="Times New Roman" w:eastAsia="Times New Roman" w:hAnsi="Times New Roman" w:cs="Times New Roman"/>
          <w:sz w:val="24"/>
          <w:szCs w:val="24"/>
        </w:rPr>
        <w:lastRenderedPageBreak/>
        <w:t>observed among control conditions for any of the assessed electrophysiological parameters (MC</w:t>
      </w:r>
      <w:r w:rsidR="00D5125B">
        <w:rPr>
          <w:rFonts w:ascii="Times New Roman" w:eastAsia="Times New Roman" w:hAnsi="Times New Roman" w:cs="Times New Roman"/>
          <w:sz w:val="24"/>
          <w:szCs w:val="24"/>
        </w:rPr>
        <w:t>c</w:t>
      </w:r>
      <w:r w:rsidR="00D5125B" w:rsidRPr="00D5125B">
        <w:rPr>
          <w:rFonts w:ascii="Times New Roman" w:eastAsia="Times New Roman" w:hAnsi="Times New Roman" w:cs="Times New Roman"/>
          <w:sz w:val="24"/>
          <w:szCs w:val="24"/>
        </w:rPr>
        <w:t>rtx n = 2, MC</w:t>
      </w:r>
      <w:r w:rsidR="00D5125B">
        <w:rPr>
          <w:rFonts w:ascii="Times New Roman" w:eastAsia="Times New Roman" w:hAnsi="Times New Roman" w:cs="Times New Roman"/>
          <w:sz w:val="24"/>
          <w:szCs w:val="24"/>
        </w:rPr>
        <w:t>g</w:t>
      </w:r>
      <w:r w:rsidR="00D5125B" w:rsidRPr="00D5125B">
        <w:rPr>
          <w:rFonts w:ascii="Times New Roman" w:eastAsia="Times New Roman" w:hAnsi="Times New Roman" w:cs="Times New Roman"/>
          <w:sz w:val="24"/>
          <w:szCs w:val="24"/>
        </w:rPr>
        <w:t>e n = 2, BUFFER n = 3)</w:t>
      </w:r>
      <w:r>
        <w:rPr>
          <w:rFonts w:ascii="Times New Roman" w:eastAsia="Times New Roman" w:hAnsi="Times New Roman" w:cs="Times New Roman"/>
          <w:sz w:val="24"/>
          <w:szCs w:val="24"/>
        </w:rPr>
        <w:t>.</w:t>
      </w:r>
    </w:p>
    <w:p w14:paraId="6211DD70" w14:textId="77777777" w:rsidR="00295DBE" w:rsidRDefault="00295DBE">
      <w:pPr>
        <w:jc w:val="both"/>
        <w:rPr>
          <w:rFonts w:ascii="Times New Roman" w:eastAsia="Times New Roman" w:hAnsi="Times New Roman" w:cs="Times New Roman"/>
          <w:sz w:val="24"/>
          <w:szCs w:val="24"/>
        </w:rPr>
      </w:pPr>
    </w:p>
    <w:p w14:paraId="60AC03C0" w14:textId="77777777" w:rsidR="00B3123A" w:rsidRDefault="00000000">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E27EF63" wp14:editId="7D176BF3">
            <wp:extent cx="5943600" cy="2878875"/>
            <wp:effectExtent l="0" t="0" r="0" b="0"/>
            <wp:docPr id="1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7761" b="6193"/>
                    <a:stretch>
                      <a:fillRect/>
                    </a:stretch>
                  </pic:blipFill>
                  <pic:spPr>
                    <a:xfrm>
                      <a:off x="0" y="0"/>
                      <a:ext cx="5943600" cy="2878875"/>
                    </a:xfrm>
                    <a:prstGeom prst="rect">
                      <a:avLst/>
                    </a:prstGeom>
                    <a:ln/>
                  </pic:spPr>
                </pic:pic>
              </a:graphicData>
            </a:graphic>
          </wp:inline>
        </w:drawing>
      </w:r>
    </w:p>
    <w:p w14:paraId="6F49E92B" w14:textId="5EA38E3A" w:rsidR="00FA2CCF" w:rsidRPr="00390565" w:rsidRDefault="003E08E5" w:rsidP="00DD6045">
      <w:pPr>
        <w:jc w:val="both"/>
        <w:rPr>
          <w:rFonts w:ascii="Times New Roman" w:eastAsia="Times New Roman" w:hAnsi="Times New Roman" w:cs="Times New Roman"/>
          <w:b/>
          <w:sz w:val="24"/>
          <w:szCs w:val="24"/>
        </w:rPr>
      </w:pPr>
      <w:r w:rsidRPr="003E08E5">
        <w:rPr>
          <w:rFonts w:ascii="Times New Roman" w:eastAsia="Times New Roman" w:hAnsi="Times New Roman" w:cs="Times New Roman"/>
          <w:b/>
          <w:sz w:val="24"/>
          <w:szCs w:val="24"/>
        </w:rPr>
        <w:t>Supplementary Figure 2. Validation of DEP buffer stability for GE-derived mNSPCs over time</w:t>
      </w:r>
      <w:r w:rsidR="00DD6045">
        <w:rPr>
          <w:rFonts w:ascii="Times New Roman" w:eastAsia="Times New Roman" w:hAnsi="Times New Roman" w:cs="Times New Roman"/>
          <w:b/>
          <w:sz w:val="24"/>
          <w:szCs w:val="24"/>
        </w:rPr>
        <w:t>.</w:t>
      </w:r>
      <w:r w:rsidR="0039056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w:t>
      </w:r>
      <w:r w:rsidRPr="003E08E5">
        <w:rPr>
          <w:rFonts w:ascii="Times New Roman" w:eastAsia="Times New Roman" w:hAnsi="Times New Roman" w:cs="Times New Roman"/>
          <w:sz w:val="24"/>
          <w:szCs w:val="24"/>
        </w:rPr>
        <w:t xml:space="preserve">GE-derived mNSPCs maintained &gt;90% viability for up to 8 hours in DEP buffer, with viability decreasing to approximately 79% after 12 hours. </w:t>
      </w:r>
      <w:r w:rsidR="00DD6045">
        <w:rPr>
          <w:rFonts w:ascii="Times New Roman" w:eastAsia="Times New Roman" w:hAnsi="Times New Roman" w:cs="Times New Roman"/>
          <w:sz w:val="24"/>
          <w:szCs w:val="24"/>
        </w:rPr>
        <w:t>(</w:t>
      </w:r>
      <w:r w:rsidR="00390565">
        <w:rPr>
          <w:rFonts w:ascii="Times New Roman" w:eastAsia="Times New Roman" w:hAnsi="Times New Roman" w:cs="Times New Roman"/>
          <w:sz w:val="24"/>
          <w:szCs w:val="24"/>
        </w:rPr>
        <w:t xml:space="preserve">B) </w:t>
      </w:r>
      <w:r w:rsidRPr="003E08E5">
        <w:rPr>
          <w:rFonts w:ascii="Times New Roman" w:eastAsia="Times New Roman" w:hAnsi="Times New Roman" w:cs="Times New Roman"/>
          <w:sz w:val="24"/>
          <w:szCs w:val="24"/>
        </w:rPr>
        <w:t>Cell radius of GE-derived mNSPCs maintained in growth medium (media control; MC) or DEP buffer</w:t>
      </w:r>
      <w:r w:rsidR="00DD6045">
        <w:rPr>
          <w:rFonts w:ascii="Times New Roman" w:eastAsia="Times New Roman" w:hAnsi="Times New Roman" w:cs="Times New Roman"/>
          <w:sz w:val="24"/>
          <w:szCs w:val="24"/>
        </w:rPr>
        <w:t>.</w:t>
      </w:r>
      <w:r w:rsidR="00390565">
        <w:rPr>
          <w:rFonts w:ascii="Times New Roman" w:eastAsia="Times New Roman" w:hAnsi="Times New Roman" w:cs="Times New Roman"/>
          <w:sz w:val="24"/>
          <w:szCs w:val="24"/>
        </w:rPr>
        <w:t xml:space="preserve"> </w:t>
      </w:r>
      <w:r w:rsidR="00DD6045">
        <w:rPr>
          <w:rFonts w:ascii="Times New Roman" w:eastAsia="Times New Roman" w:hAnsi="Times New Roman" w:cs="Times New Roman"/>
          <w:sz w:val="24"/>
          <w:szCs w:val="24"/>
        </w:rPr>
        <w:t>(</w:t>
      </w:r>
      <w:r w:rsidR="00390565">
        <w:rPr>
          <w:rFonts w:ascii="Times New Roman" w:eastAsia="Times New Roman" w:hAnsi="Times New Roman" w:cs="Times New Roman"/>
          <w:sz w:val="24"/>
          <w:szCs w:val="24"/>
        </w:rPr>
        <w:t xml:space="preserve">C) </w:t>
      </w:r>
      <w:r w:rsidRPr="003E08E5">
        <w:rPr>
          <w:rFonts w:ascii="Times New Roman" w:eastAsia="Times New Roman" w:hAnsi="Times New Roman" w:cs="Times New Roman"/>
          <w:sz w:val="24"/>
          <w:szCs w:val="24"/>
        </w:rPr>
        <w:t>DEP spectra demonstrating preservation of the frequency-dependent electrophysiological response following incubation in DEP buffer</w:t>
      </w:r>
      <w:r>
        <w:rPr>
          <w:rFonts w:ascii="Times New Roman" w:eastAsia="Times New Roman" w:hAnsi="Times New Roman" w:cs="Times New Roman"/>
          <w:sz w:val="24"/>
          <w:szCs w:val="24"/>
        </w:rPr>
        <w:t xml:space="preserve">. </w:t>
      </w:r>
      <w:r w:rsidR="006F686E">
        <w:rPr>
          <w:rFonts w:ascii="Times New Roman" w:eastAsia="Times New Roman" w:hAnsi="Times New Roman" w:cs="Times New Roman"/>
          <w:sz w:val="24"/>
          <w:szCs w:val="24"/>
        </w:rPr>
        <w:t xml:space="preserve">(D) </w:t>
      </w:r>
      <w:r w:rsidRPr="003E08E5">
        <w:rPr>
          <w:rFonts w:ascii="Times New Roman" w:eastAsia="Times New Roman" w:hAnsi="Times New Roman" w:cs="Times New Roman"/>
          <w:sz w:val="24"/>
          <w:szCs w:val="24"/>
        </w:rPr>
        <w:t xml:space="preserve">Specific membrane capacitance, </w:t>
      </w:r>
      <w:r w:rsidR="006F686E">
        <w:rPr>
          <w:rFonts w:ascii="Times New Roman" w:eastAsia="Times New Roman" w:hAnsi="Times New Roman" w:cs="Times New Roman"/>
          <w:sz w:val="24"/>
          <w:szCs w:val="24"/>
        </w:rPr>
        <w:t xml:space="preserve">(E) </w:t>
      </w:r>
      <w:r w:rsidRPr="003E08E5">
        <w:rPr>
          <w:rFonts w:ascii="Times New Roman" w:eastAsia="Times New Roman" w:hAnsi="Times New Roman" w:cs="Times New Roman"/>
          <w:sz w:val="24"/>
          <w:szCs w:val="24"/>
        </w:rPr>
        <w:t xml:space="preserve">midpoint membrane frequency, and </w:t>
      </w:r>
      <w:r w:rsidR="006F686E">
        <w:rPr>
          <w:rFonts w:ascii="Times New Roman" w:eastAsia="Times New Roman" w:hAnsi="Times New Roman" w:cs="Times New Roman"/>
          <w:sz w:val="24"/>
          <w:szCs w:val="24"/>
        </w:rPr>
        <w:t xml:space="preserve">(F) </w:t>
      </w:r>
      <w:r w:rsidRPr="003E08E5">
        <w:rPr>
          <w:rFonts w:ascii="Times New Roman" w:eastAsia="Times New Roman" w:hAnsi="Times New Roman" w:cs="Times New Roman"/>
          <w:sz w:val="24"/>
          <w:szCs w:val="24"/>
        </w:rPr>
        <w:t>midpoint cytoplasm frequency of GE-derived mNSPCs following incubation in DEP buffer.</w:t>
      </w:r>
      <w:r w:rsidR="00CF1D3B">
        <w:rPr>
          <w:rFonts w:ascii="Times New Roman" w:eastAsia="Times New Roman" w:hAnsi="Times New Roman" w:cs="Times New Roman"/>
          <w:sz w:val="24"/>
          <w:szCs w:val="24"/>
        </w:rPr>
        <w:t xml:space="preserve"> </w:t>
      </w:r>
      <w:r w:rsidR="00CF1D3B" w:rsidRPr="00CF1D3B">
        <w:rPr>
          <w:rFonts w:ascii="Times New Roman" w:eastAsia="Times New Roman" w:hAnsi="Times New Roman" w:cs="Times New Roman"/>
          <w:sz w:val="24"/>
          <w:szCs w:val="24"/>
        </w:rPr>
        <w:t>For panels D–F, "12 hr DEP (adj)" denotes values adjusted to account for changes in DEP buffer conductivity over time.</w:t>
      </w:r>
      <w:r w:rsidR="00CF1D3B">
        <w:rPr>
          <w:rFonts w:ascii="Times New Roman" w:eastAsia="Times New Roman" w:hAnsi="Times New Roman" w:cs="Times New Roman"/>
          <w:sz w:val="24"/>
          <w:szCs w:val="24"/>
        </w:rPr>
        <w:t xml:space="preserve"> </w:t>
      </w:r>
      <w:r w:rsidR="00CF1D3B" w:rsidRPr="00CF1D3B">
        <w:rPr>
          <w:rFonts w:ascii="Times New Roman" w:eastAsia="Times New Roman" w:hAnsi="Times New Roman" w:cs="Times New Roman"/>
          <w:sz w:val="24"/>
          <w:szCs w:val="24"/>
        </w:rPr>
        <w:t>Electrophysiological properties remained largely stable throughout the experimental period, supporting the suitability of the DEP buffer for maintaining cellular electrophysiological integrity during the typical duration of DEP experiments (8–12 hours).</w:t>
      </w:r>
      <w:r w:rsidR="00CF1D3B">
        <w:rPr>
          <w:rFonts w:ascii="Times New Roman" w:eastAsia="Times New Roman" w:hAnsi="Times New Roman" w:cs="Times New Roman"/>
          <w:sz w:val="24"/>
          <w:szCs w:val="24"/>
        </w:rPr>
        <w:t xml:space="preserve"> </w:t>
      </w:r>
      <w:r w:rsidR="00CF1D3B" w:rsidRPr="00CF1D3B">
        <w:rPr>
          <w:rFonts w:ascii="Times New Roman" w:eastAsia="Times New Roman" w:hAnsi="Times New Roman" w:cs="Times New Roman"/>
          <w:sz w:val="24"/>
          <w:szCs w:val="24"/>
        </w:rPr>
        <w:t xml:space="preserve">Data </w:t>
      </w:r>
      <w:r w:rsidR="0025104A" w:rsidRPr="00CF1D3B">
        <w:rPr>
          <w:rFonts w:ascii="Times New Roman" w:eastAsia="Times New Roman" w:hAnsi="Times New Roman" w:cs="Times New Roman"/>
          <w:sz w:val="24"/>
          <w:szCs w:val="24"/>
        </w:rPr>
        <w:t>represents</w:t>
      </w:r>
      <w:r w:rsidR="00CF1D3B" w:rsidRPr="00CF1D3B">
        <w:rPr>
          <w:rFonts w:ascii="Times New Roman" w:eastAsia="Times New Roman" w:hAnsi="Times New Roman" w:cs="Times New Roman"/>
          <w:sz w:val="24"/>
          <w:szCs w:val="24"/>
        </w:rPr>
        <w:t xml:space="preserve"> one biological replicate with multiple technical measurements (n=1</w:t>
      </w:r>
      <w:r w:rsidR="006F686E">
        <w:rPr>
          <w:rFonts w:ascii="Times New Roman" w:eastAsia="Times New Roman" w:hAnsi="Times New Roman" w:cs="Times New Roman"/>
          <w:sz w:val="24"/>
          <w:szCs w:val="24"/>
        </w:rPr>
        <w:t>)</w:t>
      </w:r>
      <w:r w:rsidR="00CF1D3B" w:rsidRPr="00CF1D3B">
        <w:rPr>
          <w:rFonts w:ascii="Times New Roman" w:eastAsia="Times New Roman" w:hAnsi="Times New Roman" w:cs="Times New Roman"/>
          <w:sz w:val="24"/>
          <w:szCs w:val="24"/>
        </w:rPr>
        <w:t>.</w:t>
      </w:r>
    </w:p>
    <w:p w14:paraId="1C1B1952" w14:textId="77777777" w:rsidR="00FA2CCF" w:rsidRDefault="00FA2CCF" w:rsidP="00DD6045">
      <w:pPr>
        <w:jc w:val="both"/>
        <w:rPr>
          <w:rFonts w:ascii="Times New Roman" w:eastAsia="Times New Roman" w:hAnsi="Times New Roman" w:cs="Times New Roman"/>
          <w:sz w:val="24"/>
          <w:szCs w:val="24"/>
        </w:rPr>
      </w:pPr>
    </w:p>
    <w:p w14:paraId="4C72A458" w14:textId="33621D71" w:rsidR="00752FC3" w:rsidRPr="00E87F97" w:rsidRDefault="00752FC3" w:rsidP="00DD6045">
      <w:pPr>
        <w:jc w:val="both"/>
        <w:rPr>
          <w:rFonts w:ascii="Times New Roman" w:eastAsia="Times New Roman" w:hAnsi="Times New Roman" w:cs="Times New Roman"/>
          <w:bCs/>
          <w:sz w:val="24"/>
          <w:szCs w:val="24"/>
        </w:rPr>
      </w:pPr>
      <w:r w:rsidRPr="00E87F97">
        <w:rPr>
          <w:rFonts w:ascii="Times New Roman" w:eastAsia="Times New Roman" w:hAnsi="Times New Roman" w:cs="Times New Roman"/>
          <w:b/>
          <w:sz w:val="24"/>
          <w:szCs w:val="24"/>
        </w:rPr>
        <w:t>Supplementary Table 1. Cell recovery across independent DEP sorting experiments.</w:t>
      </w:r>
      <w:r w:rsidRPr="00E87F97">
        <w:rPr>
          <w:rFonts w:ascii="Times New Roman" w:eastAsia="Times New Roman" w:hAnsi="Times New Roman" w:cs="Times New Roman"/>
          <w:bCs/>
          <w:sz w:val="24"/>
          <w:szCs w:val="24"/>
        </w:rPr>
        <w:t xml:space="preserve"> </w:t>
      </w:r>
      <w:r w:rsidR="006F686E" w:rsidRPr="00E87F97">
        <w:rPr>
          <w:rFonts w:ascii="Times New Roman" w:eastAsia="Times New Roman" w:hAnsi="Times New Roman" w:cs="Times New Roman"/>
          <w:bCs/>
          <w:sz w:val="24"/>
          <w:szCs w:val="24"/>
        </w:rPr>
        <w:t>The number of cells collected</w:t>
      </w:r>
      <w:r w:rsidRPr="00E87F97">
        <w:rPr>
          <w:rFonts w:ascii="Times New Roman" w:eastAsia="Times New Roman" w:hAnsi="Times New Roman" w:cs="Times New Roman"/>
          <w:bCs/>
          <w:sz w:val="24"/>
          <w:szCs w:val="24"/>
        </w:rPr>
        <w:t xml:space="preserve"> from O1, O2, and O3 for each independent biological experiment are shown. The BUFFER column indicates the standard number of cells allocated as the unsorted control prior to sorting, while the total cell recovery across outlet fractions and the average values across experiments are also reported. These values document representative sorting yields used for downstream expansion and analyses.</w:t>
      </w:r>
    </w:p>
    <w:p w14:paraId="1164D37D" w14:textId="77777777" w:rsidR="001E4393" w:rsidRPr="001E4393" w:rsidRDefault="001E4393" w:rsidP="00DD6045">
      <w:pPr>
        <w:jc w:val="both"/>
        <w:rPr>
          <w:rFonts w:ascii="Times New Roman" w:eastAsia="Times New Roman" w:hAnsi="Times New Roman" w:cs="Times New Roman"/>
          <w:bCs/>
          <w:color w:val="0000FF"/>
          <w:sz w:val="24"/>
          <w:szCs w:val="24"/>
        </w:rPr>
      </w:pPr>
    </w:p>
    <w:tbl>
      <w:tblPr>
        <w:tblStyle w:val="TableGridLight"/>
        <w:tblW w:w="0" w:type="auto"/>
        <w:tblLook w:val="04A0" w:firstRow="1" w:lastRow="0" w:firstColumn="1" w:lastColumn="0" w:noHBand="0" w:noVBand="1"/>
      </w:tblPr>
      <w:tblGrid>
        <w:gridCol w:w="1705"/>
        <w:gridCol w:w="1080"/>
        <w:gridCol w:w="1530"/>
        <w:gridCol w:w="1620"/>
        <w:gridCol w:w="1620"/>
        <w:gridCol w:w="1751"/>
      </w:tblGrid>
      <w:tr w:rsidR="00752FC3" w14:paraId="0E499497" w14:textId="77777777" w:rsidTr="00400FDA">
        <w:trPr>
          <w:trHeight w:val="692"/>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6DC9BF" w14:textId="77777777" w:rsidR="00752FC3" w:rsidRPr="001E4393" w:rsidRDefault="00752FC3" w:rsidP="00400FDA">
            <w:pPr>
              <w:jc w:val="center"/>
              <w:rPr>
                <w:rFonts w:ascii="Times New Roman" w:eastAsia="Times New Roman" w:hAnsi="Times New Roman" w:cs="Times New Roman"/>
                <w:b/>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E1771C"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BUFFER</w:t>
            </w:r>
          </w:p>
        </w:tc>
        <w:tc>
          <w:tcPr>
            <w:tcW w:w="15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33508"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O1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362ECE"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O2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AE3F79"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O3 (%)</w:t>
            </w:r>
          </w:p>
        </w:tc>
        <w:tc>
          <w:tcPr>
            <w:tcW w:w="1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C5C5FF"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Total Collection Across Outlets</w:t>
            </w:r>
          </w:p>
        </w:tc>
      </w:tr>
      <w:tr w:rsidR="00752FC3" w14:paraId="5D0D86D1" w14:textId="77777777" w:rsidTr="00400FDA">
        <w:trPr>
          <w:trHeight w:val="647"/>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D62D3D"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lastRenderedPageBreak/>
              <w:t>Biological</w:t>
            </w:r>
          </w:p>
          <w:p w14:paraId="2E924278"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n=1</w:t>
            </w:r>
          </w:p>
        </w:tc>
        <w:tc>
          <w:tcPr>
            <w:tcW w:w="1080" w:type="dxa"/>
            <w:tcBorders>
              <w:top w:val="single" w:sz="4" w:space="0" w:color="auto"/>
              <w:left w:val="single" w:sz="4" w:space="0" w:color="auto"/>
            </w:tcBorders>
            <w:vAlign w:val="center"/>
          </w:tcPr>
          <w:p w14:paraId="3C0CD01C"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100,000</w:t>
            </w:r>
          </w:p>
        </w:tc>
        <w:tc>
          <w:tcPr>
            <w:tcW w:w="1530" w:type="dxa"/>
            <w:tcBorders>
              <w:top w:val="single" w:sz="4" w:space="0" w:color="auto"/>
            </w:tcBorders>
            <w:vAlign w:val="center"/>
          </w:tcPr>
          <w:p w14:paraId="529885D5" w14:textId="6BC05AA6"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147,000 (66.7%)</w:t>
            </w:r>
          </w:p>
        </w:tc>
        <w:tc>
          <w:tcPr>
            <w:tcW w:w="1620" w:type="dxa"/>
            <w:tcBorders>
              <w:top w:val="single" w:sz="4" w:space="0" w:color="auto"/>
            </w:tcBorders>
            <w:vAlign w:val="center"/>
          </w:tcPr>
          <w:p w14:paraId="4053170B" w14:textId="77777777"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40,250</w:t>
            </w:r>
          </w:p>
          <w:p w14:paraId="4EA7D298" w14:textId="7D1E91D4"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(18.</w:t>
            </w:r>
            <w:r w:rsidR="00FC61DC" w:rsidRPr="001E4393">
              <w:rPr>
                <w:rFonts w:ascii="Times New Roman" w:eastAsia="Times New Roman" w:hAnsi="Times New Roman" w:cs="Times New Roman"/>
                <w:bCs/>
                <w:sz w:val="20"/>
                <w:szCs w:val="20"/>
              </w:rPr>
              <w:t>3</w:t>
            </w:r>
            <w:r w:rsidRPr="001E4393">
              <w:rPr>
                <w:rFonts w:ascii="Times New Roman" w:eastAsia="Times New Roman" w:hAnsi="Times New Roman" w:cs="Times New Roman"/>
                <w:bCs/>
                <w:sz w:val="20"/>
                <w:szCs w:val="20"/>
              </w:rPr>
              <w:t>%)</w:t>
            </w:r>
          </w:p>
        </w:tc>
        <w:tc>
          <w:tcPr>
            <w:tcW w:w="1620" w:type="dxa"/>
            <w:tcBorders>
              <w:top w:val="single" w:sz="4" w:space="0" w:color="auto"/>
            </w:tcBorders>
            <w:vAlign w:val="center"/>
          </w:tcPr>
          <w:p w14:paraId="1746E3A5" w14:textId="77777777"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 xml:space="preserve">33,125 </w:t>
            </w:r>
          </w:p>
          <w:p w14:paraId="1597DCED" w14:textId="18CD5AD8"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(15.0%)</w:t>
            </w:r>
          </w:p>
        </w:tc>
        <w:tc>
          <w:tcPr>
            <w:tcW w:w="1751" w:type="dxa"/>
            <w:tcBorders>
              <w:top w:val="single" w:sz="4" w:space="0" w:color="auto"/>
            </w:tcBorders>
            <w:vAlign w:val="center"/>
          </w:tcPr>
          <w:p w14:paraId="7E033B79"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220,375</w:t>
            </w:r>
          </w:p>
        </w:tc>
      </w:tr>
      <w:tr w:rsidR="00752FC3" w14:paraId="03E31471" w14:textId="77777777" w:rsidTr="00400FDA">
        <w:trPr>
          <w:trHeight w:val="629"/>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F9F57C"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Biological</w:t>
            </w:r>
          </w:p>
          <w:p w14:paraId="124B9607"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n=2</w:t>
            </w:r>
          </w:p>
        </w:tc>
        <w:tc>
          <w:tcPr>
            <w:tcW w:w="1080" w:type="dxa"/>
            <w:tcBorders>
              <w:left w:val="single" w:sz="4" w:space="0" w:color="auto"/>
            </w:tcBorders>
            <w:vAlign w:val="center"/>
          </w:tcPr>
          <w:p w14:paraId="78C7474F" w14:textId="7C21D8F0"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100,000</w:t>
            </w:r>
          </w:p>
        </w:tc>
        <w:tc>
          <w:tcPr>
            <w:tcW w:w="1530" w:type="dxa"/>
            <w:vAlign w:val="center"/>
          </w:tcPr>
          <w:p w14:paraId="10078775" w14:textId="00D8E153"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105,400 (23.</w:t>
            </w:r>
            <w:r w:rsidR="00FC61DC" w:rsidRPr="001E4393">
              <w:rPr>
                <w:rFonts w:ascii="Times New Roman" w:eastAsia="Times New Roman" w:hAnsi="Times New Roman" w:cs="Times New Roman"/>
                <w:bCs/>
                <w:sz w:val="20"/>
                <w:szCs w:val="20"/>
              </w:rPr>
              <w:t>1</w:t>
            </w:r>
            <w:r w:rsidRPr="001E4393">
              <w:rPr>
                <w:rFonts w:ascii="Times New Roman" w:eastAsia="Times New Roman" w:hAnsi="Times New Roman" w:cs="Times New Roman"/>
                <w:bCs/>
                <w:sz w:val="20"/>
                <w:szCs w:val="20"/>
              </w:rPr>
              <w:t>%)</w:t>
            </w:r>
          </w:p>
        </w:tc>
        <w:tc>
          <w:tcPr>
            <w:tcW w:w="1620" w:type="dxa"/>
            <w:vAlign w:val="center"/>
          </w:tcPr>
          <w:p w14:paraId="3842EDAB" w14:textId="77777777" w:rsidR="00FC61DC"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188,800</w:t>
            </w:r>
          </w:p>
          <w:p w14:paraId="0BE43A65" w14:textId="162583EE"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(41.</w:t>
            </w:r>
            <w:r w:rsidR="00FC61DC" w:rsidRPr="001E4393">
              <w:rPr>
                <w:rFonts w:ascii="Times New Roman" w:eastAsia="Times New Roman" w:hAnsi="Times New Roman" w:cs="Times New Roman"/>
                <w:bCs/>
                <w:sz w:val="20"/>
                <w:szCs w:val="20"/>
              </w:rPr>
              <w:t>4</w:t>
            </w:r>
            <w:r w:rsidRPr="001E4393">
              <w:rPr>
                <w:rFonts w:ascii="Times New Roman" w:eastAsia="Times New Roman" w:hAnsi="Times New Roman" w:cs="Times New Roman"/>
                <w:bCs/>
                <w:sz w:val="20"/>
                <w:szCs w:val="20"/>
              </w:rPr>
              <w:t>%)</w:t>
            </w:r>
          </w:p>
        </w:tc>
        <w:tc>
          <w:tcPr>
            <w:tcW w:w="1620" w:type="dxa"/>
            <w:vAlign w:val="center"/>
          </w:tcPr>
          <w:p w14:paraId="4B0E3D0C" w14:textId="77777777" w:rsidR="00FC61DC"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162,400</w:t>
            </w:r>
          </w:p>
          <w:p w14:paraId="4DA0F295" w14:textId="1813CF8E"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(35.</w:t>
            </w:r>
            <w:r w:rsidR="00FC61DC" w:rsidRPr="001E4393">
              <w:rPr>
                <w:rFonts w:ascii="Times New Roman" w:eastAsia="Times New Roman" w:hAnsi="Times New Roman" w:cs="Times New Roman"/>
                <w:bCs/>
                <w:sz w:val="20"/>
                <w:szCs w:val="20"/>
              </w:rPr>
              <w:t>6</w:t>
            </w:r>
            <w:r w:rsidRPr="001E4393">
              <w:rPr>
                <w:rFonts w:ascii="Times New Roman" w:eastAsia="Times New Roman" w:hAnsi="Times New Roman" w:cs="Times New Roman"/>
                <w:bCs/>
                <w:sz w:val="20"/>
                <w:szCs w:val="20"/>
              </w:rPr>
              <w:t>%)</w:t>
            </w:r>
          </w:p>
        </w:tc>
        <w:tc>
          <w:tcPr>
            <w:tcW w:w="1751" w:type="dxa"/>
            <w:vAlign w:val="center"/>
          </w:tcPr>
          <w:p w14:paraId="32871951"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456,600</w:t>
            </w:r>
          </w:p>
        </w:tc>
      </w:tr>
      <w:tr w:rsidR="00752FC3" w14:paraId="5959D0E6" w14:textId="77777777" w:rsidTr="00400FDA">
        <w:trPr>
          <w:trHeight w:val="611"/>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93E8A0"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Biological</w:t>
            </w:r>
          </w:p>
          <w:p w14:paraId="7A501717"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n=3</w:t>
            </w:r>
          </w:p>
        </w:tc>
        <w:tc>
          <w:tcPr>
            <w:tcW w:w="1080" w:type="dxa"/>
            <w:tcBorders>
              <w:left w:val="single" w:sz="4" w:space="0" w:color="auto"/>
            </w:tcBorders>
            <w:vAlign w:val="center"/>
          </w:tcPr>
          <w:p w14:paraId="6D92CCCE"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100,000</w:t>
            </w:r>
          </w:p>
        </w:tc>
        <w:tc>
          <w:tcPr>
            <w:tcW w:w="1530" w:type="dxa"/>
            <w:vAlign w:val="center"/>
          </w:tcPr>
          <w:p w14:paraId="205B0900" w14:textId="77777777" w:rsidR="00FC61DC"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 xml:space="preserve">99,060 </w:t>
            </w:r>
          </w:p>
          <w:p w14:paraId="33C7F9FE" w14:textId="131B7B6F"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(17.</w:t>
            </w:r>
            <w:r w:rsidR="00FC61DC" w:rsidRPr="001E4393">
              <w:rPr>
                <w:rFonts w:ascii="Times New Roman" w:eastAsia="Times New Roman" w:hAnsi="Times New Roman" w:cs="Times New Roman"/>
                <w:bCs/>
                <w:sz w:val="20"/>
                <w:szCs w:val="20"/>
              </w:rPr>
              <w:t>4</w:t>
            </w:r>
            <w:r w:rsidRPr="001E4393">
              <w:rPr>
                <w:rFonts w:ascii="Times New Roman" w:eastAsia="Times New Roman" w:hAnsi="Times New Roman" w:cs="Times New Roman"/>
                <w:bCs/>
                <w:sz w:val="20"/>
                <w:szCs w:val="20"/>
              </w:rPr>
              <w:t>%)</w:t>
            </w:r>
          </w:p>
        </w:tc>
        <w:tc>
          <w:tcPr>
            <w:tcW w:w="1620" w:type="dxa"/>
            <w:vAlign w:val="center"/>
          </w:tcPr>
          <w:p w14:paraId="19CE4231" w14:textId="4FDA958D"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234,980 (41.</w:t>
            </w:r>
            <w:r w:rsidR="00FC61DC" w:rsidRPr="001E4393">
              <w:rPr>
                <w:rFonts w:ascii="Times New Roman" w:eastAsia="Times New Roman" w:hAnsi="Times New Roman" w:cs="Times New Roman"/>
                <w:bCs/>
                <w:sz w:val="20"/>
                <w:szCs w:val="20"/>
              </w:rPr>
              <w:t>2</w:t>
            </w:r>
            <w:r w:rsidRPr="001E4393">
              <w:rPr>
                <w:rFonts w:ascii="Times New Roman" w:eastAsia="Times New Roman" w:hAnsi="Times New Roman" w:cs="Times New Roman"/>
                <w:bCs/>
                <w:sz w:val="20"/>
                <w:szCs w:val="20"/>
              </w:rPr>
              <w:t>%)</w:t>
            </w:r>
          </w:p>
        </w:tc>
        <w:tc>
          <w:tcPr>
            <w:tcW w:w="1620" w:type="dxa"/>
            <w:vAlign w:val="center"/>
          </w:tcPr>
          <w:p w14:paraId="1283BC44" w14:textId="77777777" w:rsidR="00FC61DC"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 xml:space="preserve">236,440 </w:t>
            </w:r>
          </w:p>
          <w:p w14:paraId="18CE1F21" w14:textId="50C43721" w:rsidR="00752FC3" w:rsidRPr="001E4393" w:rsidRDefault="00752FC3" w:rsidP="00400FDA">
            <w:pPr>
              <w:spacing w:line="276"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(41.</w:t>
            </w:r>
            <w:r w:rsidR="00FC61DC" w:rsidRPr="001E4393">
              <w:rPr>
                <w:rFonts w:ascii="Times New Roman" w:eastAsia="Times New Roman" w:hAnsi="Times New Roman" w:cs="Times New Roman"/>
                <w:bCs/>
                <w:sz w:val="20"/>
                <w:szCs w:val="20"/>
              </w:rPr>
              <w:t>5</w:t>
            </w:r>
            <w:r w:rsidRPr="001E4393">
              <w:rPr>
                <w:rFonts w:ascii="Times New Roman" w:eastAsia="Times New Roman" w:hAnsi="Times New Roman" w:cs="Times New Roman"/>
                <w:bCs/>
                <w:sz w:val="20"/>
                <w:szCs w:val="20"/>
              </w:rPr>
              <w:t>%)</w:t>
            </w:r>
          </w:p>
        </w:tc>
        <w:tc>
          <w:tcPr>
            <w:tcW w:w="1751" w:type="dxa"/>
            <w:vAlign w:val="center"/>
          </w:tcPr>
          <w:p w14:paraId="368CF9D9"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570,480</w:t>
            </w:r>
          </w:p>
        </w:tc>
      </w:tr>
      <w:tr w:rsidR="00752FC3" w14:paraId="6F5CA05C" w14:textId="77777777" w:rsidTr="00400FDA">
        <w:trPr>
          <w:trHeight w:val="704"/>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AFE3F0" w14:textId="77777777" w:rsidR="00752FC3" w:rsidRPr="001E4393" w:rsidRDefault="00752FC3" w:rsidP="00400FDA">
            <w:pPr>
              <w:jc w:val="center"/>
              <w:rPr>
                <w:rFonts w:ascii="Times New Roman" w:eastAsia="Times New Roman" w:hAnsi="Times New Roman" w:cs="Times New Roman"/>
                <w:b/>
                <w:sz w:val="20"/>
                <w:szCs w:val="20"/>
              </w:rPr>
            </w:pPr>
            <w:r w:rsidRPr="001E4393">
              <w:rPr>
                <w:rFonts w:ascii="Times New Roman" w:eastAsia="Times New Roman" w:hAnsi="Times New Roman" w:cs="Times New Roman"/>
                <w:b/>
                <w:sz w:val="20"/>
                <w:szCs w:val="20"/>
              </w:rPr>
              <w:t>Average Across Experiments</w:t>
            </w:r>
          </w:p>
        </w:tc>
        <w:tc>
          <w:tcPr>
            <w:tcW w:w="1080" w:type="dxa"/>
            <w:tcBorders>
              <w:left w:val="single" w:sz="4" w:space="0" w:color="auto"/>
            </w:tcBorders>
            <w:vAlign w:val="center"/>
          </w:tcPr>
          <w:p w14:paraId="27C86CF8" w14:textId="77777777"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100,000</w:t>
            </w:r>
          </w:p>
        </w:tc>
        <w:tc>
          <w:tcPr>
            <w:tcW w:w="1530" w:type="dxa"/>
            <w:vAlign w:val="center"/>
          </w:tcPr>
          <w:p w14:paraId="24BDE6EC" w14:textId="60566759"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117,153</w:t>
            </w:r>
          </w:p>
          <w:p w14:paraId="4F092675" w14:textId="12B2B5C0" w:rsidR="00FC61DC" w:rsidRPr="001E4393" w:rsidRDefault="00FC61DC"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(28.2%)</w:t>
            </w:r>
          </w:p>
        </w:tc>
        <w:tc>
          <w:tcPr>
            <w:tcW w:w="1620" w:type="dxa"/>
            <w:vAlign w:val="center"/>
          </w:tcPr>
          <w:p w14:paraId="22B9B481" w14:textId="72D66FE8"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154,67</w:t>
            </w:r>
            <w:r w:rsidR="00FC61DC" w:rsidRPr="001E4393">
              <w:rPr>
                <w:rFonts w:ascii="Times New Roman" w:eastAsia="Times New Roman" w:hAnsi="Times New Roman" w:cs="Times New Roman"/>
                <w:bCs/>
                <w:sz w:val="20"/>
                <w:szCs w:val="20"/>
              </w:rPr>
              <w:t>7</w:t>
            </w:r>
          </w:p>
          <w:p w14:paraId="2D153178" w14:textId="6CF33F52" w:rsidR="00FC61DC" w:rsidRPr="001E4393" w:rsidRDefault="00FC61DC"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(37.2%)</w:t>
            </w:r>
          </w:p>
        </w:tc>
        <w:tc>
          <w:tcPr>
            <w:tcW w:w="1620" w:type="dxa"/>
            <w:vAlign w:val="center"/>
          </w:tcPr>
          <w:p w14:paraId="4C64C0AA" w14:textId="70354A0B"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143,988</w:t>
            </w:r>
          </w:p>
          <w:p w14:paraId="21178FB4" w14:textId="4AD10BF3" w:rsidR="00FC61DC" w:rsidRPr="001E4393" w:rsidRDefault="00FC61DC"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(34.6%)</w:t>
            </w:r>
          </w:p>
        </w:tc>
        <w:tc>
          <w:tcPr>
            <w:tcW w:w="1751" w:type="dxa"/>
            <w:vAlign w:val="center"/>
          </w:tcPr>
          <w:p w14:paraId="1FF0AE54" w14:textId="4136BB68" w:rsidR="00752FC3" w:rsidRPr="001E4393" w:rsidRDefault="00752FC3" w:rsidP="00400FDA">
            <w:pPr>
              <w:spacing w:line="360" w:lineRule="auto"/>
              <w:jc w:val="center"/>
              <w:rPr>
                <w:rFonts w:ascii="Times New Roman" w:eastAsia="Times New Roman" w:hAnsi="Times New Roman" w:cs="Times New Roman"/>
                <w:bCs/>
                <w:sz w:val="20"/>
                <w:szCs w:val="20"/>
              </w:rPr>
            </w:pPr>
            <w:r w:rsidRPr="001E4393">
              <w:rPr>
                <w:rFonts w:ascii="Times New Roman" w:eastAsia="Times New Roman" w:hAnsi="Times New Roman" w:cs="Times New Roman"/>
                <w:bCs/>
                <w:sz w:val="20"/>
                <w:szCs w:val="20"/>
              </w:rPr>
              <w:t>415,818</w:t>
            </w:r>
          </w:p>
        </w:tc>
      </w:tr>
    </w:tbl>
    <w:p w14:paraId="36C207E9" w14:textId="56104334" w:rsidR="001E4393" w:rsidRPr="00E87F97" w:rsidRDefault="001E4393" w:rsidP="001E4393">
      <w:pPr>
        <w:spacing w:before="240"/>
        <w:jc w:val="both"/>
        <w:rPr>
          <w:rFonts w:ascii="Times New Roman" w:eastAsia="Times New Roman" w:hAnsi="Times New Roman" w:cs="Times New Roman"/>
          <w:b/>
          <w:sz w:val="24"/>
          <w:szCs w:val="24"/>
        </w:rPr>
      </w:pPr>
      <w:r w:rsidRPr="00E87F97">
        <w:rPr>
          <w:rFonts w:ascii="Times New Roman" w:eastAsia="Times New Roman" w:hAnsi="Times New Roman" w:cs="Times New Roman"/>
          <w:b/>
          <w:sz w:val="24"/>
          <w:szCs w:val="24"/>
        </w:rPr>
        <w:t xml:space="preserve">Supplementary Video 1. Representative Video of DEP Sorting of mNSPCs. </w:t>
      </w:r>
      <w:r w:rsidRPr="00E87F97">
        <w:rPr>
          <w:rFonts w:ascii="Times New Roman" w:eastAsia="Times New Roman" w:hAnsi="Times New Roman" w:cs="Times New Roman"/>
          <w:bCs/>
          <w:sz w:val="24"/>
          <w:szCs w:val="24"/>
        </w:rPr>
        <w:t>This video illustrates the sequential hydrodynamic focusing and DEP sorting of mNSPCs within the HOAPES microfluidic device. In the first segment, cells enter the hydrophoretic module, where passive hydrodynamic forces direct them toward the microchannel walls, producing two well-defined cell streams before they enter the DEP sorting region. The second segment demonstrates DEP sorting with the electrode array actuated at 400 kHz at 3</w:t>
      </w:r>
      <w:r w:rsidR="006F686E" w:rsidRPr="00E87F97">
        <w:rPr>
          <w:rFonts w:ascii="Times New Roman" w:eastAsia="Times New Roman" w:hAnsi="Times New Roman" w:cs="Times New Roman"/>
          <w:bCs/>
          <w:sz w:val="24"/>
          <w:szCs w:val="24"/>
        </w:rPr>
        <w:t>.</w:t>
      </w:r>
      <w:r w:rsidRPr="00E87F97">
        <w:rPr>
          <w:rFonts w:ascii="Times New Roman" w:eastAsia="Times New Roman" w:hAnsi="Times New Roman" w:cs="Times New Roman"/>
          <w:bCs/>
          <w:sz w:val="24"/>
          <w:szCs w:val="24"/>
        </w:rPr>
        <w:t>3 V</w:t>
      </w:r>
      <w:r w:rsidRPr="00E87F97">
        <w:rPr>
          <w:rFonts w:ascii="Times New Roman" w:eastAsia="Times New Roman" w:hAnsi="Times New Roman" w:cs="Times New Roman"/>
          <w:bCs/>
          <w:sz w:val="24"/>
          <w:szCs w:val="24"/>
          <w:vertAlign w:val="subscript"/>
        </w:rPr>
        <w:t>pp</w:t>
      </w:r>
      <w:r w:rsidRPr="00E87F97">
        <w:rPr>
          <w:rFonts w:ascii="Times New Roman" w:eastAsia="Times New Roman" w:hAnsi="Times New Roman" w:cs="Times New Roman"/>
          <w:bCs/>
          <w:sz w:val="24"/>
          <w:szCs w:val="24"/>
        </w:rPr>
        <w:t>. Cells exhibiting positive DEP behavior are observed migrating along the chevron-patterned electrodes as they move through the sorting channel. These cells are progressively focused toward the center of the channel and collected through the center outlet (O1), whereas the remaining cell populations exit through the adjacent outlet channels (O2 and O3). Cells collected from each outlet were subsequently used for electrophysiological, molecular, and ICC analyses.</w:t>
      </w:r>
    </w:p>
    <w:p w14:paraId="1AD29986" w14:textId="77777777" w:rsidR="002D5F4B" w:rsidRDefault="002D5F4B">
      <w:pPr>
        <w:jc w:val="both"/>
        <w:rPr>
          <w:rFonts w:ascii="Times New Roman" w:eastAsia="Times New Roman" w:hAnsi="Times New Roman" w:cs="Times New Roman"/>
          <w:sz w:val="24"/>
          <w:szCs w:val="24"/>
        </w:rPr>
      </w:pPr>
    </w:p>
    <w:p w14:paraId="0A72DE4D" w14:textId="77777777" w:rsidR="00B3123A" w:rsidRDefault="00000000">
      <w:pPr>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69531F5" wp14:editId="24AA2E0A">
            <wp:extent cx="5943600" cy="1695227"/>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t="19666" b="29622"/>
                    <a:stretch>
                      <a:fillRect/>
                    </a:stretch>
                  </pic:blipFill>
                  <pic:spPr>
                    <a:xfrm>
                      <a:off x="0" y="0"/>
                      <a:ext cx="5943600" cy="1695227"/>
                    </a:xfrm>
                    <a:prstGeom prst="rect">
                      <a:avLst/>
                    </a:prstGeom>
                    <a:ln/>
                  </pic:spPr>
                </pic:pic>
              </a:graphicData>
            </a:graphic>
          </wp:inline>
        </w:drawing>
      </w:r>
    </w:p>
    <w:p w14:paraId="7D808003" w14:textId="0FC8C286" w:rsidR="00FA2CCF" w:rsidRPr="00B640CE" w:rsidRDefault="00FA2CCF" w:rsidP="00FA2CCF">
      <w:pPr>
        <w:jc w:val="both"/>
        <w:rPr>
          <w:rFonts w:ascii="Times New Roman" w:eastAsia="Times New Roman" w:hAnsi="Times New Roman" w:cs="Times New Roman"/>
          <w:sz w:val="24"/>
          <w:szCs w:val="24"/>
        </w:rPr>
      </w:pPr>
      <w:r w:rsidRPr="00FA2CCF">
        <w:rPr>
          <w:rFonts w:ascii="Times New Roman" w:eastAsia="Times New Roman" w:hAnsi="Times New Roman" w:cs="Times New Roman"/>
          <w:b/>
          <w:sz w:val="24"/>
          <w:szCs w:val="24"/>
        </w:rPr>
        <w:t>Supplementary Figure 3. Expression of neuronal differentiation-associated genes in DEP-sorted undifferentiated mNSPCs.</w:t>
      </w:r>
      <w:r>
        <w:rPr>
          <w:rFonts w:ascii="Times New Roman" w:eastAsia="Times New Roman" w:hAnsi="Times New Roman" w:cs="Times New Roman"/>
          <w:b/>
          <w:sz w:val="24"/>
          <w:szCs w:val="24"/>
        </w:rPr>
        <w:t xml:space="preserve"> </w:t>
      </w:r>
      <w:r w:rsidRPr="00FA2CCF">
        <w:rPr>
          <w:rFonts w:ascii="Times New Roman" w:eastAsia="Times New Roman" w:hAnsi="Times New Roman" w:cs="Times New Roman"/>
          <w:sz w:val="24"/>
          <w:szCs w:val="24"/>
        </w:rPr>
        <w:t xml:space="preserve">Relative </w:t>
      </w:r>
      <w:r w:rsidRPr="00234480">
        <w:rPr>
          <w:rFonts w:ascii="Times New Roman" w:eastAsia="Times New Roman" w:hAnsi="Times New Roman" w:cs="Times New Roman"/>
          <w:sz w:val="24"/>
          <w:szCs w:val="24"/>
        </w:rPr>
        <w:t>expression of (A) NeuroD1 and (B) Dclk2 in</w:t>
      </w:r>
      <w:r w:rsidR="006F686E" w:rsidRPr="00234480">
        <w:rPr>
          <w:rFonts w:ascii="Times New Roman" w:eastAsia="Times New Roman" w:hAnsi="Times New Roman" w:cs="Times New Roman"/>
          <w:sz w:val="24"/>
          <w:szCs w:val="24"/>
        </w:rPr>
        <w:t xml:space="preserve"> BUFFER and</w:t>
      </w:r>
      <w:r w:rsidRPr="00234480">
        <w:rPr>
          <w:rFonts w:ascii="Times New Roman" w:eastAsia="Times New Roman" w:hAnsi="Times New Roman" w:cs="Times New Roman"/>
          <w:sz w:val="24"/>
          <w:szCs w:val="24"/>
        </w:rPr>
        <w:t xml:space="preserve"> DEP-sorted undifferentiated mNSPC populations  </w:t>
      </w:r>
      <w:r w:rsidR="006F686E" w:rsidRPr="00234480">
        <w:rPr>
          <w:rFonts w:ascii="Times New Roman" w:eastAsia="Times New Roman" w:hAnsi="Times New Roman" w:cs="Times New Roman"/>
          <w:sz w:val="24"/>
          <w:szCs w:val="24"/>
        </w:rPr>
        <w:t>(</w:t>
      </w:r>
      <w:r w:rsidRPr="00234480">
        <w:rPr>
          <w:rFonts w:ascii="Times New Roman" w:eastAsia="Times New Roman" w:hAnsi="Times New Roman" w:cs="Times New Roman"/>
          <w:sz w:val="24"/>
          <w:szCs w:val="24"/>
        </w:rPr>
        <w:t xml:space="preserve">O1, O2, and O3). One-way ANOVA revealed no statistically significant differences among groups. </w:t>
      </w:r>
      <w:r w:rsidR="00B640CE" w:rsidRPr="00234480">
        <w:rPr>
          <w:rFonts w:ascii="Times New Roman" w:eastAsia="Times New Roman" w:hAnsi="Times New Roman" w:cs="Times New Roman"/>
          <w:sz w:val="24"/>
          <w:szCs w:val="24"/>
        </w:rPr>
        <w:t>Relative gene expression was calculated using the 2⁻ΔΔCt method</w:t>
      </w:r>
      <w:r w:rsidR="00427451" w:rsidRPr="00234480">
        <w:rPr>
          <w:rFonts w:ascii="Times New Roman" w:eastAsia="Times New Roman" w:hAnsi="Times New Roman" w:cs="Times New Roman"/>
          <w:sz w:val="24"/>
          <w:szCs w:val="24"/>
        </w:rPr>
        <w:t>,</w:t>
      </w:r>
      <w:r w:rsidR="00B640CE" w:rsidRPr="00234480">
        <w:rPr>
          <w:rFonts w:ascii="Times New Roman" w:eastAsia="Times New Roman" w:hAnsi="Times New Roman" w:cs="Times New Roman"/>
          <w:sz w:val="24"/>
          <w:szCs w:val="24"/>
        </w:rPr>
        <w:t xml:space="preserve"> with GAPDH used as the housekeeping gene and MCcrtx used as the calibrator sample (relative expression = 1; not shown). BUFFER</w:t>
      </w:r>
      <w:r w:rsidR="008931EE" w:rsidRPr="00234480">
        <w:rPr>
          <w:rFonts w:ascii="Times New Roman" w:eastAsia="Times New Roman" w:hAnsi="Times New Roman" w:cs="Times New Roman"/>
          <w:sz w:val="24"/>
          <w:szCs w:val="24"/>
        </w:rPr>
        <w:t xml:space="preserve"> is</w:t>
      </w:r>
      <w:r w:rsidR="00B640CE" w:rsidRPr="00234480">
        <w:rPr>
          <w:rFonts w:ascii="Times New Roman" w:eastAsia="Times New Roman" w:hAnsi="Times New Roman" w:cs="Times New Roman"/>
          <w:sz w:val="24"/>
          <w:szCs w:val="24"/>
        </w:rPr>
        <w:t xml:space="preserve"> shown as the experimental control for comparison with the DEP-sorted </w:t>
      </w:r>
      <w:r w:rsidR="00427451" w:rsidRPr="00234480">
        <w:rPr>
          <w:rFonts w:ascii="Times New Roman" w:eastAsia="Times New Roman" w:hAnsi="Times New Roman" w:cs="Times New Roman"/>
          <w:sz w:val="24"/>
          <w:szCs w:val="24"/>
        </w:rPr>
        <w:t xml:space="preserve">undifferentiated mNSPC </w:t>
      </w:r>
      <w:r w:rsidR="00B640CE" w:rsidRPr="00234480">
        <w:rPr>
          <w:rFonts w:ascii="Times New Roman" w:eastAsia="Times New Roman" w:hAnsi="Times New Roman" w:cs="Times New Roman"/>
          <w:sz w:val="24"/>
          <w:szCs w:val="24"/>
        </w:rPr>
        <w:t xml:space="preserve">populations (O1, O2, and O3). </w:t>
      </w:r>
      <w:r w:rsidRPr="00FA2CCF">
        <w:rPr>
          <w:rFonts w:ascii="Times New Roman" w:eastAsia="Times New Roman" w:hAnsi="Times New Roman" w:cs="Times New Roman"/>
          <w:sz w:val="24"/>
          <w:szCs w:val="24"/>
        </w:rPr>
        <w:t>Biological replicates consisted of n=3 independent experiments, with technical qPCR replicates averaged for each biological sample. Dclk2 analysis for O2 was performed using n=2 biological replicates due to limited sample availability.</w:t>
      </w:r>
    </w:p>
    <w:p w14:paraId="587F5E40" w14:textId="77777777" w:rsidR="00FA2CCF" w:rsidRDefault="00FA2CCF" w:rsidP="00FA2CCF">
      <w:pPr>
        <w:jc w:val="both"/>
        <w:rPr>
          <w:rFonts w:ascii="Times New Roman" w:eastAsia="Times New Roman" w:hAnsi="Times New Roman" w:cs="Times New Roman"/>
          <w:sz w:val="24"/>
          <w:szCs w:val="24"/>
        </w:rPr>
      </w:pPr>
    </w:p>
    <w:p w14:paraId="666D9634" w14:textId="4F86B2A7" w:rsidR="00B3123A" w:rsidRDefault="00000000" w:rsidP="00FA2CCF">
      <w:pPr>
        <w:jc w:val="both"/>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114300" distB="114300" distL="114300" distR="114300" wp14:anchorId="2FB50BA7" wp14:editId="4F8CCD39">
            <wp:extent cx="5943600" cy="1745400"/>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t="19442" b="28395"/>
                    <a:stretch>
                      <a:fillRect/>
                    </a:stretch>
                  </pic:blipFill>
                  <pic:spPr>
                    <a:xfrm>
                      <a:off x="0" y="0"/>
                      <a:ext cx="5943600" cy="1745400"/>
                    </a:xfrm>
                    <a:prstGeom prst="rect">
                      <a:avLst/>
                    </a:prstGeom>
                    <a:ln/>
                  </pic:spPr>
                </pic:pic>
              </a:graphicData>
            </a:graphic>
          </wp:inline>
        </w:drawing>
      </w:r>
    </w:p>
    <w:p w14:paraId="152839CF" w14:textId="1D23ED53" w:rsidR="00B3123A" w:rsidRPr="00390565" w:rsidRDefault="00A74563" w:rsidP="00006C95">
      <w:pPr>
        <w:jc w:val="both"/>
        <w:rPr>
          <w:rFonts w:ascii="Times New Roman" w:eastAsia="Times New Roman" w:hAnsi="Times New Roman" w:cs="Times New Roman"/>
          <w:b/>
          <w:sz w:val="24"/>
          <w:szCs w:val="24"/>
        </w:rPr>
      </w:pPr>
      <w:r w:rsidRPr="00A74563">
        <w:rPr>
          <w:rFonts w:ascii="Times New Roman" w:eastAsia="Times New Roman" w:hAnsi="Times New Roman" w:cs="Times New Roman"/>
          <w:b/>
          <w:sz w:val="24"/>
          <w:szCs w:val="24"/>
        </w:rPr>
        <w:t xml:space="preserve">Supplementary Figure 4. MAP2 </w:t>
      </w:r>
      <w:r w:rsidR="001966AE">
        <w:rPr>
          <w:rFonts w:ascii="Times New Roman" w:eastAsia="Times New Roman" w:hAnsi="Times New Roman" w:cs="Times New Roman"/>
          <w:b/>
          <w:sz w:val="24"/>
          <w:szCs w:val="24"/>
        </w:rPr>
        <w:t>ICC</w:t>
      </w:r>
      <w:r w:rsidRPr="00A74563">
        <w:rPr>
          <w:rFonts w:ascii="Times New Roman" w:eastAsia="Times New Roman" w:hAnsi="Times New Roman" w:cs="Times New Roman"/>
          <w:b/>
          <w:sz w:val="24"/>
          <w:szCs w:val="24"/>
        </w:rPr>
        <w:t xml:space="preserve"> analysis of DEP-sorted differentiated mNSPC populations.</w:t>
      </w:r>
      <w:r w:rsidR="00390565">
        <w:rPr>
          <w:rFonts w:ascii="Times New Roman" w:eastAsia="Times New Roman" w:hAnsi="Times New Roman" w:cs="Times New Roman"/>
          <w:sz w:val="24"/>
          <w:szCs w:val="24"/>
        </w:rPr>
        <w:t xml:space="preserve"> </w:t>
      </w:r>
      <w:r w:rsidRPr="00A74563">
        <w:rPr>
          <w:rFonts w:ascii="Times New Roman" w:eastAsia="Times New Roman" w:hAnsi="Times New Roman" w:cs="Times New Roman"/>
          <w:sz w:val="24"/>
          <w:szCs w:val="24"/>
        </w:rPr>
        <w:t>(A) Representative immunofluorescence images of differentiated DEP-sorted populations stained with Hoechst (blue) and MAP2 (green). (B) Quantification of MAP2</w:t>
      </w:r>
      <w:r w:rsidR="001966AE">
        <w:rPr>
          <w:rFonts w:ascii="Times New Roman" w:eastAsia="Times New Roman" w:hAnsi="Times New Roman" w:cs="Times New Roman"/>
          <w:sz w:val="24"/>
          <w:szCs w:val="24"/>
        </w:rPr>
        <w:t>+</w:t>
      </w:r>
      <w:r w:rsidRPr="00A74563">
        <w:rPr>
          <w:rFonts w:ascii="Times New Roman" w:eastAsia="Times New Roman" w:hAnsi="Times New Roman" w:cs="Times New Roman"/>
          <w:sz w:val="24"/>
          <w:szCs w:val="24"/>
        </w:rPr>
        <w:t xml:space="preserve"> cells revealed no statistically significant differences among DEP-sorted populations, suggesting that MAP2 expression was maintained across all sorting conditions (n=3).</w:t>
      </w:r>
      <w:r>
        <w:rPr>
          <w:rFonts w:ascii="Times New Roman" w:eastAsia="Times New Roman" w:hAnsi="Times New Roman" w:cs="Times New Roman"/>
          <w:sz w:val="24"/>
          <w:szCs w:val="24"/>
        </w:rPr>
        <w:t xml:space="preserve"> </w:t>
      </w:r>
      <w:r w:rsidRPr="00A74563">
        <w:rPr>
          <w:rFonts w:ascii="Times New Roman" w:eastAsia="Times New Roman" w:hAnsi="Times New Roman" w:cs="Times New Roman"/>
          <w:sz w:val="24"/>
          <w:szCs w:val="24"/>
        </w:rPr>
        <w:t>Statistical analysis was performed using one-way ANOVA, which revealed no significant differences among groups (p &gt; 0.05).</w:t>
      </w:r>
    </w:p>
    <w:p w14:paraId="663CAB08" w14:textId="77777777" w:rsidR="002D5F4B" w:rsidRDefault="002D5F4B" w:rsidP="00006C95">
      <w:pPr>
        <w:jc w:val="both"/>
        <w:rPr>
          <w:rFonts w:ascii="Times New Roman" w:eastAsia="Times New Roman" w:hAnsi="Times New Roman" w:cs="Times New Roman"/>
          <w:sz w:val="24"/>
          <w:szCs w:val="24"/>
        </w:rPr>
      </w:pPr>
    </w:p>
    <w:p w14:paraId="4B66C235" w14:textId="5CEFCD84" w:rsidR="00B55A65" w:rsidRPr="00E87F97" w:rsidRDefault="001E4393" w:rsidP="002D5F4B">
      <w:pPr>
        <w:jc w:val="both"/>
        <w:rPr>
          <w:rFonts w:ascii="Times New Roman" w:eastAsia="Times New Roman" w:hAnsi="Times New Roman" w:cs="Times New Roman"/>
          <w:b/>
          <w:sz w:val="24"/>
          <w:szCs w:val="24"/>
        </w:rPr>
      </w:pPr>
      <w:r w:rsidRPr="00E87F97">
        <w:rPr>
          <w:rFonts w:ascii="Times New Roman" w:eastAsia="Times New Roman" w:hAnsi="Times New Roman" w:cs="Times New Roman"/>
          <w:b/>
          <w:sz w:val="24"/>
          <w:szCs w:val="24"/>
        </w:rPr>
        <w:t>Supplementary Table 2. Mean percentages of</w:t>
      </w:r>
      <w:r w:rsidR="001966AE" w:rsidRPr="00E87F97">
        <w:rPr>
          <w:rFonts w:ascii="Times New Roman" w:eastAsia="Times New Roman" w:hAnsi="Times New Roman" w:cs="Times New Roman"/>
          <w:b/>
          <w:sz w:val="24"/>
          <w:szCs w:val="24"/>
        </w:rPr>
        <w:t xml:space="preserve"> double</w:t>
      </w:r>
      <w:r w:rsidR="005F0214" w:rsidRPr="00E87F97">
        <w:rPr>
          <w:rFonts w:ascii="Times New Roman" w:eastAsia="Times New Roman" w:hAnsi="Times New Roman" w:cs="Times New Roman"/>
          <w:b/>
          <w:sz w:val="24"/>
          <w:szCs w:val="24"/>
        </w:rPr>
        <w:t>-</w:t>
      </w:r>
      <w:r w:rsidR="001966AE" w:rsidRPr="00E87F97">
        <w:rPr>
          <w:rFonts w:ascii="Times New Roman" w:eastAsia="Times New Roman" w:hAnsi="Times New Roman" w:cs="Times New Roman"/>
          <w:b/>
          <w:sz w:val="24"/>
          <w:szCs w:val="24"/>
        </w:rPr>
        <w:t>positive</w:t>
      </w:r>
      <w:r w:rsidRPr="00E87F97">
        <w:rPr>
          <w:rFonts w:ascii="Times New Roman" w:eastAsia="Times New Roman" w:hAnsi="Times New Roman" w:cs="Times New Roman"/>
          <w:b/>
          <w:sz w:val="24"/>
          <w:szCs w:val="24"/>
        </w:rPr>
        <w:t xml:space="preserve"> GABA+/TUJ1+ cells and fold enrichment across independent biological DEP sorting experiments.</w:t>
      </w:r>
      <w:r w:rsidRPr="00E87F97">
        <w:rPr>
          <w:rFonts w:ascii="Times New Roman" w:eastAsia="Times New Roman" w:hAnsi="Times New Roman" w:cs="Times New Roman"/>
          <w:bCs/>
          <w:sz w:val="24"/>
          <w:szCs w:val="24"/>
        </w:rPr>
        <w:t xml:space="preserve">  Mean percentages of </w:t>
      </w:r>
      <w:r w:rsidR="001966AE" w:rsidRPr="00E87F97">
        <w:rPr>
          <w:rFonts w:ascii="Times New Roman" w:eastAsia="Times New Roman" w:hAnsi="Times New Roman" w:cs="Times New Roman"/>
          <w:bCs/>
          <w:sz w:val="24"/>
          <w:szCs w:val="24"/>
        </w:rPr>
        <w:t>double</w:t>
      </w:r>
      <w:r w:rsidR="005F0214" w:rsidRPr="00E87F97">
        <w:rPr>
          <w:rFonts w:ascii="Times New Roman" w:eastAsia="Times New Roman" w:hAnsi="Times New Roman" w:cs="Times New Roman"/>
          <w:bCs/>
          <w:sz w:val="24"/>
          <w:szCs w:val="24"/>
        </w:rPr>
        <w:t>-</w:t>
      </w:r>
      <w:r w:rsidR="001966AE" w:rsidRPr="00E87F97">
        <w:rPr>
          <w:rFonts w:ascii="Times New Roman" w:eastAsia="Times New Roman" w:hAnsi="Times New Roman" w:cs="Times New Roman"/>
          <w:bCs/>
          <w:sz w:val="24"/>
          <w:szCs w:val="24"/>
        </w:rPr>
        <w:t xml:space="preserve">positive </w:t>
      </w:r>
      <w:r w:rsidRPr="00E87F97">
        <w:rPr>
          <w:rFonts w:ascii="Times New Roman" w:eastAsia="Times New Roman" w:hAnsi="Times New Roman" w:cs="Times New Roman"/>
          <w:bCs/>
          <w:sz w:val="24"/>
          <w:szCs w:val="24"/>
        </w:rPr>
        <w:t>GABA+/TUJ1+ cells are shown for BUFFER, O1, O2, and O3</w:t>
      </w:r>
      <w:r w:rsidR="001966AE" w:rsidRPr="00E87F97">
        <w:rPr>
          <w:rFonts w:ascii="Times New Roman" w:eastAsia="Times New Roman" w:hAnsi="Times New Roman" w:cs="Times New Roman"/>
          <w:bCs/>
          <w:sz w:val="24"/>
          <w:szCs w:val="24"/>
        </w:rPr>
        <w:t xml:space="preserve"> </w:t>
      </w:r>
      <w:r w:rsidRPr="00E87F97">
        <w:rPr>
          <w:rFonts w:ascii="Times New Roman" w:eastAsia="Times New Roman" w:hAnsi="Times New Roman" w:cs="Times New Roman"/>
          <w:bCs/>
          <w:sz w:val="24"/>
          <w:szCs w:val="24"/>
        </w:rPr>
        <w:t xml:space="preserve">across independent biological sorting experiments. Values represent the mean percentage calculated from five technical replicates within each biological experiment. Fold enrichment was calculated by dividing the percentage of </w:t>
      </w:r>
      <w:r w:rsidR="001966AE" w:rsidRPr="00E87F97">
        <w:rPr>
          <w:rFonts w:ascii="Times New Roman" w:eastAsia="Times New Roman" w:hAnsi="Times New Roman" w:cs="Times New Roman"/>
          <w:bCs/>
          <w:sz w:val="24"/>
          <w:szCs w:val="24"/>
        </w:rPr>
        <w:t>double</w:t>
      </w:r>
      <w:r w:rsidR="005F0214" w:rsidRPr="00E87F97">
        <w:rPr>
          <w:rFonts w:ascii="Times New Roman" w:eastAsia="Times New Roman" w:hAnsi="Times New Roman" w:cs="Times New Roman"/>
          <w:bCs/>
          <w:sz w:val="24"/>
          <w:szCs w:val="24"/>
        </w:rPr>
        <w:t>-</w:t>
      </w:r>
      <w:r w:rsidR="001966AE" w:rsidRPr="00E87F97">
        <w:rPr>
          <w:rFonts w:ascii="Times New Roman" w:eastAsia="Times New Roman" w:hAnsi="Times New Roman" w:cs="Times New Roman"/>
          <w:bCs/>
          <w:sz w:val="24"/>
          <w:szCs w:val="24"/>
        </w:rPr>
        <w:t xml:space="preserve">positive </w:t>
      </w:r>
      <w:r w:rsidRPr="00E87F97">
        <w:rPr>
          <w:rFonts w:ascii="Times New Roman" w:eastAsia="Times New Roman" w:hAnsi="Times New Roman" w:cs="Times New Roman"/>
          <w:bCs/>
          <w:sz w:val="24"/>
          <w:szCs w:val="24"/>
        </w:rPr>
        <w:t>GABA+/TUJ1+ cells in O2 by the corresponding percentage observed in the comparison population (BUFFER, O1, or O3) within the same biological experiment. BUFFER data were available for biological experiments 2 and 3. Fold enrichment values are reported as N/A when the comparison population contained 0% GABA+/TUJ1+ cells or when a BUFFER control was not included. The final row reports the mean fold enrichment calculated from biological experiments with valid comparison groups (n=2 and n=3). These data demonstrate consistent enrichment of GABA+/TUJ1+ cells within O2.</w:t>
      </w:r>
    </w:p>
    <w:tbl>
      <w:tblPr>
        <w:tblStyle w:val="TableGridLight"/>
        <w:tblW w:w="0" w:type="auto"/>
        <w:tblLook w:val="04A0" w:firstRow="1" w:lastRow="0" w:firstColumn="1" w:lastColumn="0" w:noHBand="0" w:noVBand="1"/>
      </w:tblPr>
      <w:tblGrid>
        <w:gridCol w:w="1705"/>
        <w:gridCol w:w="990"/>
        <w:gridCol w:w="1080"/>
        <w:gridCol w:w="990"/>
        <w:gridCol w:w="990"/>
        <w:gridCol w:w="1260"/>
        <w:gridCol w:w="1170"/>
        <w:gridCol w:w="1165"/>
      </w:tblGrid>
      <w:tr w:rsidR="000354F3" w14:paraId="29357F2A" w14:textId="77777777" w:rsidTr="00736335">
        <w:trPr>
          <w:trHeight w:val="512"/>
        </w:trPr>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5558CB" w14:textId="77777777" w:rsidR="00555BDE" w:rsidRPr="00B55A65" w:rsidRDefault="00555BDE" w:rsidP="00555BDE">
            <w:pPr>
              <w:jc w:val="center"/>
              <w:rPr>
                <w:rFonts w:eastAsia="Times New Roman" w:cs="Times New Roman"/>
                <w:b/>
                <w:sz w:val="20"/>
                <w:szCs w:val="20"/>
              </w:rPr>
            </w:pP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26BC" w14:textId="6683474C"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BUFFER</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A6BC9B" w14:textId="7B3084D6"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O1 (%)</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9E7D00" w14:textId="64172AEE"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O2 (%)</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2E11B0" w14:textId="0D7DF1EA"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O3 (%)</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69589D" w14:textId="1283A2DD"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O2 vs. BUFFER (Fold)</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796A68" w14:textId="6FAE7321"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O2 vs. O1 (Fold)</w:t>
            </w:r>
          </w:p>
        </w:tc>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F3FCCA" w14:textId="1139F280"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O2 vs. O3 (Fold)</w:t>
            </w:r>
          </w:p>
        </w:tc>
      </w:tr>
      <w:tr w:rsidR="00736335" w14:paraId="339F69BB" w14:textId="77777777" w:rsidTr="00736335">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946BA4" w14:textId="77777777"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 xml:space="preserve">Biological </w:t>
            </w:r>
          </w:p>
          <w:p w14:paraId="045C476D" w14:textId="00922B51"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n=1</w:t>
            </w:r>
          </w:p>
        </w:tc>
        <w:tc>
          <w:tcPr>
            <w:tcW w:w="990" w:type="dxa"/>
            <w:tcBorders>
              <w:top w:val="single" w:sz="4" w:space="0" w:color="auto"/>
              <w:left w:val="single" w:sz="4" w:space="0" w:color="auto"/>
            </w:tcBorders>
            <w:vAlign w:val="center"/>
          </w:tcPr>
          <w:p w14:paraId="632CD9EA" w14:textId="1DE13CBE"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n/a</w:t>
            </w:r>
          </w:p>
        </w:tc>
        <w:tc>
          <w:tcPr>
            <w:tcW w:w="1080" w:type="dxa"/>
            <w:tcBorders>
              <w:top w:val="single" w:sz="4" w:space="0" w:color="auto"/>
            </w:tcBorders>
            <w:vAlign w:val="center"/>
          </w:tcPr>
          <w:p w14:paraId="4AB0E47D" w14:textId="191EBB69"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0.46</w:t>
            </w:r>
          </w:p>
        </w:tc>
        <w:tc>
          <w:tcPr>
            <w:tcW w:w="990" w:type="dxa"/>
            <w:tcBorders>
              <w:top w:val="single" w:sz="4" w:space="0" w:color="auto"/>
            </w:tcBorders>
            <w:vAlign w:val="center"/>
          </w:tcPr>
          <w:p w14:paraId="7F3A5A43" w14:textId="2D9759C2" w:rsidR="00555BDE" w:rsidRPr="00047618" w:rsidRDefault="00B55A65" w:rsidP="00B55A65">
            <w:pPr>
              <w:jc w:val="center"/>
              <w:rPr>
                <w:rFonts w:eastAsia="Times New Roman" w:cs="Times New Roman"/>
                <w:bCs/>
                <w:color w:val="000000" w:themeColor="text1"/>
                <w:sz w:val="20"/>
                <w:szCs w:val="20"/>
              </w:rPr>
            </w:pPr>
            <w:r w:rsidRPr="00047618">
              <w:rPr>
                <w:rFonts w:eastAsia="Times New Roman" w:cs="Times New Roman"/>
                <w:bCs/>
                <w:color w:val="000000" w:themeColor="text1"/>
                <w:sz w:val="20"/>
                <w:szCs w:val="20"/>
              </w:rPr>
              <w:t>0.63</w:t>
            </w:r>
          </w:p>
        </w:tc>
        <w:tc>
          <w:tcPr>
            <w:tcW w:w="990" w:type="dxa"/>
            <w:tcBorders>
              <w:top w:val="single" w:sz="4" w:space="0" w:color="auto"/>
            </w:tcBorders>
            <w:vAlign w:val="center"/>
          </w:tcPr>
          <w:p w14:paraId="7CA5A7C9" w14:textId="225B37BA"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0</w:t>
            </w:r>
          </w:p>
        </w:tc>
        <w:tc>
          <w:tcPr>
            <w:tcW w:w="1260" w:type="dxa"/>
            <w:tcBorders>
              <w:top w:val="single" w:sz="4" w:space="0" w:color="auto"/>
            </w:tcBorders>
            <w:vAlign w:val="center"/>
          </w:tcPr>
          <w:p w14:paraId="7A22B5FD" w14:textId="6B19A705"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n/a</w:t>
            </w:r>
          </w:p>
        </w:tc>
        <w:tc>
          <w:tcPr>
            <w:tcW w:w="1170" w:type="dxa"/>
            <w:tcBorders>
              <w:top w:val="single" w:sz="4" w:space="0" w:color="auto"/>
            </w:tcBorders>
            <w:vAlign w:val="center"/>
          </w:tcPr>
          <w:p w14:paraId="20ACA160" w14:textId="3503A361"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1.38</w:t>
            </w:r>
            <w:r w:rsidR="00AE717E">
              <w:rPr>
                <w:rFonts w:eastAsia="Times New Roman" w:cs="Times New Roman"/>
                <w:bCs/>
                <w:sz w:val="20"/>
                <w:szCs w:val="20"/>
              </w:rPr>
              <w:t>x</w:t>
            </w:r>
          </w:p>
        </w:tc>
        <w:tc>
          <w:tcPr>
            <w:tcW w:w="1165" w:type="dxa"/>
            <w:tcBorders>
              <w:top w:val="single" w:sz="4" w:space="0" w:color="auto"/>
            </w:tcBorders>
            <w:vAlign w:val="center"/>
          </w:tcPr>
          <w:p w14:paraId="19B79A19" w14:textId="192C403A"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n/a</w:t>
            </w:r>
          </w:p>
        </w:tc>
      </w:tr>
      <w:tr w:rsidR="00736335" w14:paraId="4896C382" w14:textId="77777777" w:rsidTr="00736335">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1B0AB9" w14:textId="77777777"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 xml:space="preserve">Biological </w:t>
            </w:r>
          </w:p>
          <w:p w14:paraId="05A7EAB4" w14:textId="12F22250"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n=2</w:t>
            </w:r>
          </w:p>
        </w:tc>
        <w:tc>
          <w:tcPr>
            <w:tcW w:w="990" w:type="dxa"/>
            <w:tcBorders>
              <w:left w:val="single" w:sz="4" w:space="0" w:color="auto"/>
            </w:tcBorders>
            <w:vAlign w:val="center"/>
          </w:tcPr>
          <w:p w14:paraId="15E39E9C" w14:textId="7E508998"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5.60</w:t>
            </w:r>
          </w:p>
        </w:tc>
        <w:tc>
          <w:tcPr>
            <w:tcW w:w="1080" w:type="dxa"/>
            <w:vAlign w:val="center"/>
          </w:tcPr>
          <w:p w14:paraId="58488862" w14:textId="5E442A1D"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1.27</w:t>
            </w:r>
          </w:p>
        </w:tc>
        <w:tc>
          <w:tcPr>
            <w:tcW w:w="990" w:type="dxa"/>
            <w:vAlign w:val="center"/>
          </w:tcPr>
          <w:p w14:paraId="71A4FCE7" w14:textId="6B84FDC7"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13.69</w:t>
            </w:r>
          </w:p>
        </w:tc>
        <w:tc>
          <w:tcPr>
            <w:tcW w:w="990" w:type="dxa"/>
            <w:vAlign w:val="center"/>
          </w:tcPr>
          <w:p w14:paraId="618719EF" w14:textId="77DB721C"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1.97</w:t>
            </w:r>
          </w:p>
        </w:tc>
        <w:tc>
          <w:tcPr>
            <w:tcW w:w="1260" w:type="dxa"/>
            <w:vAlign w:val="center"/>
          </w:tcPr>
          <w:p w14:paraId="16FAD4F2" w14:textId="2A95D283"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2.45</w:t>
            </w:r>
            <w:r w:rsidR="00AE717E">
              <w:rPr>
                <w:rFonts w:eastAsia="Times New Roman" w:cs="Times New Roman"/>
                <w:bCs/>
                <w:sz w:val="20"/>
                <w:szCs w:val="20"/>
              </w:rPr>
              <w:t>x</w:t>
            </w:r>
          </w:p>
        </w:tc>
        <w:tc>
          <w:tcPr>
            <w:tcW w:w="1170" w:type="dxa"/>
            <w:vAlign w:val="center"/>
          </w:tcPr>
          <w:p w14:paraId="2FC809B4" w14:textId="0566360B"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10.80</w:t>
            </w:r>
            <w:r w:rsidR="00AE717E">
              <w:rPr>
                <w:rFonts w:eastAsia="Times New Roman" w:cs="Times New Roman"/>
                <w:bCs/>
                <w:sz w:val="20"/>
                <w:szCs w:val="20"/>
              </w:rPr>
              <w:t>x</w:t>
            </w:r>
          </w:p>
        </w:tc>
        <w:tc>
          <w:tcPr>
            <w:tcW w:w="1165" w:type="dxa"/>
            <w:vAlign w:val="center"/>
          </w:tcPr>
          <w:p w14:paraId="2829044D" w14:textId="0E7E6510"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6.95</w:t>
            </w:r>
            <w:r w:rsidR="00AE717E">
              <w:rPr>
                <w:rFonts w:eastAsia="Times New Roman" w:cs="Times New Roman"/>
                <w:bCs/>
                <w:sz w:val="20"/>
                <w:szCs w:val="20"/>
              </w:rPr>
              <w:t>x</w:t>
            </w:r>
          </w:p>
        </w:tc>
      </w:tr>
      <w:tr w:rsidR="00736335" w14:paraId="2F78109B" w14:textId="77777777" w:rsidTr="00736335">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0B45B1" w14:textId="77777777"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 xml:space="preserve">Biological </w:t>
            </w:r>
          </w:p>
          <w:p w14:paraId="5AD71B48" w14:textId="1E773A7B" w:rsidR="00555BDE" w:rsidRPr="00B55A65" w:rsidRDefault="00555BDE" w:rsidP="00555BDE">
            <w:pPr>
              <w:jc w:val="center"/>
              <w:rPr>
                <w:rFonts w:eastAsia="Times New Roman" w:cs="Times New Roman"/>
                <w:b/>
                <w:sz w:val="20"/>
                <w:szCs w:val="20"/>
              </w:rPr>
            </w:pPr>
            <w:r w:rsidRPr="00B55A65">
              <w:rPr>
                <w:rFonts w:eastAsia="Times New Roman" w:cs="Times New Roman"/>
                <w:b/>
                <w:sz w:val="20"/>
                <w:szCs w:val="20"/>
              </w:rPr>
              <w:t>n=3</w:t>
            </w:r>
          </w:p>
        </w:tc>
        <w:tc>
          <w:tcPr>
            <w:tcW w:w="990" w:type="dxa"/>
            <w:tcBorders>
              <w:left w:val="single" w:sz="4" w:space="0" w:color="auto"/>
            </w:tcBorders>
            <w:vAlign w:val="center"/>
          </w:tcPr>
          <w:p w14:paraId="093E76D2" w14:textId="2BDEE90D"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0.69</w:t>
            </w:r>
          </w:p>
        </w:tc>
        <w:tc>
          <w:tcPr>
            <w:tcW w:w="1080" w:type="dxa"/>
            <w:vAlign w:val="center"/>
          </w:tcPr>
          <w:p w14:paraId="3C610BB7" w14:textId="5C21EA82"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1.71</w:t>
            </w:r>
          </w:p>
        </w:tc>
        <w:tc>
          <w:tcPr>
            <w:tcW w:w="990" w:type="dxa"/>
            <w:vAlign w:val="center"/>
          </w:tcPr>
          <w:p w14:paraId="720B3282" w14:textId="5AE61AE9"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12.09</w:t>
            </w:r>
          </w:p>
        </w:tc>
        <w:tc>
          <w:tcPr>
            <w:tcW w:w="990" w:type="dxa"/>
            <w:vAlign w:val="center"/>
          </w:tcPr>
          <w:p w14:paraId="329DACEC" w14:textId="0A93DCA7"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0.97</w:t>
            </w:r>
          </w:p>
        </w:tc>
        <w:tc>
          <w:tcPr>
            <w:tcW w:w="1260" w:type="dxa"/>
            <w:vAlign w:val="center"/>
          </w:tcPr>
          <w:p w14:paraId="65FFB1C6" w14:textId="50B9AA27"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17.53</w:t>
            </w:r>
            <w:r w:rsidR="00AE717E">
              <w:rPr>
                <w:rFonts w:eastAsia="Times New Roman" w:cs="Times New Roman"/>
                <w:bCs/>
                <w:sz w:val="20"/>
                <w:szCs w:val="20"/>
              </w:rPr>
              <w:t>x</w:t>
            </w:r>
          </w:p>
        </w:tc>
        <w:tc>
          <w:tcPr>
            <w:tcW w:w="1170" w:type="dxa"/>
            <w:vAlign w:val="center"/>
          </w:tcPr>
          <w:p w14:paraId="1D53E32E" w14:textId="7DC18DB4"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7.08</w:t>
            </w:r>
            <w:r w:rsidR="00AE717E">
              <w:rPr>
                <w:rFonts w:eastAsia="Times New Roman" w:cs="Times New Roman"/>
                <w:bCs/>
                <w:sz w:val="20"/>
                <w:szCs w:val="20"/>
              </w:rPr>
              <w:t>x</w:t>
            </w:r>
          </w:p>
        </w:tc>
        <w:tc>
          <w:tcPr>
            <w:tcW w:w="1165" w:type="dxa"/>
            <w:vAlign w:val="center"/>
          </w:tcPr>
          <w:p w14:paraId="363F24EB" w14:textId="21F7CBCA" w:rsidR="00555BDE" w:rsidRPr="00B55A65" w:rsidRDefault="00B55A65" w:rsidP="00B55A65">
            <w:pPr>
              <w:jc w:val="center"/>
              <w:rPr>
                <w:rFonts w:eastAsia="Times New Roman" w:cs="Times New Roman"/>
                <w:bCs/>
                <w:sz w:val="20"/>
                <w:szCs w:val="20"/>
              </w:rPr>
            </w:pPr>
            <w:r w:rsidRPr="00B55A65">
              <w:rPr>
                <w:rFonts w:eastAsia="Times New Roman" w:cs="Times New Roman"/>
                <w:bCs/>
                <w:sz w:val="20"/>
                <w:szCs w:val="20"/>
              </w:rPr>
              <w:t>12.47</w:t>
            </w:r>
            <w:r w:rsidR="00AE717E">
              <w:rPr>
                <w:rFonts w:eastAsia="Times New Roman" w:cs="Times New Roman"/>
                <w:bCs/>
                <w:sz w:val="20"/>
                <w:szCs w:val="20"/>
              </w:rPr>
              <w:t>x</w:t>
            </w:r>
          </w:p>
        </w:tc>
      </w:tr>
      <w:tr w:rsidR="00AE717E" w14:paraId="733B9C65" w14:textId="77777777" w:rsidTr="00736335">
        <w:tc>
          <w:tcPr>
            <w:tcW w:w="1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403C43" w14:textId="4C706CE4" w:rsidR="00AE717E" w:rsidRPr="00B55A65" w:rsidRDefault="00AE717E" w:rsidP="00555BDE">
            <w:pPr>
              <w:jc w:val="center"/>
              <w:rPr>
                <w:rFonts w:eastAsia="Times New Roman" w:cs="Times New Roman"/>
                <w:b/>
                <w:sz w:val="20"/>
                <w:szCs w:val="20"/>
              </w:rPr>
            </w:pPr>
            <w:r>
              <w:rPr>
                <w:rFonts w:eastAsia="Times New Roman" w:cs="Times New Roman"/>
                <w:b/>
                <w:sz w:val="20"/>
                <w:szCs w:val="20"/>
              </w:rPr>
              <w:t>Mean Fold Enrichment</w:t>
            </w:r>
            <w:r>
              <w:t xml:space="preserve"> </w:t>
            </w:r>
            <w:r w:rsidRPr="00AE717E">
              <w:rPr>
                <w:vertAlign w:val="superscript"/>
              </w:rPr>
              <w:t>†</w:t>
            </w:r>
          </w:p>
        </w:tc>
        <w:tc>
          <w:tcPr>
            <w:tcW w:w="990" w:type="dxa"/>
            <w:tcBorders>
              <w:left w:val="single" w:sz="4" w:space="0" w:color="auto"/>
            </w:tcBorders>
            <w:vAlign w:val="center"/>
          </w:tcPr>
          <w:p w14:paraId="2754CF6D" w14:textId="3A51C7F8"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w:t>
            </w:r>
          </w:p>
        </w:tc>
        <w:tc>
          <w:tcPr>
            <w:tcW w:w="1080" w:type="dxa"/>
            <w:vAlign w:val="center"/>
          </w:tcPr>
          <w:p w14:paraId="7BA65073" w14:textId="6E7148C9"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w:t>
            </w:r>
          </w:p>
        </w:tc>
        <w:tc>
          <w:tcPr>
            <w:tcW w:w="990" w:type="dxa"/>
            <w:vAlign w:val="center"/>
          </w:tcPr>
          <w:p w14:paraId="36695366" w14:textId="0B02431B"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w:t>
            </w:r>
          </w:p>
        </w:tc>
        <w:tc>
          <w:tcPr>
            <w:tcW w:w="990" w:type="dxa"/>
            <w:vAlign w:val="center"/>
          </w:tcPr>
          <w:p w14:paraId="01B1410E" w14:textId="70D50E7D"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w:t>
            </w:r>
          </w:p>
        </w:tc>
        <w:tc>
          <w:tcPr>
            <w:tcW w:w="1260" w:type="dxa"/>
            <w:vAlign w:val="center"/>
          </w:tcPr>
          <w:p w14:paraId="08197721" w14:textId="14120465"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9.99x</w:t>
            </w:r>
          </w:p>
        </w:tc>
        <w:tc>
          <w:tcPr>
            <w:tcW w:w="1170" w:type="dxa"/>
            <w:vAlign w:val="center"/>
          </w:tcPr>
          <w:p w14:paraId="53FBD394" w14:textId="2E12D40C"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8.94x</w:t>
            </w:r>
          </w:p>
        </w:tc>
        <w:tc>
          <w:tcPr>
            <w:tcW w:w="1165" w:type="dxa"/>
            <w:vAlign w:val="center"/>
          </w:tcPr>
          <w:p w14:paraId="7EF0B423" w14:textId="255E7D8F" w:rsidR="00AE717E" w:rsidRPr="00B55A65" w:rsidRDefault="00AE717E" w:rsidP="00B55A65">
            <w:pPr>
              <w:jc w:val="center"/>
              <w:rPr>
                <w:rFonts w:eastAsia="Times New Roman" w:cs="Times New Roman"/>
                <w:bCs/>
                <w:sz w:val="20"/>
                <w:szCs w:val="20"/>
              </w:rPr>
            </w:pPr>
            <w:r>
              <w:rPr>
                <w:rFonts w:eastAsia="Times New Roman" w:cs="Times New Roman"/>
                <w:bCs/>
                <w:sz w:val="20"/>
                <w:szCs w:val="20"/>
              </w:rPr>
              <w:t>9.71x</w:t>
            </w:r>
          </w:p>
        </w:tc>
      </w:tr>
    </w:tbl>
    <w:p w14:paraId="201B5287" w14:textId="029DE50E" w:rsidR="00555BDE" w:rsidRPr="00E87F97" w:rsidRDefault="00AE717E" w:rsidP="002D5F4B">
      <w:pPr>
        <w:jc w:val="both"/>
        <w:rPr>
          <w:rFonts w:ascii="Times New Roman" w:eastAsia="Times New Roman" w:hAnsi="Times New Roman" w:cs="Times New Roman"/>
          <w:b/>
        </w:rPr>
      </w:pPr>
      <w:r w:rsidRPr="00E87F97">
        <w:rPr>
          <w:rFonts w:ascii="Times New Roman" w:hAnsi="Times New Roman" w:cs="Times New Roman"/>
          <w:b/>
          <w:bCs/>
          <w:vertAlign w:val="superscript"/>
        </w:rPr>
        <w:t>†</w:t>
      </w:r>
      <w:r w:rsidR="003C2829" w:rsidRPr="00E87F97">
        <w:rPr>
          <w:rFonts w:ascii="Times New Roman" w:hAnsi="Times New Roman" w:cs="Times New Roman"/>
          <w:b/>
          <w:bCs/>
          <w:vertAlign w:val="superscript"/>
        </w:rPr>
        <w:t xml:space="preserve"> </w:t>
      </w:r>
      <w:r w:rsidR="003C2829" w:rsidRPr="00E87F97">
        <w:rPr>
          <w:rFonts w:ascii="Times New Roman" w:hAnsi="Times New Roman" w:cs="Times New Roman"/>
        </w:rPr>
        <w:t>Mean fold enrichment was calculated using biological experiments 2 and 3 only. Biological experiment 1 was excluded from the summary because no BUFFER control was included and GABA+/TUJ1+ frequencies were negligible across all DEP outlet fractions, precluding meaningful fold-enrichment comparisons.</w:t>
      </w:r>
    </w:p>
    <w:p w14:paraId="729AD600" w14:textId="77777777" w:rsidR="00390565" w:rsidRDefault="00390565" w:rsidP="002D5F4B">
      <w:pPr>
        <w:jc w:val="both"/>
        <w:rPr>
          <w:rFonts w:ascii="Times New Roman" w:eastAsia="Times New Roman" w:hAnsi="Times New Roman" w:cs="Times New Roman"/>
          <w:b/>
          <w:sz w:val="24"/>
          <w:szCs w:val="24"/>
          <w:highlight w:val="green"/>
        </w:rPr>
      </w:pPr>
    </w:p>
    <w:p w14:paraId="505559F8" w14:textId="74D0FF6C" w:rsidR="00390565" w:rsidRPr="00FE0AF6" w:rsidRDefault="00FE0AF6" w:rsidP="002D5F4B">
      <w:pPr>
        <w:jc w:val="both"/>
        <w:rPr>
          <w:rFonts w:ascii="Times New Roman" w:eastAsia="Times New Roman" w:hAnsi="Times New Roman" w:cs="Times New Roman"/>
          <w:bCs/>
          <w:sz w:val="24"/>
          <w:szCs w:val="24"/>
        </w:rPr>
      </w:pPr>
      <w:r w:rsidRPr="00605F8E">
        <w:rPr>
          <w:rFonts w:ascii="Times New Roman" w:eastAsia="Times New Roman" w:hAnsi="Times New Roman" w:cs="Times New Roman"/>
          <w:b/>
          <w:sz w:val="24"/>
          <w:szCs w:val="24"/>
        </w:rPr>
        <w:t xml:space="preserve">Supplementary Table </w:t>
      </w:r>
      <w:r>
        <w:rPr>
          <w:rFonts w:ascii="Times New Roman" w:eastAsia="Times New Roman" w:hAnsi="Times New Roman" w:cs="Times New Roman"/>
          <w:b/>
          <w:sz w:val="24"/>
          <w:szCs w:val="24"/>
        </w:rPr>
        <w:t>3</w:t>
      </w:r>
      <w:r w:rsidRPr="00605F8E">
        <w:rPr>
          <w:rFonts w:ascii="Times New Roman" w:eastAsia="Times New Roman" w:hAnsi="Times New Roman" w:cs="Times New Roman"/>
          <w:b/>
          <w:sz w:val="24"/>
          <w:szCs w:val="24"/>
        </w:rPr>
        <w:t>. Primer information for qRT-PCR analysis of DEP-sorted undifferentiated</w:t>
      </w:r>
      <w:r w:rsidR="001966AE">
        <w:rPr>
          <w:rFonts w:ascii="Times New Roman" w:eastAsia="Times New Roman" w:hAnsi="Times New Roman" w:cs="Times New Roman"/>
          <w:b/>
          <w:sz w:val="24"/>
          <w:szCs w:val="24"/>
        </w:rPr>
        <w:t xml:space="preserve"> </w:t>
      </w:r>
      <w:r w:rsidRPr="00605F8E">
        <w:rPr>
          <w:rFonts w:ascii="Times New Roman" w:eastAsia="Times New Roman" w:hAnsi="Times New Roman" w:cs="Times New Roman"/>
          <w:b/>
          <w:sz w:val="24"/>
          <w:szCs w:val="24"/>
        </w:rPr>
        <w:t>mNSPCs.</w:t>
      </w:r>
      <w:r>
        <w:rPr>
          <w:rFonts w:ascii="Times New Roman" w:eastAsia="Times New Roman" w:hAnsi="Times New Roman" w:cs="Times New Roman"/>
          <w:b/>
          <w:sz w:val="24"/>
          <w:szCs w:val="24"/>
        </w:rPr>
        <w:t xml:space="preserve"> </w:t>
      </w:r>
      <w:r w:rsidRPr="00605F8E">
        <w:rPr>
          <w:rFonts w:ascii="Times New Roman" w:eastAsia="Times New Roman" w:hAnsi="Times New Roman" w:cs="Times New Roman"/>
          <w:bCs/>
          <w:sz w:val="24"/>
          <w:szCs w:val="24"/>
        </w:rPr>
        <w:t xml:space="preserve">Primer sequences used for </w:t>
      </w:r>
      <w:r w:rsidR="001966AE">
        <w:rPr>
          <w:rFonts w:ascii="Times New Roman" w:eastAsia="Times New Roman" w:hAnsi="Times New Roman" w:cs="Times New Roman"/>
          <w:bCs/>
          <w:sz w:val="24"/>
          <w:szCs w:val="24"/>
        </w:rPr>
        <w:t>GAPDH, NeuroD1, and D</w:t>
      </w:r>
      <w:r w:rsidR="004D26C5">
        <w:rPr>
          <w:rFonts w:ascii="Times New Roman" w:eastAsia="Times New Roman" w:hAnsi="Times New Roman" w:cs="Times New Roman"/>
          <w:bCs/>
          <w:sz w:val="24"/>
          <w:szCs w:val="24"/>
        </w:rPr>
        <w:t>clk2</w:t>
      </w:r>
      <w:r w:rsidRPr="00605F8E">
        <w:rPr>
          <w:rFonts w:ascii="Times New Roman" w:eastAsia="Times New Roman" w:hAnsi="Times New Roman" w:cs="Times New Roman"/>
          <w:bCs/>
          <w:sz w:val="24"/>
          <w:szCs w:val="24"/>
        </w:rPr>
        <w:t>. GAPDH was used as the housekeeping gene for normalization, while NeuroD1 and Dclk2 were selected as targeted molecular markers associated with neuronal differentiation. Primer sequences, annealing temperatures (T</w:t>
      </w:r>
      <w:r w:rsidRPr="00605F8E">
        <w:rPr>
          <w:rFonts w:ascii="Times New Roman" w:eastAsia="Times New Roman" w:hAnsi="Times New Roman" w:cs="Times New Roman"/>
          <w:bCs/>
          <w:sz w:val="24"/>
          <w:szCs w:val="24"/>
          <w:vertAlign w:val="subscript"/>
        </w:rPr>
        <w:t>a</w:t>
      </w:r>
      <w:r w:rsidRPr="00605F8E">
        <w:rPr>
          <w:rFonts w:ascii="Times New Roman" w:eastAsia="Times New Roman" w:hAnsi="Times New Roman" w:cs="Times New Roman"/>
          <w:bCs/>
          <w:sz w:val="24"/>
          <w:szCs w:val="24"/>
        </w:rPr>
        <w:t>), and expected amplicon lengths are shown.</w:t>
      </w:r>
      <w:r>
        <w:rPr>
          <w:rFonts w:ascii="Times New Roman" w:eastAsia="Times New Roman" w:hAnsi="Times New Roman" w:cs="Times New Roman"/>
          <w:bCs/>
          <w:sz w:val="24"/>
          <w:szCs w:val="24"/>
        </w:rPr>
        <w:t xml:space="preserve"> </w:t>
      </w:r>
    </w:p>
    <w:tbl>
      <w:tblPr>
        <w:tblStyle w:val="TableGridLight"/>
        <w:tblW w:w="0" w:type="auto"/>
        <w:tblLook w:val="04A0" w:firstRow="1" w:lastRow="0" w:firstColumn="1" w:lastColumn="0" w:noHBand="0" w:noVBand="1"/>
      </w:tblPr>
      <w:tblGrid>
        <w:gridCol w:w="1165"/>
        <w:gridCol w:w="4831"/>
        <w:gridCol w:w="839"/>
        <w:gridCol w:w="2515"/>
      </w:tblGrid>
      <w:tr w:rsidR="00A40210" w:rsidRPr="00B55A65" w14:paraId="3CD6511C" w14:textId="77777777" w:rsidTr="00A40210">
        <w:trPr>
          <w:trHeight w:val="512"/>
        </w:trPr>
        <w:tc>
          <w:tcPr>
            <w:tcW w:w="116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2A2E1E" w14:textId="65C7CE66" w:rsidR="00A40210" w:rsidRPr="001966AE" w:rsidRDefault="00A40210" w:rsidP="00A40210">
            <w:pPr>
              <w:rPr>
                <w:rFonts w:ascii="Times New Roman" w:eastAsia="Times New Roman" w:hAnsi="Times New Roman" w:cs="Times New Roman"/>
                <w:b/>
                <w:sz w:val="20"/>
                <w:szCs w:val="20"/>
              </w:rPr>
            </w:pPr>
            <w:r w:rsidRPr="001966AE">
              <w:rPr>
                <w:rFonts w:ascii="Times New Roman" w:eastAsia="Times New Roman" w:hAnsi="Times New Roman" w:cs="Times New Roman"/>
                <w:b/>
                <w:sz w:val="20"/>
                <w:szCs w:val="20"/>
              </w:rPr>
              <w:t>Gene</w:t>
            </w:r>
          </w:p>
        </w:tc>
        <w:tc>
          <w:tcPr>
            <w:tcW w:w="48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45A962" w14:textId="7C9F6FDA" w:rsidR="00A40210" w:rsidRPr="001966AE" w:rsidRDefault="00A40210" w:rsidP="00A40210">
            <w:pPr>
              <w:rPr>
                <w:rFonts w:ascii="Times New Roman" w:eastAsia="Times New Roman" w:hAnsi="Times New Roman" w:cs="Times New Roman"/>
                <w:b/>
                <w:sz w:val="20"/>
                <w:szCs w:val="20"/>
              </w:rPr>
            </w:pPr>
            <w:r w:rsidRPr="001966AE">
              <w:rPr>
                <w:rStyle w:val="agcmg"/>
                <w:rFonts w:ascii="Times New Roman" w:hAnsi="Times New Roman" w:cs="Times New Roman"/>
                <w:b/>
                <w:bCs/>
                <w:sz w:val="20"/>
                <w:szCs w:val="20"/>
              </w:rPr>
              <w:t>Primer sequence (5’→3’)</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800405" w14:textId="329E942B" w:rsidR="00A40210" w:rsidRPr="001966AE" w:rsidRDefault="00A40210" w:rsidP="00D2783B">
            <w:pPr>
              <w:jc w:val="center"/>
              <w:rPr>
                <w:rFonts w:ascii="Times New Roman" w:eastAsia="Times New Roman" w:hAnsi="Times New Roman" w:cs="Times New Roman"/>
                <w:b/>
                <w:sz w:val="20"/>
                <w:szCs w:val="20"/>
              </w:rPr>
            </w:pPr>
            <w:r w:rsidRPr="001966AE">
              <w:rPr>
                <w:rStyle w:val="agcmg"/>
                <w:rFonts w:ascii="Times New Roman" w:hAnsi="Times New Roman" w:cs="Times New Roman"/>
                <w:b/>
                <w:bCs/>
                <w:sz w:val="20"/>
                <w:szCs w:val="20"/>
              </w:rPr>
              <w:t>Tₐ (°C)</w:t>
            </w:r>
          </w:p>
        </w:tc>
        <w:tc>
          <w:tcPr>
            <w:tcW w:w="25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271179" w14:textId="42089C3C" w:rsidR="00A40210" w:rsidRPr="001966AE" w:rsidRDefault="00A40210" w:rsidP="00D2783B">
            <w:pPr>
              <w:jc w:val="center"/>
              <w:rPr>
                <w:rFonts w:ascii="Times New Roman" w:eastAsia="Times New Roman" w:hAnsi="Times New Roman" w:cs="Times New Roman"/>
                <w:b/>
                <w:sz w:val="20"/>
                <w:szCs w:val="20"/>
              </w:rPr>
            </w:pPr>
            <w:r w:rsidRPr="001966AE">
              <w:rPr>
                <w:rStyle w:val="agcmg"/>
                <w:rFonts w:ascii="Times New Roman" w:hAnsi="Times New Roman" w:cs="Times New Roman"/>
                <w:b/>
                <w:bCs/>
                <w:sz w:val="20"/>
                <w:szCs w:val="20"/>
              </w:rPr>
              <w:t>Expected length (bp)</w:t>
            </w:r>
          </w:p>
        </w:tc>
      </w:tr>
      <w:tr w:rsidR="00A40210" w:rsidRPr="00B55A65" w14:paraId="2C18844A" w14:textId="77777777" w:rsidTr="00A40210">
        <w:trPr>
          <w:trHeight w:val="647"/>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A9A17" w14:textId="425CDD88" w:rsidR="00A40210" w:rsidRPr="001966AE" w:rsidRDefault="00A40210" w:rsidP="00A40210">
            <w:pPr>
              <w:rPr>
                <w:rFonts w:ascii="Times New Roman" w:eastAsia="Times New Roman" w:hAnsi="Times New Roman" w:cs="Times New Roman"/>
                <w:bCs/>
                <w:i/>
                <w:iCs/>
                <w:sz w:val="20"/>
                <w:szCs w:val="20"/>
              </w:rPr>
            </w:pPr>
            <w:r w:rsidRPr="001966AE">
              <w:rPr>
                <w:rFonts w:ascii="Times New Roman" w:eastAsia="Times New Roman" w:hAnsi="Times New Roman" w:cs="Times New Roman"/>
                <w:bCs/>
                <w:i/>
                <w:iCs/>
                <w:sz w:val="20"/>
                <w:szCs w:val="20"/>
              </w:rPr>
              <w:t>GAPDH</w:t>
            </w:r>
          </w:p>
        </w:tc>
        <w:tc>
          <w:tcPr>
            <w:tcW w:w="4831" w:type="dxa"/>
            <w:tcBorders>
              <w:top w:val="single" w:sz="4" w:space="0" w:color="auto"/>
              <w:left w:val="single" w:sz="4" w:space="0" w:color="auto"/>
            </w:tcBorders>
            <w:vAlign w:val="center"/>
          </w:tcPr>
          <w:p w14:paraId="2598426B" w14:textId="5323883C" w:rsidR="00A40210" w:rsidRPr="001966AE" w:rsidRDefault="00A40210" w:rsidP="00A40210">
            <w:pPr>
              <w:pStyle w:val="cvgsua"/>
              <w:spacing w:before="0" w:beforeAutospacing="0" w:after="0" w:afterAutospacing="0"/>
              <w:rPr>
                <w:rStyle w:val="agcmg"/>
                <w:sz w:val="20"/>
                <w:szCs w:val="20"/>
              </w:rPr>
            </w:pPr>
            <w:r w:rsidRPr="001966AE">
              <w:rPr>
                <w:rStyle w:val="agcmg"/>
                <w:sz w:val="20"/>
                <w:szCs w:val="20"/>
              </w:rPr>
              <w:t>Sense:  ATACGGCTACAGCAACAGGG</w:t>
            </w:r>
          </w:p>
          <w:p w14:paraId="51E0DA2C" w14:textId="3DCBA8CC" w:rsidR="00A40210" w:rsidRPr="001966AE" w:rsidRDefault="00A40210" w:rsidP="00A40210">
            <w:pPr>
              <w:pStyle w:val="cvgsua"/>
              <w:spacing w:before="0" w:beforeAutospacing="0"/>
              <w:rPr>
                <w:sz w:val="20"/>
                <w:szCs w:val="20"/>
              </w:rPr>
            </w:pPr>
            <w:r w:rsidRPr="001966AE">
              <w:rPr>
                <w:rStyle w:val="agcmg"/>
                <w:sz w:val="20"/>
                <w:szCs w:val="20"/>
              </w:rPr>
              <w:t>Antisense: GCCTCTCTTGCTCAGTGTCC</w:t>
            </w:r>
          </w:p>
        </w:tc>
        <w:tc>
          <w:tcPr>
            <w:tcW w:w="839" w:type="dxa"/>
            <w:tcBorders>
              <w:top w:val="single" w:sz="4" w:space="0" w:color="auto"/>
            </w:tcBorders>
            <w:vAlign w:val="center"/>
          </w:tcPr>
          <w:p w14:paraId="445D28E0" w14:textId="11AC21EF" w:rsidR="00A40210" w:rsidRPr="001966AE" w:rsidRDefault="00A40210" w:rsidP="00D2783B">
            <w:pPr>
              <w:spacing w:line="276"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65</w:t>
            </w:r>
          </w:p>
        </w:tc>
        <w:tc>
          <w:tcPr>
            <w:tcW w:w="2515" w:type="dxa"/>
            <w:tcBorders>
              <w:top w:val="single" w:sz="4" w:space="0" w:color="auto"/>
            </w:tcBorders>
            <w:vAlign w:val="center"/>
          </w:tcPr>
          <w:p w14:paraId="44F5FDDB" w14:textId="714B78F6" w:rsidR="00A40210" w:rsidRPr="001966AE" w:rsidRDefault="00A40210" w:rsidP="00D2783B">
            <w:pPr>
              <w:spacing w:line="360"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105</w:t>
            </w:r>
          </w:p>
        </w:tc>
      </w:tr>
      <w:tr w:rsidR="00A40210" w:rsidRPr="00B55A65" w14:paraId="62272A1D" w14:textId="77777777" w:rsidTr="00A40210">
        <w:trPr>
          <w:trHeight w:val="629"/>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77078" w14:textId="44223034" w:rsidR="00A40210" w:rsidRPr="001966AE" w:rsidRDefault="00A40210" w:rsidP="00A40210">
            <w:pPr>
              <w:rPr>
                <w:rFonts w:ascii="Times New Roman" w:eastAsia="Times New Roman" w:hAnsi="Times New Roman" w:cs="Times New Roman"/>
                <w:bCs/>
                <w:i/>
                <w:iCs/>
                <w:sz w:val="20"/>
                <w:szCs w:val="20"/>
              </w:rPr>
            </w:pPr>
            <w:r w:rsidRPr="001966AE">
              <w:rPr>
                <w:rFonts w:ascii="Times New Roman" w:eastAsia="Times New Roman" w:hAnsi="Times New Roman" w:cs="Times New Roman"/>
                <w:bCs/>
                <w:i/>
                <w:iCs/>
                <w:sz w:val="20"/>
                <w:szCs w:val="20"/>
              </w:rPr>
              <w:t>NeuroD1</w:t>
            </w:r>
          </w:p>
        </w:tc>
        <w:tc>
          <w:tcPr>
            <w:tcW w:w="4831" w:type="dxa"/>
            <w:tcBorders>
              <w:left w:val="single" w:sz="4" w:space="0" w:color="auto"/>
            </w:tcBorders>
            <w:vAlign w:val="center"/>
          </w:tcPr>
          <w:p w14:paraId="39D4EFA6" w14:textId="2DEB7638" w:rsidR="00A40210" w:rsidRPr="001966AE" w:rsidRDefault="00A40210" w:rsidP="00A40210">
            <w:pPr>
              <w:pStyle w:val="cvgsua"/>
              <w:spacing w:before="0" w:beforeAutospacing="0" w:after="0" w:afterAutospacing="0"/>
              <w:rPr>
                <w:rStyle w:val="agcmg"/>
                <w:sz w:val="20"/>
                <w:szCs w:val="20"/>
              </w:rPr>
            </w:pPr>
            <w:r w:rsidRPr="001966AE">
              <w:rPr>
                <w:rStyle w:val="agcmg"/>
                <w:sz w:val="20"/>
                <w:szCs w:val="20"/>
              </w:rPr>
              <w:t>Sense:  GAATTCGCCCACGCAGAAGG</w:t>
            </w:r>
          </w:p>
          <w:p w14:paraId="328A0E8D" w14:textId="4CEAF791" w:rsidR="00A40210" w:rsidRPr="001966AE" w:rsidRDefault="00A40210" w:rsidP="00A40210">
            <w:pPr>
              <w:spacing w:line="360" w:lineRule="auto"/>
              <w:rPr>
                <w:rFonts w:ascii="Times New Roman" w:eastAsia="Times New Roman" w:hAnsi="Times New Roman" w:cs="Times New Roman"/>
                <w:bCs/>
                <w:sz w:val="20"/>
                <w:szCs w:val="20"/>
              </w:rPr>
            </w:pPr>
            <w:r w:rsidRPr="001966AE">
              <w:rPr>
                <w:rStyle w:val="agcmg"/>
                <w:rFonts w:ascii="Times New Roman" w:hAnsi="Times New Roman" w:cs="Times New Roman"/>
                <w:sz w:val="20"/>
                <w:szCs w:val="20"/>
              </w:rPr>
              <w:t>Antisense: GCCCGCTCTCGCTGTATGAT</w:t>
            </w:r>
          </w:p>
        </w:tc>
        <w:tc>
          <w:tcPr>
            <w:tcW w:w="839" w:type="dxa"/>
            <w:vAlign w:val="center"/>
          </w:tcPr>
          <w:p w14:paraId="755D04FF" w14:textId="69B28ED9" w:rsidR="00A40210" w:rsidRPr="001966AE" w:rsidRDefault="00A40210" w:rsidP="00A40210">
            <w:pPr>
              <w:spacing w:line="276"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65</w:t>
            </w:r>
          </w:p>
        </w:tc>
        <w:tc>
          <w:tcPr>
            <w:tcW w:w="2515" w:type="dxa"/>
            <w:vAlign w:val="center"/>
          </w:tcPr>
          <w:p w14:paraId="0C95994F" w14:textId="794D286F" w:rsidR="00A40210" w:rsidRPr="001966AE" w:rsidRDefault="00A40210" w:rsidP="00A40210">
            <w:pPr>
              <w:spacing w:line="360"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120</w:t>
            </w:r>
          </w:p>
        </w:tc>
      </w:tr>
      <w:tr w:rsidR="00A40210" w:rsidRPr="00B55A65" w14:paraId="2FEF195F" w14:textId="77777777" w:rsidTr="00A40210">
        <w:trPr>
          <w:trHeight w:val="611"/>
        </w:trPr>
        <w:tc>
          <w:tcPr>
            <w:tcW w:w="11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4BA43E" w14:textId="19509107" w:rsidR="00A40210" w:rsidRPr="001966AE" w:rsidRDefault="00A40210" w:rsidP="00A40210">
            <w:pPr>
              <w:rPr>
                <w:rFonts w:ascii="Times New Roman" w:eastAsia="Times New Roman" w:hAnsi="Times New Roman" w:cs="Times New Roman"/>
                <w:bCs/>
                <w:i/>
                <w:iCs/>
                <w:sz w:val="20"/>
                <w:szCs w:val="20"/>
              </w:rPr>
            </w:pPr>
            <w:r w:rsidRPr="001966AE">
              <w:rPr>
                <w:rFonts w:ascii="Times New Roman" w:eastAsia="Times New Roman" w:hAnsi="Times New Roman" w:cs="Times New Roman"/>
                <w:bCs/>
                <w:i/>
                <w:iCs/>
                <w:sz w:val="20"/>
                <w:szCs w:val="20"/>
              </w:rPr>
              <w:t>D</w:t>
            </w:r>
            <w:r w:rsidR="001966AE">
              <w:rPr>
                <w:rFonts w:ascii="Times New Roman" w:eastAsia="Times New Roman" w:hAnsi="Times New Roman" w:cs="Times New Roman"/>
                <w:bCs/>
                <w:i/>
                <w:iCs/>
                <w:sz w:val="20"/>
                <w:szCs w:val="20"/>
              </w:rPr>
              <w:t>clk</w:t>
            </w:r>
            <w:r w:rsidRPr="001966AE">
              <w:rPr>
                <w:rFonts w:ascii="Times New Roman" w:eastAsia="Times New Roman" w:hAnsi="Times New Roman" w:cs="Times New Roman"/>
                <w:bCs/>
                <w:i/>
                <w:iCs/>
                <w:sz w:val="20"/>
                <w:szCs w:val="20"/>
              </w:rPr>
              <w:t>2</w:t>
            </w:r>
          </w:p>
        </w:tc>
        <w:tc>
          <w:tcPr>
            <w:tcW w:w="4831" w:type="dxa"/>
            <w:tcBorders>
              <w:left w:val="single" w:sz="4" w:space="0" w:color="auto"/>
            </w:tcBorders>
            <w:vAlign w:val="center"/>
          </w:tcPr>
          <w:p w14:paraId="7BA73CE8" w14:textId="5A21873E" w:rsidR="00A40210" w:rsidRPr="001966AE" w:rsidRDefault="00A40210" w:rsidP="00A40210">
            <w:pPr>
              <w:pStyle w:val="cvgsua"/>
              <w:spacing w:before="0" w:beforeAutospacing="0" w:after="0" w:afterAutospacing="0"/>
              <w:rPr>
                <w:rStyle w:val="agcmg"/>
                <w:sz w:val="20"/>
                <w:szCs w:val="20"/>
              </w:rPr>
            </w:pPr>
            <w:r w:rsidRPr="001966AE">
              <w:rPr>
                <w:rStyle w:val="agcmg"/>
                <w:sz w:val="20"/>
                <w:szCs w:val="20"/>
              </w:rPr>
              <w:t>Sense:  TGAACTTGACCGTTGCCTGAGC</w:t>
            </w:r>
          </w:p>
          <w:p w14:paraId="5E610601" w14:textId="4AF7C0CF" w:rsidR="00A40210" w:rsidRPr="001966AE" w:rsidRDefault="00A40210" w:rsidP="00A40210">
            <w:pPr>
              <w:spacing w:line="360" w:lineRule="auto"/>
              <w:rPr>
                <w:rFonts w:ascii="Times New Roman" w:eastAsia="Times New Roman" w:hAnsi="Times New Roman" w:cs="Times New Roman"/>
                <w:bCs/>
                <w:sz w:val="20"/>
                <w:szCs w:val="20"/>
              </w:rPr>
            </w:pPr>
            <w:r w:rsidRPr="001966AE">
              <w:rPr>
                <w:rStyle w:val="agcmg"/>
                <w:rFonts w:ascii="Times New Roman" w:hAnsi="Times New Roman" w:cs="Times New Roman"/>
                <w:sz w:val="20"/>
                <w:szCs w:val="20"/>
              </w:rPr>
              <w:t>Antisense: ACGCACTCCTTAACTACCGCGA</w:t>
            </w:r>
          </w:p>
        </w:tc>
        <w:tc>
          <w:tcPr>
            <w:tcW w:w="839" w:type="dxa"/>
            <w:vAlign w:val="center"/>
          </w:tcPr>
          <w:p w14:paraId="4B3045BB" w14:textId="32CA7D73" w:rsidR="00A40210" w:rsidRPr="001966AE" w:rsidRDefault="00A40210" w:rsidP="00A40210">
            <w:pPr>
              <w:spacing w:line="276"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65</w:t>
            </w:r>
          </w:p>
        </w:tc>
        <w:tc>
          <w:tcPr>
            <w:tcW w:w="2515" w:type="dxa"/>
            <w:vAlign w:val="center"/>
          </w:tcPr>
          <w:p w14:paraId="15EFE9F5" w14:textId="61BA2ADD" w:rsidR="00A40210" w:rsidRPr="001966AE" w:rsidRDefault="00A40210" w:rsidP="00A40210">
            <w:pPr>
              <w:spacing w:line="360" w:lineRule="auto"/>
              <w:jc w:val="center"/>
              <w:rPr>
                <w:rFonts w:ascii="Times New Roman" w:eastAsia="Times New Roman" w:hAnsi="Times New Roman" w:cs="Times New Roman"/>
                <w:bCs/>
                <w:sz w:val="20"/>
                <w:szCs w:val="20"/>
              </w:rPr>
            </w:pPr>
            <w:r w:rsidRPr="001966AE">
              <w:rPr>
                <w:rFonts w:ascii="Times New Roman" w:eastAsia="Times New Roman" w:hAnsi="Times New Roman" w:cs="Times New Roman"/>
                <w:bCs/>
                <w:sz w:val="20"/>
                <w:szCs w:val="20"/>
              </w:rPr>
              <w:t>132</w:t>
            </w:r>
          </w:p>
        </w:tc>
      </w:tr>
    </w:tbl>
    <w:p w14:paraId="420BD208" w14:textId="692C5BEA" w:rsidR="002D5F4B" w:rsidRDefault="002D5F4B" w:rsidP="002D5F4B">
      <w:pPr>
        <w:jc w:val="both"/>
        <w:rPr>
          <w:rFonts w:ascii="Times New Roman" w:eastAsia="Times New Roman" w:hAnsi="Times New Roman" w:cs="Times New Roman"/>
          <w:b/>
          <w:sz w:val="24"/>
          <w:szCs w:val="24"/>
        </w:rPr>
      </w:pPr>
    </w:p>
    <w:p w14:paraId="4E3194AD" w14:textId="77777777" w:rsidR="002D5F4B" w:rsidRDefault="002D5F4B" w:rsidP="00006C95">
      <w:pPr>
        <w:jc w:val="both"/>
        <w:rPr>
          <w:rFonts w:ascii="Times New Roman" w:eastAsia="Times New Roman" w:hAnsi="Times New Roman" w:cs="Times New Roman"/>
          <w:sz w:val="24"/>
          <w:szCs w:val="24"/>
        </w:rPr>
      </w:pPr>
    </w:p>
    <w:sectPr w:rsidR="002D5F4B">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1B874" w14:textId="77777777" w:rsidR="000238EF" w:rsidRDefault="000238EF">
      <w:pPr>
        <w:spacing w:line="240" w:lineRule="auto"/>
      </w:pPr>
      <w:r>
        <w:separator/>
      </w:r>
    </w:p>
  </w:endnote>
  <w:endnote w:type="continuationSeparator" w:id="0">
    <w:p w14:paraId="1ECB6034" w14:textId="77777777" w:rsidR="000238EF" w:rsidRDefault="000238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arla">
    <w:charset w:val="00"/>
    <w:family w:val="auto"/>
    <w:pitch w:val="variable"/>
    <w:sig w:usb0="A00000EF" w:usb1="4000205B" w:usb2="00000000" w:usb3="00000000" w:csb0="00000093" w:csb1="00000000"/>
    <w:embedRegular r:id="rId1" w:fontKey="{D6F21147-91BA-49FA-9AA5-00A5642246B0}"/>
    <w:embedBold r:id="rId2" w:fontKey="{3C3136EE-5DA6-48AA-9418-632BC4AFB813}"/>
    <w:embedItalic r:id="rId3" w:fontKey="{C2728A84-9B33-4642-9B13-6269B06E0683}"/>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AC1888B8-1C93-4716-B1EE-EEDB2A1A6994}"/>
  </w:font>
  <w:font w:name="Cambria">
    <w:panose1 w:val="02040503050406030204"/>
    <w:charset w:val="00"/>
    <w:family w:val="roman"/>
    <w:pitch w:val="variable"/>
    <w:sig w:usb0="E00006FF" w:usb1="420024FF" w:usb2="02000000" w:usb3="00000000" w:csb0="0000019F" w:csb1="00000000"/>
    <w:embedRegular r:id="rId5" w:fontKey="{6D6F8594-8E98-4379-8D23-A8EA89DB72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BEFA1" w14:textId="77777777" w:rsidR="000238EF" w:rsidRDefault="000238EF">
      <w:pPr>
        <w:spacing w:line="240" w:lineRule="auto"/>
      </w:pPr>
      <w:r>
        <w:separator/>
      </w:r>
    </w:p>
  </w:footnote>
  <w:footnote w:type="continuationSeparator" w:id="0">
    <w:p w14:paraId="4C487A97" w14:textId="77777777" w:rsidR="000238EF" w:rsidRDefault="000238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287A8" w14:textId="77777777" w:rsidR="00B3123A" w:rsidRDefault="00B3123A">
    <w:pPr>
      <w:spacing w:line="360" w:lineRule="auto"/>
      <w:jc w:val="both"/>
      <w:rPr>
        <w:rFonts w:ascii="Times New Roman" w:eastAsia="Times New Roman" w:hAnsi="Times New Roman" w:cs="Times New Roman"/>
        <w:sz w:val="24"/>
        <w:szCs w:val="24"/>
        <w:shd w:val="clear" w:color="auto" w:fill="FF9900"/>
      </w:rPr>
    </w:pPr>
  </w:p>
  <w:p w14:paraId="56AB25BA" w14:textId="77777777" w:rsidR="00B3123A" w:rsidRDefault="00B3123A">
    <w:pPr>
      <w:rPr>
        <w:rFonts w:ascii="Times New Roman" w:eastAsia="Times New Roman" w:hAnsi="Times New Roman" w:cs="Times New Roman"/>
        <w:sz w:val="24"/>
        <w:szCs w:val="24"/>
        <w:shd w:val="clear" w:color="auto" w:fill="FF99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23A"/>
    <w:rsid w:val="00006C95"/>
    <w:rsid w:val="000238EF"/>
    <w:rsid w:val="000354F3"/>
    <w:rsid w:val="00047618"/>
    <w:rsid w:val="00062E43"/>
    <w:rsid w:val="000B548D"/>
    <w:rsid w:val="0018587D"/>
    <w:rsid w:val="001966AE"/>
    <w:rsid w:val="001E4393"/>
    <w:rsid w:val="00220268"/>
    <w:rsid w:val="0022224E"/>
    <w:rsid w:val="00234480"/>
    <w:rsid w:val="0025104A"/>
    <w:rsid w:val="00264A8C"/>
    <w:rsid w:val="00295619"/>
    <w:rsid w:val="00295DBE"/>
    <w:rsid w:val="002D37F1"/>
    <w:rsid w:val="002D5F4B"/>
    <w:rsid w:val="002E2FA8"/>
    <w:rsid w:val="0031316A"/>
    <w:rsid w:val="003746ED"/>
    <w:rsid w:val="00390565"/>
    <w:rsid w:val="003941D0"/>
    <w:rsid w:val="003C2829"/>
    <w:rsid w:val="003C4E01"/>
    <w:rsid w:val="003E08E5"/>
    <w:rsid w:val="003F26C0"/>
    <w:rsid w:val="00427451"/>
    <w:rsid w:val="004349EA"/>
    <w:rsid w:val="004D26C5"/>
    <w:rsid w:val="00555BDE"/>
    <w:rsid w:val="005F0214"/>
    <w:rsid w:val="00605F8E"/>
    <w:rsid w:val="00631105"/>
    <w:rsid w:val="006A3FC4"/>
    <w:rsid w:val="006F686E"/>
    <w:rsid w:val="00703574"/>
    <w:rsid w:val="00711CC3"/>
    <w:rsid w:val="007172C7"/>
    <w:rsid w:val="00720A15"/>
    <w:rsid w:val="00736335"/>
    <w:rsid w:val="00752FC3"/>
    <w:rsid w:val="00766DBF"/>
    <w:rsid w:val="007D2C5B"/>
    <w:rsid w:val="007D5722"/>
    <w:rsid w:val="007F7992"/>
    <w:rsid w:val="008931EE"/>
    <w:rsid w:val="00915419"/>
    <w:rsid w:val="00931BC0"/>
    <w:rsid w:val="00943ADE"/>
    <w:rsid w:val="00985E9B"/>
    <w:rsid w:val="009A7EA9"/>
    <w:rsid w:val="009C780B"/>
    <w:rsid w:val="00A40210"/>
    <w:rsid w:val="00A46D39"/>
    <w:rsid w:val="00A74563"/>
    <w:rsid w:val="00AE717E"/>
    <w:rsid w:val="00AF5A8E"/>
    <w:rsid w:val="00B3123A"/>
    <w:rsid w:val="00B44016"/>
    <w:rsid w:val="00B55A65"/>
    <w:rsid w:val="00B640CE"/>
    <w:rsid w:val="00B66177"/>
    <w:rsid w:val="00BC3D08"/>
    <w:rsid w:val="00C04841"/>
    <w:rsid w:val="00C24603"/>
    <w:rsid w:val="00C25FE6"/>
    <w:rsid w:val="00C2632F"/>
    <w:rsid w:val="00C7687E"/>
    <w:rsid w:val="00CE5551"/>
    <w:rsid w:val="00CF1D3B"/>
    <w:rsid w:val="00D30C0C"/>
    <w:rsid w:val="00D5125B"/>
    <w:rsid w:val="00D63522"/>
    <w:rsid w:val="00DD49E6"/>
    <w:rsid w:val="00DD6045"/>
    <w:rsid w:val="00DE3FA8"/>
    <w:rsid w:val="00E07128"/>
    <w:rsid w:val="00E87F97"/>
    <w:rsid w:val="00EB0A47"/>
    <w:rsid w:val="00F052F5"/>
    <w:rsid w:val="00F345E6"/>
    <w:rsid w:val="00F50877"/>
    <w:rsid w:val="00F753BA"/>
    <w:rsid w:val="00F84757"/>
    <w:rsid w:val="00F925FD"/>
    <w:rsid w:val="00FA2CCF"/>
    <w:rsid w:val="00FC61DC"/>
    <w:rsid w:val="00FD74DD"/>
    <w:rsid w:val="00FE0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34F49"/>
  <w15:docId w15:val="{47324176-9F01-436A-B4AA-430470EBD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Karla" w:eastAsia="Karla" w:hAnsi="Karla" w:cs="Karla"/>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styleId="TableGrid">
    <w:name w:val="Table Grid"/>
    <w:basedOn w:val="TableNormal"/>
    <w:uiPriority w:val="39"/>
    <w:rsid w:val="00555BD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55BD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B55A65"/>
    <w:rPr>
      <w:sz w:val="16"/>
      <w:szCs w:val="16"/>
    </w:rPr>
  </w:style>
  <w:style w:type="paragraph" w:styleId="CommentText">
    <w:name w:val="annotation text"/>
    <w:basedOn w:val="Normal"/>
    <w:link w:val="CommentTextChar"/>
    <w:uiPriority w:val="99"/>
    <w:semiHidden/>
    <w:unhideWhenUsed/>
    <w:rsid w:val="00B55A65"/>
    <w:pPr>
      <w:spacing w:line="240" w:lineRule="auto"/>
    </w:pPr>
    <w:rPr>
      <w:sz w:val="20"/>
      <w:szCs w:val="20"/>
    </w:rPr>
  </w:style>
  <w:style w:type="character" w:customStyle="1" w:styleId="CommentTextChar">
    <w:name w:val="Comment Text Char"/>
    <w:basedOn w:val="DefaultParagraphFont"/>
    <w:link w:val="CommentText"/>
    <w:uiPriority w:val="99"/>
    <w:semiHidden/>
    <w:rsid w:val="00B55A65"/>
    <w:rPr>
      <w:sz w:val="20"/>
      <w:szCs w:val="20"/>
    </w:rPr>
  </w:style>
  <w:style w:type="paragraph" w:styleId="CommentSubject">
    <w:name w:val="annotation subject"/>
    <w:basedOn w:val="CommentText"/>
    <w:next w:val="CommentText"/>
    <w:link w:val="CommentSubjectChar"/>
    <w:uiPriority w:val="99"/>
    <w:semiHidden/>
    <w:unhideWhenUsed/>
    <w:rsid w:val="00B55A65"/>
    <w:rPr>
      <w:b/>
      <w:bCs/>
    </w:rPr>
  </w:style>
  <w:style w:type="character" w:customStyle="1" w:styleId="CommentSubjectChar">
    <w:name w:val="Comment Subject Char"/>
    <w:basedOn w:val="CommentTextChar"/>
    <w:link w:val="CommentSubject"/>
    <w:uiPriority w:val="99"/>
    <w:semiHidden/>
    <w:rsid w:val="00B55A65"/>
    <w:rPr>
      <w:b/>
      <w:bCs/>
      <w:sz w:val="20"/>
      <w:szCs w:val="20"/>
    </w:rPr>
  </w:style>
  <w:style w:type="character" w:customStyle="1" w:styleId="agcmg">
    <w:name w:val="a_gcmg"/>
    <w:basedOn w:val="DefaultParagraphFont"/>
    <w:rsid w:val="00B55A65"/>
  </w:style>
  <w:style w:type="paragraph" w:customStyle="1" w:styleId="cvgsua">
    <w:name w:val="cvgsua"/>
    <w:basedOn w:val="Normal"/>
    <w:rsid w:val="00A4021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yloria@uci.ed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ubGs90PppYEfZh1S1veMKxtDqA==">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</go:docsCustomData>
</go:gDocsCustomXmlDataStorage>
</file>

<file path=customXml/itemProps1.xml><?xml version="1.0" encoding="utf-8"?>
<ds:datastoreItem xmlns:ds="http://schemas.openxmlformats.org/officeDocument/2006/customXml" ds:itemID="{E1E56F3A-5DE0-704D-BA35-F30AC5EEB82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Tayloria Adams</dc:creator>
  <cp:lastModifiedBy>Tayloria Adams</cp:lastModifiedBy>
  <cp:revision>7</cp:revision>
  <dcterms:created xsi:type="dcterms:W3CDTF">2026-08-12T23:32:00Z</dcterms:created>
  <dcterms:modified xsi:type="dcterms:W3CDTF">2026-08-31T19:22:00Z</dcterms:modified>
</cp:coreProperties>
</file>