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F1F3" w14:textId="77777777" w:rsidR="002B76C0" w:rsidRPr="006F7CCC" w:rsidRDefault="006F7CCC">
      <w:pPr>
        <w:spacing w:after="120"/>
        <w:rPr>
          <w:bCs/>
          <w:sz w:val="24"/>
          <w:szCs w:val="24"/>
        </w:rPr>
      </w:pPr>
      <w:r w:rsidRPr="006F7CCC">
        <w:rPr>
          <w:rFonts w:eastAsia="Times New Roman"/>
          <w:bCs/>
          <w:sz w:val="24"/>
          <w:szCs w:val="24"/>
        </w:rPr>
        <w:t>Supplementary Table S1. PPV cases with operative duration longer than 120 minutes and sensitivity analysis including analyzable long-duration cases</w:t>
      </w:r>
    </w:p>
    <w:tbl>
      <w:tblPr>
        <w:tblW w:w="10824" w:type="dxa"/>
        <w:jc w:val="center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ook w:val="04A0" w:firstRow="1" w:lastRow="0" w:firstColumn="1" w:lastColumn="0" w:noHBand="0" w:noVBand="1"/>
      </w:tblPr>
      <w:tblGrid>
        <w:gridCol w:w="4930"/>
        <w:gridCol w:w="1269"/>
        <w:gridCol w:w="1594"/>
        <w:gridCol w:w="1594"/>
        <w:gridCol w:w="1437"/>
      </w:tblGrid>
      <w:tr w:rsidR="002B76C0" w:rsidRPr="006F7CCC" w14:paraId="1F1D8F18" w14:textId="77777777" w:rsidTr="00395A8D">
        <w:trPr>
          <w:trHeight w:val="288"/>
          <w:tblHeader/>
          <w:jc w:val="center"/>
        </w:trPr>
        <w:tc>
          <w:tcPr>
            <w:tcW w:w="4930" w:type="dxa"/>
            <w:shd w:val="clear" w:color="auto" w:fill="FFFFFF"/>
            <w:vAlign w:val="center"/>
          </w:tcPr>
          <w:p w14:paraId="4CCAEC64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Category</w:t>
            </w:r>
          </w:p>
        </w:tc>
        <w:tc>
          <w:tcPr>
            <w:tcW w:w="1269" w:type="dxa"/>
            <w:shd w:val="clear" w:color="auto" w:fill="FFFFFF"/>
            <w:vAlign w:val="center"/>
          </w:tcPr>
          <w:p w14:paraId="1FDB8E93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No. of eyes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44F95380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IS positivity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2C0534E3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FS positivity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5ECAA4B5" w14:textId="77777777" w:rsidR="002B76C0" w:rsidRPr="006F7CCC" w:rsidRDefault="006F7CCC">
            <w:pPr>
              <w:spacing w:after="0"/>
              <w:jc w:val="center"/>
              <w:rPr>
                <w:bCs/>
              </w:rPr>
            </w:pPr>
            <w:r w:rsidRPr="006F7CCC">
              <w:rPr>
                <w:bCs/>
              </w:rPr>
              <w:t>P value</w:t>
            </w:r>
          </w:p>
        </w:tc>
      </w:tr>
      <w:tr w:rsidR="002B76C0" w:rsidRPr="006F7CCC" w14:paraId="4F7A3708" w14:textId="77777777" w:rsidTr="00395A8D">
        <w:trPr>
          <w:trHeight w:val="240"/>
          <w:jc w:val="center"/>
        </w:trPr>
        <w:tc>
          <w:tcPr>
            <w:tcW w:w="10824" w:type="dxa"/>
            <w:gridSpan w:val="5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4C074F4E" w14:textId="77777777" w:rsidR="002B76C0" w:rsidRPr="006F7CCC" w:rsidRDefault="006F7CCC" w:rsidP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A. Disposition of PPV cases with operative duration &gt;120 minutes</w:t>
            </w:r>
          </w:p>
        </w:tc>
      </w:tr>
      <w:tr w:rsidR="002B76C0" w:rsidRPr="006F7CCC" w14:paraId="783304F9" w14:textId="77777777" w:rsidTr="00395A8D">
        <w:trPr>
          <w:trHeight w:val="497"/>
          <w:jc w:val="center"/>
        </w:trPr>
        <w:tc>
          <w:tcPr>
            <w:tcW w:w="4930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1E9E03A0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Total PPV cases with operative duration &gt;120 minutes identified in the original dataset</w:t>
            </w:r>
          </w:p>
        </w:tc>
        <w:tc>
          <w:tcPr>
            <w:tcW w:w="126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DE32C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17</w:t>
            </w: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0E4DA" w14:textId="1098AA8E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85F2F" w14:textId="3D4163A6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07483557" w14:textId="359F59B6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396B7907" w14:textId="77777777" w:rsidTr="00395A8D">
        <w:trPr>
          <w:trHeight w:val="481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52B167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Excluded from sensitivity analysis because paired temporal analysis was not considered suitable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C9A73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E2C69" w14:textId="0ED1077C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A6AB9" w14:textId="13E68D8D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CD05FD" w14:textId="4BD3B57E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173F260D" w14:textId="77777777" w:rsidTr="00395A8D">
        <w:trPr>
          <w:trHeight w:val="256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0ECB45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Ocular trauma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90C14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13866" w14:textId="0FC15745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D98CB" w14:textId="45CE207E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2B6144" w14:textId="0418C870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67BBCFEC" w14:textId="77777777" w:rsidTr="00395A8D">
        <w:trPr>
          <w:trHeight w:val="481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A38AF9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Complex RRD/PVR with encircling or scleral buckling procedures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772E2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F2ED3" w14:textId="53A381E8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455FB" w14:textId="6477667C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F34571" w14:textId="073DAF36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5FE0BAF8" w14:textId="77777777" w:rsidTr="00395A8D">
        <w:trPr>
          <w:trHeight w:val="497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B2482B4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 xml:space="preserve">Suprachoroidal hemorrhage or </w:t>
            </w:r>
            <w:proofErr w:type="gramStart"/>
            <w:r w:rsidRPr="006F7CCC">
              <w:rPr>
                <w:rFonts w:eastAsia="Times New Roman"/>
                <w:bCs/>
              </w:rPr>
              <w:t>other</w:t>
            </w:r>
            <w:proofErr w:type="gramEnd"/>
            <w:r w:rsidRPr="006F7CCC">
              <w:rPr>
                <w:rFonts w:eastAsia="Times New Roman"/>
                <w:bCs/>
              </w:rPr>
              <w:t xml:space="preserve"> unexpected intraoperative event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6F16F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8F216" w14:textId="2202019F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C09C4" w14:textId="2D2FE8C8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A1F5A87" w14:textId="42BB7979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7686F808" w14:textId="77777777" w:rsidTr="00395A8D">
        <w:trPr>
          <w:trHeight w:val="497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B71A957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Other cases unsuitable for paired culture-based temporal analysis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A4200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2DA36" w14:textId="289FF4C4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A05C9" w14:textId="537AC9E3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D7CC464" w14:textId="4204F6BF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2A0230F0" w14:textId="77777777" w:rsidTr="00395A8D">
        <w:trPr>
          <w:trHeight w:val="481"/>
          <w:jc w:val="center"/>
        </w:trPr>
        <w:tc>
          <w:tcPr>
            <w:tcW w:w="4930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2E64497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Included in sensitivity analysis because paired IS/FS culture data were analyzable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E22E18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E0F355E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1/6 (16.7%)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7F5181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2/6 (33.3%)</w:t>
            </w:r>
          </w:p>
        </w:tc>
        <w:tc>
          <w:tcPr>
            <w:tcW w:w="14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766B388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1.000</w:t>
            </w:r>
          </w:p>
        </w:tc>
      </w:tr>
      <w:tr w:rsidR="002B76C0" w:rsidRPr="006F7CCC" w14:paraId="22FA8699" w14:textId="77777777" w:rsidTr="00395A8D">
        <w:trPr>
          <w:trHeight w:val="256"/>
          <w:jc w:val="center"/>
        </w:trPr>
        <w:tc>
          <w:tcPr>
            <w:tcW w:w="10824" w:type="dxa"/>
            <w:gridSpan w:val="5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311C3A6F" w14:textId="77777777" w:rsidR="002B76C0" w:rsidRPr="006F7CCC" w:rsidRDefault="006F7CCC" w:rsidP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B. Operative-time distribution of the six analyzable &gt;120-minute PPV cases</w:t>
            </w:r>
          </w:p>
        </w:tc>
      </w:tr>
      <w:tr w:rsidR="002B76C0" w:rsidRPr="006F7CCC" w14:paraId="547E82D9" w14:textId="77777777" w:rsidTr="00395A8D">
        <w:trPr>
          <w:trHeight w:val="240"/>
          <w:jc w:val="center"/>
        </w:trPr>
        <w:tc>
          <w:tcPr>
            <w:tcW w:w="4930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000A5FFF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&gt;120–140 min</w:t>
            </w:r>
          </w:p>
        </w:tc>
        <w:tc>
          <w:tcPr>
            <w:tcW w:w="126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166E5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4</w:t>
            </w: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52DF2" w14:textId="0CA09B5F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05A5B" w14:textId="4176FBA4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7BF72CCC" w14:textId="1B7DBAE1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5F0C0621" w14:textId="77777777" w:rsidTr="00395A8D">
        <w:trPr>
          <w:trHeight w:val="240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6E98AD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&gt;140–160 min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3D027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567EC" w14:textId="51887EDA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0970A" w14:textId="1665916B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98F06FD" w14:textId="0875485B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0A821E37" w14:textId="77777777" w:rsidTr="00395A8D">
        <w:trPr>
          <w:trHeight w:val="256"/>
          <w:jc w:val="center"/>
        </w:trPr>
        <w:tc>
          <w:tcPr>
            <w:tcW w:w="493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54013E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&gt;160 min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09EE3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C2B94" w14:textId="330DBC89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0A0B0" w14:textId="070DAF60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C614433" w14:textId="7C7747E2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397E69E1" w14:textId="77777777" w:rsidTr="00395A8D">
        <w:trPr>
          <w:trHeight w:val="240"/>
          <w:jc w:val="center"/>
        </w:trPr>
        <w:tc>
          <w:tcPr>
            <w:tcW w:w="4930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CCDD49C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Total analyzable &gt;120-minute cases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623A17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65B60E5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1/6 (16.7%)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AA0F12E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2/6 (33.3%)</w:t>
            </w:r>
          </w:p>
        </w:tc>
        <w:tc>
          <w:tcPr>
            <w:tcW w:w="14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B515032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1.000</w:t>
            </w:r>
          </w:p>
        </w:tc>
      </w:tr>
      <w:tr w:rsidR="002B76C0" w:rsidRPr="006F7CCC" w14:paraId="2F7C49ED" w14:textId="77777777" w:rsidTr="00395A8D">
        <w:trPr>
          <w:trHeight w:val="240"/>
          <w:jc w:val="center"/>
        </w:trPr>
        <w:tc>
          <w:tcPr>
            <w:tcW w:w="10824" w:type="dxa"/>
            <w:gridSpan w:val="5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41B09CCD" w14:textId="77777777" w:rsidR="002B76C0" w:rsidRPr="006F7CCC" w:rsidRDefault="006F7CCC" w:rsidP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C. Sensitivity analysis comparing the primary PPV analysis set with the long-duration-included set</w:t>
            </w:r>
          </w:p>
        </w:tc>
      </w:tr>
      <w:tr w:rsidR="002B76C0" w:rsidRPr="006F7CCC" w14:paraId="66BC35BD" w14:textId="77777777" w:rsidTr="00395A8D">
        <w:trPr>
          <w:trHeight w:val="256"/>
          <w:jc w:val="center"/>
        </w:trPr>
        <w:tc>
          <w:tcPr>
            <w:tcW w:w="4930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4E2CE0B0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Primary PPV analysis set (≤120 min)</w:t>
            </w:r>
          </w:p>
        </w:tc>
        <w:tc>
          <w:tcPr>
            <w:tcW w:w="126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4A6BE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160</w:t>
            </w: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D8297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21/160 (13.1%)</w:t>
            </w: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7C434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54/160 (33.8%)</w:t>
            </w:r>
          </w:p>
        </w:tc>
        <w:tc>
          <w:tcPr>
            <w:tcW w:w="1435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116EE7B8" w14:textId="31069243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B76C0" w:rsidRPr="006F7CCC" w14:paraId="71A8C25D" w14:textId="77777777" w:rsidTr="00395A8D">
        <w:trPr>
          <w:trHeight w:val="481"/>
          <w:jc w:val="center"/>
        </w:trPr>
        <w:tc>
          <w:tcPr>
            <w:tcW w:w="4930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D6680D4" w14:textId="77777777" w:rsidR="002B76C0" w:rsidRPr="006F7CCC" w:rsidRDefault="006F7CCC">
            <w:pPr>
              <w:spacing w:after="0" w:line="240" w:lineRule="auto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Sensitivity analysis including six analyzable &gt;120-minute PPV cases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06937CE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166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8EBE2B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22/166 (13.3%)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222336A" w14:textId="77777777" w:rsidR="002B76C0" w:rsidRPr="006F7CCC" w:rsidRDefault="006F7CCC">
            <w:pPr>
              <w:spacing w:after="0" w:line="240" w:lineRule="auto"/>
              <w:jc w:val="center"/>
              <w:rPr>
                <w:bCs/>
              </w:rPr>
            </w:pPr>
            <w:r w:rsidRPr="006F7CCC">
              <w:rPr>
                <w:rFonts w:eastAsia="Times New Roman"/>
                <w:bCs/>
              </w:rPr>
              <w:t>56/166 (33.7%)</w:t>
            </w:r>
          </w:p>
        </w:tc>
        <w:tc>
          <w:tcPr>
            <w:tcW w:w="1435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51B4166" w14:textId="6425DA8C" w:rsidR="002B76C0" w:rsidRPr="006F7CCC" w:rsidRDefault="002B76C0">
            <w:pPr>
              <w:spacing w:after="0" w:line="240" w:lineRule="auto"/>
              <w:jc w:val="center"/>
              <w:rPr>
                <w:bCs/>
              </w:rPr>
            </w:pPr>
          </w:p>
        </w:tc>
      </w:tr>
    </w:tbl>
    <w:p w14:paraId="72356198" w14:textId="77777777" w:rsidR="002B76C0" w:rsidRDefault="006F7CCC">
      <w:pPr>
        <w:spacing w:before="120" w:after="0"/>
      </w:pPr>
      <w:r>
        <w:t>Values are presented as number of eyes or number of eyes (percentage). FS, final sample; IS, initial sample; PPV, pars plana vitrectomy; RRD, rhegmatogenous retinal detachment; PVR, proliferative vitreoretinopathy. P values were calculated using the exact McNemar test to compare paired IS and FS culture status among analyzable long-duration PPV cases. The six analyzable &gt;120-minute PPV cases were included only for sensitivity analysis and were not included in the primary ≤120-minute operative-time analysis.</w:t>
      </w:r>
    </w:p>
    <w:sectPr w:rsidR="002B76C0" w:rsidSect="00034616">
      <w:pgSz w:w="12240" w:h="15840"/>
      <w:pgMar w:top="1008" w:right="936" w:bottom="1008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875D1" w14:textId="77777777" w:rsidR="000E6054" w:rsidRDefault="000E6054" w:rsidP="00395A8D">
      <w:pPr>
        <w:spacing w:after="0" w:line="240" w:lineRule="auto"/>
      </w:pPr>
      <w:r>
        <w:separator/>
      </w:r>
    </w:p>
  </w:endnote>
  <w:endnote w:type="continuationSeparator" w:id="0">
    <w:p w14:paraId="3583DD81" w14:textId="77777777" w:rsidR="000E6054" w:rsidRDefault="000E6054" w:rsidP="0039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3DF4" w14:textId="77777777" w:rsidR="000E6054" w:rsidRDefault="000E6054" w:rsidP="00395A8D">
      <w:pPr>
        <w:spacing w:after="0" w:line="240" w:lineRule="auto"/>
      </w:pPr>
      <w:r>
        <w:separator/>
      </w:r>
    </w:p>
  </w:footnote>
  <w:footnote w:type="continuationSeparator" w:id="0">
    <w:p w14:paraId="35F026D7" w14:textId="77777777" w:rsidR="000E6054" w:rsidRDefault="000E6054" w:rsidP="00395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054"/>
    <w:rsid w:val="0015074B"/>
    <w:rsid w:val="0029639D"/>
    <w:rsid w:val="002B76C0"/>
    <w:rsid w:val="00326F90"/>
    <w:rsid w:val="00395A8D"/>
    <w:rsid w:val="006F7CC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FC19B6"/>
  <w14:defaultImageDpi w14:val="300"/>
  <w15:docId w15:val="{F81BE341-7D98-4341-8187-25E9306F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PNUYH</cp:lastModifiedBy>
  <cp:revision>3</cp:revision>
  <dcterms:created xsi:type="dcterms:W3CDTF">2013-12-23T23:15:00Z</dcterms:created>
  <dcterms:modified xsi:type="dcterms:W3CDTF">2026-07-01T10:20:00Z</dcterms:modified>
  <cp:category/>
</cp:coreProperties>
</file>