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D8EFF" w14:textId="7BAE2FBC" w:rsidR="001E55C1" w:rsidRPr="009B4AC3" w:rsidRDefault="001E55C1" w:rsidP="001E55C1">
      <w:pPr>
        <w:spacing w:after="0" w:line="360" w:lineRule="auto"/>
        <w:jc w:val="center"/>
        <w:rPr>
          <w:rFonts w:ascii="Times New Roman" w:hAnsi="Times New Roman" w:cs="Times New Roman"/>
          <w:b/>
          <w:bCs/>
          <w:sz w:val="28"/>
          <w:szCs w:val="28"/>
          <w:u w:val="single"/>
        </w:rPr>
      </w:pPr>
      <w:r w:rsidRPr="009B4AC3">
        <w:rPr>
          <w:rFonts w:ascii="Times New Roman" w:hAnsi="Times New Roman" w:cs="Times New Roman"/>
          <w:b/>
          <w:bCs/>
          <w:sz w:val="28"/>
          <w:szCs w:val="28"/>
          <w:u w:val="single"/>
        </w:rPr>
        <w:t>Supplementary Information</w:t>
      </w:r>
    </w:p>
    <w:p w14:paraId="12E0768D" w14:textId="45003492" w:rsidR="002F4E6D" w:rsidRPr="009B4AC3" w:rsidRDefault="002F4E6D" w:rsidP="002F4E6D">
      <w:pPr>
        <w:spacing w:after="0" w:line="360" w:lineRule="auto"/>
        <w:rPr>
          <w:rFonts w:ascii="Times New Roman" w:hAnsi="Times New Roman" w:cs="Times New Roman"/>
          <w:b/>
          <w:bCs/>
          <w:sz w:val="24"/>
          <w:szCs w:val="24"/>
        </w:rPr>
      </w:pPr>
      <w:r w:rsidRPr="009B4AC3">
        <w:rPr>
          <w:rFonts w:ascii="Times New Roman" w:hAnsi="Times New Roman" w:cs="Times New Roman"/>
          <w:b/>
          <w:bCs/>
          <w:sz w:val="24"/>
          <w:szCs w:val="24"/>
        </w:rPr>
        <w:t>Microbial Strains Isolation</w:t>
      </w:r>
    </w:p>
    <w:p w14:paraId="4830BD90" w14:textId="4BAE2ACE" w:rsidR="002F4E6D" w:rsidRPr="009B4AC3" w:rsidRDefault="002F4E6D" w:rsidP="002F4E6D">
      <w:pPr>
        <w:spacing w:after="0" w:line="360" w:lineRule="auto"/>
        <w:jc w:val="both"/>
        <w:rPr>
          <w:rFonts w:ascii="Times New Roman" w:hAnsi="Times New Roman" w:cs="Times New Roman"/>
          <w:sz w:val="20"/>
          <w:szCs w:val="20"/>
        </w:rPr>
      </w:pPr>
      <w:r w:rsidRPr="009B4AC3">
        <w:rPr>
          <w:rFonts w:ascii="Times New Roman" w:hAnsi="Times New Roman" w:cs="Times New Roman"/>
          <w:sz w:val="20"/>
          <w:szCs w:val="20"/>
        </w:rPr>
        <w:t xml:space="preserve">Discarded waste PCB samples were collected from a local electronic waste recycling facility and transported to the laboratory under sterile conditions. To preserve the indigenous microbial population associated with the PCB surfaces, no thermal or chemical pretreatment was applied prior to microbial isolation. The PCB samples were aseptically transferred into sterile nutrient broth and incubated under appropriate culture conditions to enrich the associated bacterial community. Serial dilutions of the enrichment culture were spread on nutrient agar plates, and morphologically distinct colonies were isolated by repeated streaking to obtain pure cultures. </w:t>
      </w:r>
      <w:r w:rsidRPr="009B4AC3">
        <w:rPr>
          <w:rFonts w:ascii="Times New Roman" w:hAnsi="Times New Roman" w:cs="Times New Roman"/>
          <w:b/>
          <w:bCs/>
          <w:sz w:val="20"/>
          <w:szCs w:val="20"/>
        </w:rPr>
        <w:t>Fig. S1</w:t>
      </w:r>
      <w:r w:rsidRPr="009B4AC3">
        <w:rPr>
          <w:rFonts w:ascii="Times New Roman" w:hAnsi="Times New Roman" w:cs="Times New Roman"/>
          <w:sz w:val="20"/>
          <w:szCs w:val="20"/>
        </w:rPr>
        <w:t xml:space="preserve"> describe step by step isolation process of bacterial strains. </w:t>
      </w:r>
    </w:p>
    <w:p w14:paraId="2DBB20A8" w14:textId="2FDE5F6E" w:rsidR="009673AF" w:rsidRPr="009B4AC3" w:rsidRDefault="002F4E6D">
      <w:r w:rsidRPr="009B4AC3">
        <w:rPr>
          <w:rFonts w:ascii="Times New Roman" w:hAnsi="Times New Roman" w:cs="Times New Roman"/>
          <w:noProof/>
          <w:sz w:val="20"/>
          <w:szCs w:val="20"/>
          <w14:ligatures w14:val="standardContextual"/>
        </w:rPr>
        <w:drawing>
          <wp:inline distT="0" distB="0" distL="0" distR="0" wp14:anchorId="00FFCCAA" wp14:editId="4C903111">
            <wp:extent cx="5731510" cy="4030275"/>
            <wp:effectExtent l="19050" t="19050" r="21590" b="27940"/>
            <wp:docPr id="1052214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14567" name="Picture 105221456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4030275"/>
                    </a:xfrm>
                    <a:prstGeom prst="rect">
                      <a:avLst/>
                    </a:prstGeom>
                    <a:ln w="12700">
                      <a:solidFill>
                        <a:schemeClr val="tx1"/>
                      </a:solidFill>
                    </a:ln>
                  </pic:spPr>
                </pic:pic>
              </a:graphicData>
            </a:graphic>
          </wp:inline>
        </w:drawing>
      </w:r>
    </w:p>
    <w:p w14:paraId="1F09FA2A" w14:textId="27091E23" w:rsidR="002F4E6D" w:rsidRPr="009B4AC3" w:rsidRDefault="002F4E6D" w:rsidP="002F4E6D">
      <w:pPr>
        <w:spacing w:after="0" w:line="360" w:lineRule="auto"/>
        <w:jc w:val="center"/>
        <w:rPr>
          <w:rFonts w:ascii="Times New Roman" w:hAnsi="Times New Roman" w:cs="Times New Roman"/>
          <w:sz w:val="20"/>
          <w:szCs w:val="20"/>
        </w:rPr>
      </w:pPr>
      <w:r w:rsidRPr="009B4AC3">
        <w:rPr>
          <w:rFonts w:ascii="Times New Roman" w:hAnsi="Times New Roman" w:cs="Times New Roman"/>
          <w:b/>
          <w:bCs/>
          <w:sz w:val="20"/>
          <w:szCs w:val="20"/>
        </w:rPr>
        <w:t>Fig.S1:</w:t>
      </w:r>
      <w:r w:rsidRPr="009B4AC3">
        <w:rPr>
          <w:rFonts w:ascii="Times New Roman" w:hAnsi="Times New Roman" w:cs="Times New Roman"/>
          <w:sz w:val="20"/>
          <w:szCs w:val="20"/>
        </w:rPr>
        <w:t xml:space="preserve"> Step-by-step bacterial strains isolation process from raw-PCB</w:t>
      </w:r>
    </w:p>
    <w:p w14:paraId="57DF8120" w14:textId="39A322DF" w:rsidR="002F4E6D" w:rsidRPr="009B4AC3" w:rsidRDefault="001E55C1">
      <w:pPr>
        <w:rPr>
          <w:rFonts w:ascii="Times New Roman" w:hAnsi="Times New Roman" w:cs="Times New Roman"/>
          <w:b/>
          <w:bCs/>
          <w:sz w:val="20"/>
          <w:szCs w:val="20"/>
        </w:rPr>
      </w:pPr>
      <w:r w:rsidRPr="009B4AC3">
        <w:rPr>
          <w:rFonts w:ascii="Times New Roman" w:hAnsi="Times New Roman" w:cs="Times New Roman"/>
          <w:b/>
          <w:bCs/>
          <w:sz w:val="20"/>
          <w:szCs w:val="20"/>
        </w:rPr>
        <w:t xml:space="preserve">Supplementary Table S1. </w:t>
      </w:r>
      <w:r w:rsidRPr="009B4AC3">
        <w:rPr>
          <w:rFonts w:ascii="Times New Roman" w:hAnsi="Times New Roman" w:cs="Times New Roman"/>
          <w:sz w:val="20"/>
          <w:szCs w:val="20"/>
        </w:rPr>
        <w:t>Initial elemental composition of untreated waste printed circuit board (PCB) feedstock determined by ICP-OES prior to bioleaching (n = 3).</w:t>
      </w:r>
    </w:p>
    <w:tbl>
      <w:tblPr>
        <w:tblStyle w:val="TableGrid"/>
        <w:tblW w:w="0" w:type="auto"/>
        <w:jc w:val="center"/>
        <w:tblLook w:val="04A0" w:firstRow="1" w:lastRow="0" w:firstColumn="1" w:lastColumn="0" w:noHBand="0" w:noVBand="1"/>
      </w:tblPr>
      <w:tblGrid>
        <w:gridCol w:w="1838"/>
        <w:gridCol w:w="1166"/>
        <w:gridCol w:w="1503"/>
        <w:gridCol w:w="1503"/>
        <w:gridCol w:w="1503"/>
        <w:gridCol w:w="1503"/>
      </w:tblGrid>
      <w:tr w:rsidR="00093651" w:rsidRPr="009B4AC3" w14:paraId="06135FE3" w14:textId="77777777" w:rsidTr="00093651">
        <w:trPr>
          <w:jc w:val="center"/>
        </w:trPr>
        <w:tc>
          <w:tcPr>
            <w:tcW w:w="1838" w:type="dxa"/>
            <w:vAlign w:val="center"/>
          </w:tcPr>
          <w:p w14:paraId="2328B884" w14:textId="22C57602"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Target Metal</w:t>
            </w:r>
          </w:p>
        </w:tc>
        <w:tc>
          <w:tcPr>
            <w:tcW w:w="1166" w:type="dxa"/>
            <w:vAlign w:val="center"/>
          </w:tcPr>
          <w:p w14:paraId="6C3B5886" w14:textId="2167B5AC"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Sample 1</w:t>
            </w:r>
          </w:p>
        </w:tc>
        <w:tc>
          <w:tcPr>
            <w:tcW w:w="1503" w:type="dxa"/>
            <w:vAlign w:val="center"/>
          </w:tcPr>
          <w:p w14:paraId="3BBFEBD7" w14:textId="22B139C3"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Sample 2</w:t>
            </w:r>
          </w:p>
        </w:tc>
        <w:tc>
          <w:tcPr>
            <w:tcW w:w="1503" w:type="dxa"/>
            <w:vAlign w:val="center"/>
          </w:tcPr>
          <w:p w14:paraId="4CC764F5" w14:textId="0401C31D"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Sample 3</w:t>
            </w:r>
          </w:p>
        </w:tc>
        <w:tc>
          <w:tcPr>
            <w:tcW w:w="1503" w:type="dxa"/>
            <w:vAlign w:val="center"/>
          </w:tcPr>
          <w:p w14:paraId="1878DA48" w14:textId="52A6D7C5"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Mean</w:t>
            </w:r>
          </w:p>
        </w:tc>
        <w:tc>
          <w:tcPr>
            <w:tcW w:w="1503" w:type="dxa"/>
            <w:vAlign w:val="center"/>
          </w:tcPr>
          <w:p w14:paraId="6F5AB65F" w14:textId="65B08F29"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SD</w:t>
            </w:r>
          </w:p>
        </w:tc>
      </w:tr>
      <w:tr w:rsidR="00093651" w:rsidRPr="009B4AC3" w14:paraId="383EB31D" w14:textId="77777777" w:rsidTr="00093651">
        <w:trPr>
          <w:jc w:val="center"/>
        </w:trPr>
        <w:tc>
          <w:tcPr>
            <w:tcW w:w="1838" w:type="dxa"/>
            <w:vAlign w:val="center"/>
          </w:tcPr>
          <w:p w14:paraId="3052473B" w14:textId="252B3CD3"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Copper (Cu)</w:t>
            </w:r>
          </w:p>
        </w:tc>
        <w:tc>
          <w:tcPr>
            <w:tcW w:w="1166" w:type="dxa"/>
            <w:vAlign w:val="center"/>
          </w:tcPr>
          <w:p w14:paraId="5F836C03" w14:textId="7823772E"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288.41</w:t>
            </w:r>
          </w:p>
        </w:tc>
        <w:tc>
          <w:tcPr>
            <w:tcW w:w="1503" w:type="dxa"/>
            <w:vAlign w:val="center"/>
          </w:tcPr>
          <w:p w14:paraId="4FD3972A" w14:textId="03A026BC"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290.98</w:t>
            </w:r>
          </w:p>
        </w:tc>
        <w:tc>
          <w:tcPr>
            <w:tcW w:w="1503" w:type="dxa"/>
            <w:vAlign w:val="center"/>
          </w:tcPr>
          <w:p w14:paraId="035B0B91" w14:textId="31FABA10"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293.79</w:t>
            </w:r>
          </w:p>
        </w:tc>
        <w:tc>
          <w:tcPr>
            <w:tcW w:w="1503" w:type="dxa"/>
            <w:vAlign w:val="center"/>
          </w:tcPr>
          <w:p w14:paraId="56D75CF7" w14:textId="7AC0C164"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291.06</w:t>
            </w:r>
          </w:p>
        </w:tc>
        <w:tc>
          <w:tcPr>
            <w:tcW w:w="1503" w:type="dxa"/>
            <w:vAlign w:val="center"/>
          </w:tcPr>
          <w:p w14:paraId="1F165EC7" w14:textId="4FC80167"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2.690892045</w:t>
            </w:r>
          </w:p>
        </w:tc>
      </w:tr>
      <w:tr w:rsidR="00093651" w:rsidRPr="009B4AC3" w14:paraId="6E754C79" w14:textId="77777777" w:rsidTr="00093651">
        <w:trPr>
          <w:jc w:val="center"/>
        </w:trPr>
        <w:tc>
          <w:tcPr>
            <w:tcW w:w="1838" w:type="dxa"/>
            <w:vAlign w:val="center"/>
          </w:tcPr>
          <w:p w14:paraId="586A2990" w14:textId="06C94399"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Silver (Ag)</w:t>
            </w:r>
          </w:p>
        </w:tc>
        <w:tc>
          <w:tcPr>
            <w:tcW w:w="1166" w:type="dxa"/>
            <w:vAlign w:val="center"/>
          </w:tcPr>
          <w:p w14:paraId="7BC964D5" w14:textId="46EAB1CC"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1.66</w:t>
            </w:r>
          </w:p>
        </w:tc>
        <w:tc>
          <w:tcPr>
            <w:tcW w:w="1503" w:type="dxa"/>
            <w:vAlign w:val="center"/>
          </w:tcPr>
          <w:p w14:paraId="782E3251" w14:textId="34B3AFBC"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1.71</w:t>
            </w:r>
          </w:p>
        </w:tc>
        <w:tc>
          <w:tcPr>
            <w:tcW w:w="1503" w:type="dxa"/>
            <w:vAlign w:val="center"/>
          </w:tcPr>
          <w:p w14:paraId="1F4D3FD8" w14:textId="6C6983DB"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1.73</w:t>
            </w:r>
          </w:p>
        </w:tc>
        <w:tc>
          <w:tcPr>
            <w:tcW w:w="1503" w:type="dxa"/>
            <w:vAlign w:val="center"/>
          </w:tcPr>
          <w:p w14:paraId="71970307" w14:textId="26F44A1E"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1.7</w:t>
            </w:r>
          </w:p>
        </w:tc>
        <w:tc>
          <w:tcPr>
            <w:tcW w:w="1503" w:type="dxa"/>
            <w:vAlign w:val="center"/>
          </w:tcPr>
          <w:p w14:paraId="495C2146" w14:textId="04CC278F"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0.036055513</w:t>
            </w:r>
          </w:p>
        </w:tc>
      </w:tr>
      <w:tr w:rsidR="00093651" w:rsidRPr="009B4AC3" w14:paraId="63F2202C" w14:textId="77777777" w:rsidTr="00093651">
        <w:trPr>
          <w:jc w:val="center"/>
        </w:trPr>
        <w:tc>
          <w:tcPr>
            <w:tcW w:w="1838" w:type="dxa"/>
            <w:vAlign w:val="center"/>
          </w:tcPr>
          <w:p w14:paraId="2503BA31" w14:textId="7232E8FF"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Calcium (Ca)</w:t>
            </w:r>
          </w:p>
        </w:tc>
        <w:tc>
          <w:tcPr>
            <w:tcW w:w="1166" w:type="dxa"/>
            <w:vAlign w:val="center"/>
          </w:tcPr>
          <w:p w14:paraId="1B0AA393" w14:textId="27165771"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57.96</w:t>
            </w:r>
          </w:p>
        </w:tc>
        <w:tc>
          <w:tcPr>
            <w:tcW w:w="1503" w:type="dxa"/>
            <w:vAlign w:val="center"/>
          </w:tcPr>
          <w:p w14:paraId="0231F39B" w14:textId="1F255043"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58.83</w:t>
            </w:r>
          </w:p>
        </w:tc>
        <w:tc>
          <w:tcPr>
            <w:tcW w:w="1503" w:type="dxa"/>
            <w:vAlign w:val="center"/>
          </w:tcPr>
          <w:p w14:paraId="515B336F" w14:textId="7584D561"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59.64</w:t>
            </w:r>
          </w:p>
        </w:tc>
        <w:tc>
          <w:tcPr>
            <w:tcW w:w="1503" w:type="dxa"/>
            <w:vAlign w:val="center"/>
          </w:tcPr>
          <w:p w14:paraId="32D11706" w14:textId="03FAEF8A"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58.81</w:t>
            </w:r>
          </w:p>
        </w:tc>
        <w:tc>
          <w:tcPr>
            <w:tcW w:w="1503" w:type="dxa"/>
            <w:vAlign w:val="center"/>
          </w:tcPr>
          <w:p w14:paraId="1A6D08AA" w14:textId="4CC43A01"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0.840178552</w:t>
            </w:r>
          </w:p>
        </w:tc>
      </w:tr>
      <w:tr w:rsidR="00093651" w:rsidRPr="009B4AC3" w14:paraId="50E2AE81" w14:textId="77777777" w:rsidTr="00093651">
        <w:trPr>
          <w:jc w:val="center"/>
        </w:trPr>
        <w:tc>
          <w:tcPr>
            <w:tcW w:w="1838" w:type="dxa"/>
            <w:vAlign w:val="center"/>
          </w:tcPr>
          <w:p w14:paraId="5AC91D96" w14:textId="2621631E"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Iron (Fe)</w:t>
            </w:r>
          </w:p>
        </w:tc>
        <w:tc>
          <w:tcPr>
            <w:tcW w:w="1166" w:type="dxa"/>
            <w:vAlign w:val="center"/>
          </w:tcPr>
          <w:p w14:paraId="7080E904" w14:textId="1EF20D09"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6.09</w:t>
            </w:r>
          </w:p>
        </w:tc>
        <w:tc>
          <w:tcPr>
            <w:tcW w:w="1503" w:type="dxa"/>
            <w:vAlign w:val="center"/>
          </w:tcPr>
          <w:p w14:paraId="1C784361" w14:textId="46EACF7C"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6.28</w:t>
            </w:r>
          </w:p>
        </w:tc>
        <w:tc>
          <w:tcPr>
            <w:tcW w:w="1503" w:type="dxa"/>
            <w:vAlign w:val="center"/>
          </w:tcPr>
          <w:p w14:paraId="4CBD9CB4" w14:textId="3926B13F"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6.41</w:t>
            </w:r>
          </w:p>
        </w:tc>
        <w:tc>
          <w:tcPr>
            <w:tcW w:w="1503" w:type="dxa"/>
            <w:vAlign w:val="center"/>
          </w:tcPr>
          <w:p w14:paraId="213195A3" w14:textId="1C6A98A1"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6.26</w:t>
            </w:r>
          </w:p>
        </w:tc>
        <w:tc>
          <w:tcPr>
            <w:tcW w:w="1503" w:type="dxa"/>
            <w:vAlign w:val="center"/>
          </w:tcPr>
          <w:p w14:paraId="06464571" w14:textId="406E0AB1"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0.160934769</w:t>
            </w:r>
          </w:p>
        </w:tc>
      </w:tr>
      <w:tr w:rsidR="00093651" w:rsidRPr="009B4AC3" w14:paraId="20EAE899" w14:textId="77777777" w:rsidTr="00093651">
        <w:trPr>
          <w:jc w:val="center"/>
        </w:trPr>
        <w:tc>
          <w:tcPr>
            <w:tcW w:w="1838" w:type="dxa"/>
            <w:vAlign w:val="center"/>
          </w:tcPr>
          <w:p w14:paraId="234D7C62" w14:textId="69E43FB3"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Manganese (Mn)</w:t>
            </w:r>
          </w:p>
        </w:tc>
        <w:tc>
          <w:tcPr>
            <w:tcW w:w="1166" w:type="dxa"/>
            <w:vAlign w:val="center"/>
          </w:tcPr>
          <w:p w14:paraId="6EA97631" w14:textId="589CF69A"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4.79</w:t>
            </w:r>
          </w:p>
        </w:tc>
        <w:tc>
          <w:tcPr>
            <w:tcW w:w="1503" w:type="dxa"/>
            <w:vAlign w:val="center"/>
          </w:tcPr>
          <w:p w14:paraId="762837A6" w14:textId="18AD44AB"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4.95</w:t>
            </w:r>
          </w:p>
        </w:tc>
        <w:tc>
          <w:tcPr>
            <w:tcW w:w="1503" w:type="dxa"/>
            <w:vAlign w:val="center"/>
          </w:tcPr>
          <w:p w14:paraId="7FEBD343" w14:textId="4A301BFA"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5.05</w:t>
            </w:r>
          </w:p>
        </w:tc>
        <w:tc>
          <w:tcPr>
            <w:tcW w:w="1503" w:type="dxa"/>
            <w:vAlign w:val="center"/>
          </w:tcPr>
          <w:p w14:paraId="1514AA34" w14:textId="32AE2714"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4.93</w:t>
            </w:r>
          </w:p>
        </w:tc>
        <w:tc>
          <w:tcPr>
            <w:tcW w:w="1503" w:type="dxa"/>
            <w:vAlign w:val="center"/>
          </w:tcPr>
          <w:p w14:paraId="54D23FEA" w14:textId="5E1DFB43"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0.13114877</w:t>
            </w:r>
          </w:p>
        </w:tc>
      </w:tr>
      <w:tr w:rsidR="00093651" w:rsidRPr="00093651" w14:paraId="31C8696F" w14:textId="77777777" w:rsidTr="00093651">
        <w:trPr>
          <w:jc w:val="center"/>
        </w:trPr>
        <w:tc>
          <w:tcPr>
            <w:tcW w:w="1838" w:type="dxa"/>
            <w:vAlign w:val="center"/>
          </w:tcPr>
          <w:p w14:paraId="694F349A" w14:textId="415FE10B"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b/>
                <w:bCs/>
                <w:sz w:val="20"/>
                <w:szCs w:val="20"/>
              </w:rPr>
              <w:t>Zinc (Zn)</w:t>
            </w:r>
          </w:p>
        </w:tc>
        <w:tc>
          <w:tcPr>
            <w:tcW w:w="1166" w:type="dxa"/>
            <w:vAlign w:val="center"/>
          </w:tcPr>
          <w:p w14:paraId="1EA1F65A" w14:textId="3F3D20BE"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4.55</w:t>
            </w:r>
          </w:p>
        </w:tc>
        <w:tc>
          <w:tcPr>
            <w:tcW w:w="1503" w:type="dxa"/>
            <w:vAlign w:val="center"/>
          </w:tcPr>
          <w:p w14:paraId="46749E95" w14:textId="271DE5FA"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4.71</w:t>
            </w:r>
          </w:p>
        </w:tc>
        <w:tc>
          <w:tcPr>
            <w:tcW w:w="1503" w:type="dxa"/>
            <w:vAlign w:val="center"/>
          </w:tcPr>
          <w:p w14:paraId="02F48357" w14:textId="410C7034"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4.81</w:t>
            </w:r>
          </w:p>
        </w:tc>
        <w:tc>
          <w:tcPr>
            <w:tcW w:w="1503" w:type="dxa"/>
            <w:vAlign w:val="center"/>
          </w:tcPr>
          <w:p w14:paraId="795F3F79" w14:textId="15394034" w:rsidR="00093651" w:rsidRPr="009B4AC3"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4.69</w:t>
            </w:r>
          </w:p>
        </w:tc>
        <w:tc>
          <w:tcPr>
            <w:tcW w:w="1503" w:type="dxa"/>
            <w:vAlign w:val="center"/>
          </w:tcPr>
          <w:p w14:paraId="5612FEDE" w14:textId="5060BF0A" w:rsidR="00093651" w:rsidRPr="00093651" w:rsidRDefault="00093651" w:rsidP="00093651">
            <w:pPr>
              <w:spacing w:line="360" w:lineRule="auto"/>
              <w:jc w:val="center"/>
              <w:rPr>
                <w:rFonts w:ascii="Times New Roman" w:hAnsi="Times New Roman" w:cs="Times New Roman"/>
                <w:b/>
                <w:bCs/>
                <w:sz w:val="20"/>
                <w:szCs w:val="20"/>
              </w:rPr>
            </w:pPr>
            <w:r w:rsidRPr="009B4AC3">
              <w:rPr>
                <w:rFonts w:ascii="Times New Roman" w:hAnsi="Times New Roman" w:cs="Times New Roman"/>
                <w:sz w:val="20"/>
                <w:szCs w:val="20"/>
              </w:rPr>
              <w:t>0.13114877</w:t>
            </w:r>
          </w:p>
        </w:tc>
      </w:tr>
    </w:tbl>
    <w:p w14:paraId="437F0F4B" w14:textId="77777777" w:rsidR="00093651" w:rsidRPr="001E55C1" w:rsidRDefault="00093651" w:rsidP="00093651">
      <w:pPr>
        <w:rPr>
          <w:rFonts w:ascii="Times New Roman" w:hAnsi="Times New Roman" w:cs="Times New Roman"/>
          <w:b/>
          <w:bCs/>
          <w:sz w:val="20"/>
          <w:szCs w:val="20"/>
        </w:rPr>
      </w:pPr>
    </w:p>
    <w:sectPr w:rsidR="00093651" w:rsidRPr="001E55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6D"/>
    <w:rsid w:val="00093651"/>
    <w:rsid w:val="0011015A"/>
    <w:rsid w:val="001E55C1"/>
    <w:rsid w:val="002F4E6D"/>
    <w:rsid w:val="003501CF"/>
    <w:rsid w:val="00441EBA"/>
    <w:rsid w:val="00623FB0"/>
    <w:rsid w:val="00697EE1"/>
    <w:rsid w:val="007430D7"/>
    <w:rsid w:val="007759FF"/>
    <w:rsid w:val="007E7F3C"/>
    <w:rsid w:val="009673AF"/>
    <w:rsid w:val="009B4AC3"/>
    <w:rsid w:val="009B5741"/>
    <w:rsid w:val="00A7579B"/>
    <w:rsid w:val="00D2234E"/>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9D12"/>
  <w15:chartTrackingRefBased/>
  <w15:docId w15:val="{613FA693-00E8-45B6-BED2-40B43075D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E6D"/>
    <w:pPr>
      <w:spacing w:line="259" w:lineRule="auto"/>
    </w:pPr>
    <w:rPr>
      <w:rFonts w:eastAsiaTheme="minorHAnsi"/>
      <w:sz w:val="22"/>
      <w:szCs w:val="22"/>
      <w:lang w:eastAsia="en-US"/>
      <w14:ligatures w14:val="none"/>
    </w:rPr>
  </w:style>
  <w:style w:type="paragraph" w:styleId="Heading1">
    <w:name w:val="heading 1"/>
    <w:basedOn w:val="Normal"/>
    <w:next w:val="Normal"/>
    <w:link w:val="Heading1Char"/>
    <w:uiPriority w:val="9"/>
    <w:qFormat/>
    <w:rsid w:val="002F4E6D"/>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eastAsia="zh-TW"/>
      <w14:ligatures w14:val="standardContextual"/>
    </w:rPr>
  </w:style>
  <w:style w:type="paragraph" w:styleId="Heading2">
    <w:name w:val="heading 2"/>
    <w:basedOn w:val="Normal"/>
    <w:next w:val="Normal"/>
    <w:link w:val="Heading2Char"/>
    <w:uiPriority w:val="9"/>
    <w:semiHidden/>
    <w:unhideWhenUsed/>
    <w:qFormat/>
    <w:rsid w:val="002F4E6D"/>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eastAsia="zh-TW"/>
      <w14:ligatures w14:val="standardContextual"/>
    </w:rPr>
  </w:style>
  <w:style w:type="paragraph" w:styleId="Heading3">
    <w:name w:val="heading 3"/>
    <w:basedOn w:val="Normal"/>
    <w:next w:val="Normal"/>
    <w:link w:val="Heading3Char"/>
    <w:uiPriority w:val="9"/>
    <w:semiHidden/>
    <w:unhideWhenUsed/>
    <w:qFormat/>
    <w:rsid w:val="002F4E6D"/>
    <w:pPr>
      <w:keepNext/>
      <w:keepLines/>
      <w:spacing w:before="160" w:after="80" w:line="278" w:lineRule="auto"/>
      <w:outlineLvl w:val="2"/>
    </w:pPr>
    <w:rPr>
      <w:rFonts w:eastAsiaTheme="majorEastAsia" w:cstheme="majorBidi"/>
      <w:color w:val="2F5496" w:themeColor="accent1" w:themeShade="BF"/>
      <w:sz w:val="28"/>
      <w:szCs w:val="28"/>
      <w:lang w:eastAsia="zh-TW"/>
      <w14:ligatures w14:val="standardContextual"/>
    </w:rPr>
  </w:style>
  <w:style w:type="paragraph" w:styleId="Heading4">
    <w:name w:val="heading 4"/>
    <w:basedOn w:val="Normal"/>
    <w:next w:val="Normal"/>
    <w:link w:val="Heading4Char"/>
    <w:uiPriority w:val="9"/>
    <w:semiHidden/>
    <w:unhideWhenUsed/>
    <w:qFormat/>
    <w:rsid w:val="002F4E6D"/>
    <w:pPr>
      <w:keepNext/>
      <w:keepLines/>
      <w:spacing w:before="80" w:after="40" w:line="278" w:lineRule="auto"/>
      <w:outlineLvl w:val="3"/>
    </w:pPr>
    <w:rPr>
      <w:rFonts w:eastAsiaTheme="majorEastAsia" w:cstheme="majorBidi"/>
      <w:i/>
      <w:iCs/>
      <w:color w:val="2F5496" w:themeColor="accent1" w:themeShade="BF"/>
      <w:sz w:val="24"/>
      <w:szCs w:val="24"/>
      <w:lang w:eastAsia="zh-TW"/>
      <w14:ligatures w14:val="standardContextual"/>
    </w:rPr>
  </w:style>
  <w:style w:type="paragraph" w:styleId="Heading5">
    <w:name w:val="heading 5"/>
    <w:basedOn w:val="Normal"/>
    <w:next w:val="Normal"/>
    <w:link w:val="Heading5Char"/>
    <w:uiPriority w:val="9"/>
    <w:semiHidden/>
    <w:unhideWhenUsed/>
    <w:qFormat/>
    <w:rsid w:val="002F4E6D"/>
    <w:pPr>
      <w:keepNext/>
      <w:keepLines/>
      <w:spacing w:before="80" w:after="40" w:line="278" w:lineRule="auto"/>
      <w:outlineLvl w:val="4"/>
    </w:pPr>
    <w:rPr>
      <w:rFonts w:eastAsiaTheme="majorEastAsia" w:cstheme="majorBidi"/>
      <w:color w:val="2F5496" w:themeColor="accent1" w:themeShade="BF"/>
      <w:sz w:val="24"/>
      <w:szCs w:val="24"/>
      <w:lang w:eastAsia="zh-TW"/>
      <w14:ligatures w14:val="standardContextual"/>
    </w:rPr>
  </w:style>
  <w:style w:type="paragraph" w:styleId="Heading6">
    <w:name w:val="heading 6"/>
    <w:basedOn w:val="Normal"/>
    <w:next w:val="Normal"/>
    <w:link w:val="Heading6Char"/>
    <w:uiPriority w:val="9"/>
    <w:semiHidden/>
    <w:unhideWhenUsed/>
    <w:qFormat/>
    <w:rsid w:val="002F4E6D"/>
    <w:pPr>
      <w:keepNext/>
      <w:keepLines/>
      <w:spacing w:before="40" w:after="0" w:line="278" w:lineRule="auto"/>
      <w:outlineLvl w:val="5"/>
    </w:pPr>
    <w:rPr>
      <w:rFonts w:eastAsiaTheme="majorEastAsia" w:cstheme="majorBidi"/>
      <w:i/>
      <w:iCs/>
      <w:color w:val="595959" w:themeColor="text1" w:themeTint="A6"/>
      <w:sz w:val="24"/>
      <w:szCs w:val="24"/>
      <w:lang w:eastAsia="zh-TW"/>
      <w14:ligatures w14:val="standardContextual"/>
    </w:rPr>
  </w:style>
  <w:style w:type="paragraph" w:styleId="Heading7">
    <w:name w:val="heading 7"/>
    <w:basedOn w:val="Normal"/>
    <w:next w:val="Normal"/>
    <w:link w:val="Heading7Char"/>
    <w:uiPriority w:val="9"/>
    <w:semiHidden/>
    <w:unhideWhenUsed/>
    <w:qFormat/>
    <w:rsid w:val="002F4E6D"/>
    <w:pPr>
      <w:keepNext/>
      <w:keepLines/>
      <w:spacing w:before="40" w:after="0" w:line="278" w:lineRule="auto"/>
      <w:outlineLvl w:val="6"/>
    </w:pPr>
    <w:rPr>
      <w:rFonts w:eastAsiaTheme="majorEastAsia" w:cstheme="majorBidi"/>
      <w:color w:val="595959" w:themeColor="text1" w:themeTint="A6"/>
      <w:sz w:val="24"/>
      <w:szCs w:val="24"/>
      <w:lang w:eastAsia="zh-TW"/>
      <w14:ligatures w14:val="standardContextual"/>
    </w:rPr>
  </w:style>
  <w:style w:type="paragraph" w:styleId="Heading8">
    <w:name w:val="heading 8"/>
    <w:basedOn w:val="Normal"/>
    <w:next w:val="Normal"/>
    <w:link w:val="Heading8Char"/>
    <w:uiPriority w:val="9"/>
    <w:semiHidden/>
    <w:unhideWhenUsed/>
    <w:qFormat/>
    <w:rsid w:val="002F4E6D"/>
    <w:pPr>
      <w:keepNext/>
      <w:keepLines/>
      <w:spacing w:after="0" w:line="278" w:lineRule="auto"/>
      <w:outlineLvl w:val="7"/>
    </w:pPr>
    <w:rPr>
      <w:rFonts w:eastAsiaTheme="majorEastAsia" w:cstheme="majorBidi"/>
      <w:i/>
      <w:iCs/>
      <w:color w:val="272727" w:themeColor="text1" w:themeTint="D8"/>
      <w:sz w:val="24"/>
      <w:szCs w:val="24"/>
      <w:lang w:eastAsia="zh-TW"/>
      <w14:ligatures w14:val="standardContextual"/>
    </w:rPr>
  </w:style>
  <w:style w:type="paragraph" w:styleId="Heading9">
    <w:name w:val="heading 9"/>
    <w:basedOn w:val="Normal"/>
    <w:next w:val="Normal"/>
    <w:link w:val="Heading9Char"/>
    <w:uiPriority w:val="9"/>
    <w:semiHidden/>
    <w:unhideWhenUsed/>
    <w:qFormat/>
    <w:rsid w:val="002F4E6D"/>
    <w:pPr>
      <w:keepNext/>
      <w:keepLines/>
      <w:spacing w:after="0" w:line="278" w:lineRule="auto"/>
      <w:outlineLvl w:val="8"/>
    </w:pPr>
    <w:rPr>
      <w:rFonts w:eastAsiaTheme="majorEastAsia" w:cstheme="majorBidi"/>
      <w:color w:val="272727" w:themeColor="text1" w:themeTint="D8"/>
      <w:sz w:val="24"/>
      <w:szCs w:val="24"/>
      <w:lang w:eastAsia="zh-T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E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4E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4E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4E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4E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4E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E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E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E6D"/>
    <w:rPr>
      <w:rFonts w:eastAsiaTheme="majorEastAsia" w:cstheme="majorBidi"/>
      <w:color w:val="272727" w:themeColor="text1" w:themeTint="D8"/>
    </w:rPr>
  </w:style>
  <w:style w:type="paragraph" w:styleId="Title">
    <w:name w:val="Title"/>
    <w:basedOn w:val="Normal"/>
    <w:next w:val="Normal"/>
    <w:link w:val="TitleChar"/>
    <w:uiPriority w:val="10"/>
    <w:qFormat/>
    <w:rsid w:val="002F4E6D"/>
    <w:pPr>
      <w:spacing w:after="80" w:line="240" w:lineRule="auto"/>
      <w:contextualSpacing/>
    </w:pPr>
    <w:rPr>
      <w:rFonts w:asciiTheme="majorHAnsi" w:eastAsiaTheme="majorEastAsia" w:hAnsiTheme="majorHAnsi" w:cstheme="majorBidi"/>
      <w:spacing w:val="-10"/>
      <w:kern w:val="28"/>
      <w:sz w:val="56"/>
      <w:szCs w:val="56"/>
      <w:lang w:eastAsia="zh-TW"/>
      <w14:ligatures w14:val="standardContextual"/>
    </w:rPr>
  </w:style>
  <w:style w:type="character" w:customStyle="1" w:styleId="TitleChar">
    <w:name w:val="Title Char"/>
    <w:basedOn w:val="DefaultParagraphFont"/>
    <w:link w:val="Title"/>
    <w:uiPriority w:val="10"/>
    <w:rsid w:val="002F4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E6D"/>
    <w:pPr>
      <w:numPr>
        <w:ilvl w:val="1"/>
      </w:numPr>
      <w:spacing w:line="278" w:lineRule="auto"/>
    </w:pPr>
    <w:rPr>
      <w:rFonts w:eastAsiaTheme="majorEastAsia" w:cstheme="majorBidi"/>
      <w:color w:val="595959" w:themeColor="text1" w:themeTint="A6"/>
      <w:spacing w:val="15"/>
      <w:sz w:val="28"/>
      <w:szCs w:val="28"/>
      <w:lang w:eastAsia="zh-TW"/>
      <w14:ligatures w14:val="standardContextual"/>
    </w:rPr>
  </w:style>
  <w:style w:type="character" w:customStyle="1" w:styleId="SubtitleChar">
    <w:name w:val="Subtitle Char"/>
    <w:basedOn w:val="DefaultParagraphFont"/>
    <w:link w:val="Subtitle"/>
    <w:uiPriority w:val="11"/>
    <w:rsid w:val="002F4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E6D"/>
    <w:pPr>
      <w:spacing w:before="160" w:line="278" w:lineRule="auto"/>
      <w:jc w:val="center"/>
    </w:pPr>
    <w:rPr>
      <w:rFonts w:eastAsiaTheme="minorEastAsia"/>
      <w:i/>
      <w:iCs/>
      <w:color w:val="404040" w:themeColor="text1" w:themeTint="BF"/>
      <w:sz w:val="24"/>
      <w:szCs w:val="24"/>
      <w:lang w:eastAsia="zh-TW"/>
      <w14:ligatures w14:val="standardContextual"/>
    </w:rPr>
  </w:style>
  <w:style w:type="character" w:customStyle="1" w:styleId="QuoteChar">
    <w:name w:val="Quote Char"/>
    <w:basedOn w:val="DefaultParagraphFont"/>
    <w:link w:val="Quote"/>
    <w:uiPriority w:val="29"/>
    <w:rsid w:val="002F4E6D"/>
    <w:rPr>
      <w:i/>
      <w:iCs/>
      <w:color w:val="404040" w:themeColor="text1" w:themeTint="BF"/>
    </w:rPr>
  </w:style>
  <w:style w:type="paragraph" w:styleId="ListParagraph">
    <w:name w:val="List Paragraph"/>
    <w:basedOn w:val="Normal"/>
    <w:uiPriority w:val="34"/>
    <w:qFormat/>
    <w:rsid w:val="002F4E6D"/>
    <w:pPr>
      <w:spacing w:line="278" w:lineRule="auto"/>
      <w:ind w:left="720"/>
      <w:contextualSpacing/>
    </w:pPr>
    <w:rPr>
      <w:rFonts w:eastAsiaTheme="minorEastAsia"/>
      <w:sz w:val="24"/>
      <w:szCs w:val="24"/>
      <w:lang w:eastAsia="zh-TW"/>
      <w14:ligatures w14:val="standardContextual"/>
    </w:rPr>
  </w:style>
  <w:style w:type="character" w:styleId="IntenseEmphasis">
    <w:name w:val="Intense Emphasis"/>
    <w:basedOn w:val="DefaultParagraphFont"/>
    <w:uiPriority w:val="21"/>
    <w:qFormat/>
    <w:rsid w:val="002F4E6D"/>
    <w:rPr>
      <w:i/>
      <w:iCs/>
      <w:color w:val="2F5496" w:themeColor="accent1" w:themeShade="BF"/>
    </w:rPr>
  </w:style>
  <w:style w:type="paragraph" w:styleId="IntenseQuote">
    <w:name w:val="Intense Quote"/>
    <w:basedOn w:val="Normal"/>
    <w:next w:val="Normal"/>
    <w:link w:val="IntenseQuoteChar"/>
    <w:uiPriority w:val="30"/>
    <w:qFormat/>
    <w:rsid w:val="002F4E6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EastAsia"/>
      <w:i/>
      <w:iCs/>
      <w:color w:val="2F5496" w:themeColor="accent1" w:themeShade="BF"/>
      <w:sz w:val="24"/>
      <w:szCs w:val="24"/>
      <w:lang w:eastAsia="zh-TW"/>
      <w14:ligatures w14:val="standardContextual"/>
    </w:rPr>
  </w:style>
  <w:style w:type="character" w:customStyle="1" w:styleId="IntenseQuoteChar">
    <w:name w:val="Intense Quote Char"/>
    <w:basedOn w:val="DefaultParagraphFont"/>
    <w:link w:val="IntenseQuote"/>
    <w:uiPriority w:val="30"/>
    <w:rsid w:val="002F4E6D"/>
    <w:rPr>
      <w:i/>
      <w:iCs/>
      <w:color w:val="2F5496" w:themeColor="accent1" w:themeShade="BF"/>
    </w:rPr>
  </w:style>
  <w:style w:type="character" w:styleId="IntenseReference">
    <w:name w:val="Intense Reference"/>
    <w:basedOn w:val="DefaultParagraphFont"/>
    <w:uiPriority w:val="32"/>
    <w:qFormat/>
    <w:rsid w:val="002F4E6D"/>
    <w:rPr>
      <w:b/>
      <w:bCs/>
      <w:smallCaps/>
      <w:color w:val="2F5496" w:themeColor="accent1" w:themeShade="BF"/>
      <w:spacing w:val="5"/>
    </w:rPr>
  </w:style>
  <w:style w:type="table" w:styleId="TableGrid">
    <w:name w:val="Table Grid"/>
    <w:basedOn w:val="TableNormal"/>
    <w:uiPriority w:val="39"/>
    <w:rsid w:val="00093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Banhi Halder</dc:creator>
  <cp:keywords/>
  <dc:description/>
  <cp:lastModifiedBy>Banhi Halder</cp:lastModifiedBy>
  <cp:revision>4</cp:revision>
  <dcterms:created xsi:type="dcterms:W3CDTF">2026-07-31T16:36:00Z</dcterms:created>
  <dcterms:modified xsi:type="dcterms:W3CDTF">2026-08-17T11:44:00Z</dcterms:modified>
</cp:coreProperties>
</file>