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40759" w14:textId="77777777" w:rsidR="00E1140A" w:rsidRPr="00383D36" w:rsidRDefault="00383D36" w:rsidP="00383D36">
      <w:pPr>
        <w:pStyle w:val="Heading2"/>
        <w:spacing w:line="360" w:lineRule="auto"/>
        <w:rPr>
          <w:rFonts w:asciiTheme="majorBidi" w:hAnsiTheme="majorBidi"/>
          <w:sz w:val="24"/>
          <w:szCs w:val="24"/>
        </w:rPr>
      </w:pPr>
      <w:r w:rsidRPr="00383D36">
        <w:rPr>
          <w:rFonts w:asciiTheme="majorBidi" w:hAnsiTheme="majorBidi"/>
          <w:sz w:val="24"/>
          <w:szCs w:val="24"/>
        </w:rPr>
        <w:t>Comparison of Alpha Diversity Between Control (n = 4) and Case Group (n = 16)</w:t>
      </w:r>
    </w:p>
    <w:tbl>
      <w:tblPr>
        <w:tblStyle w:val="TableGrid"/>
        <w:tblW w:w="9702" w:type="dxa"/>
        <w:tblInd w:w="-530" w:type="dxa"/>
        <w:tblLook w:val="04A0" w:firstRow="1" w:lastRow="0" w:firstColumn="1" w:lastColumn="0" w:noHBand="0" w:noVBand="1"/>
      </w:tblPr>
      <w:tblGrid>
        <w:gridCol w:w="1710"/>
        <w:gridCol w:w="2340"/>
        <w:gridCol w:w="2196"/>
        <w:gridCol w:w="1728"/>
        <w:gridCol w:w="1728"/>
      </w:tblGrid>
      <w:tr w:rsidR="00E1140A" w:rsidRPr="00383D36" w14:paraId="1232F120" w14:textId="77777777" w:rsidTr="00383D36">
        <w:tc>
          <w:tcPr>
            <w:tcW w:w="1710" w:type="dxa"/>
            <w:shd w:val="clear" w:color="auto" w:fill="B8CCE4" w:themeFill="accent1" w:themeFillTint="66"/>
          </w:tcPr>
          <w:p w14:paraId="3D3AE3B5"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Index</w:t>
            </w:r>
          </w:p>
        </w:tc>
        <w:tc>
          <w:tcPr>
            <w:tcW w:w="2340" w:type="dxa"/>
            <w:shd w:val="clear" w:color="auto" w:fill="B8CCE4" w:themeFill="accent1" w:themeFillTint="66"/>
          </w:tcPr>
          <w:p w14:paraId="173E72B2"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Mean ± SD Control</w:t>
            </w:r>
          </w:p>
        </w:tc>
        <w:tc>
          <w:tcPr>
            <w:tcW w:w="2196" w:type="dxa"/>
            <w:shd w:val="clear" w:color="auto" w:fill="B8CCE4" w:themeFill="accent1" w:themeFillTint="66"/>
          </w:tcPr>
          <w:p w14:paraId="51C2C545"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Mean ± SD Case</w:t>
            </w:r>
          </w:p>
        </w:tc>
        <w:tc>
          <w:tcPr>
            <w:tcW w:w="1728" w:type="dxa"/>
            <w:shd w:val="clear" w:color="auto" w:fill="B8CCE4" w:themeFill="accent1" w:themeFillTint="66"/>
          </w:tcPr>
          <w:p w14:paraId="3816C128"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p-value</w:t>
            </w:r>
          </w:p>
        </w:tc>
        <w:tc>
          <w:tcPr>
            <w:tcW w:w="1728" w:type="dxa"/>
            <w:shd w:val="clear" w:color="auto" w:fill="B8CCE4" w:themeFill="accent1" w:themeFillTint="66"/>
          </w:tcPr>
          <w:p w14:paraId="5BFCF43F"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Significant</w:t>
            </w:r>
          </w:p>
        </w:tc>
      </w:tr>
      <w:tr w:rsidR="00E1140A" w:rsidRPr="00383D36" w14:paraId="75FD7D80" w14:textId="77777777" w:rsidTr="00383D36">
        <w:tc>
          <w:tcPr>
            <w:tcW w:w="1710" w:type="dxa"/>
          </w:tcPr>
          <w:p w14:paraId="4759231B"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Feature</w:t>
            </w:r>
          </w:p>
        </w:tc>
        <w:tc>
          <w:tcPr>
            <w:tcW w:w="2340" w:type="dxa"/>
          </w:tcPr>
          <w:p w14:paraId="41A48B6A"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764.250 ± 353.492</w:t>
            </w:r>
          </w:p>
        </w:tc>
        <w:tc>
          <w:tcPr>
            <w:tcW w:w="2196" w:type="dxa"/>
          </w:tcPr>
          <w:p w14:paraId="60853BB8"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702.250 ± 707.618</w:t>
            </w:r>
          </w:p>
        </w:tc>
        <w:tc>
          <w:tcPr>
            <w:tcW w:w="1728" w:type="dxa"/>
          </w:tcPr>
          <w:p w14:paraId="7250F65B"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0.290</w:t>
            </w:r>
          </w:p>
        </w:tc>
        <w:tc>
          <w:tcPr>
            <w:tcW w:w="1728" w:type="dxa"/>
          </w:tcPr>
          <w:p w14:paraId="2707EC35"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Not Significant</w:t>
            </w:r>
          </w:p>
        </w:tc>
      </w:tr>
      <w:tr w:rsidR="00E1140A" w:rsidRPr="00383D36" w14:paraId="01B25490" w14:textId="77777777" w:rsidTr="00383D36">
        <w:tc>
          <w:tcPr>
            <w:tcW w:w="1710" w:type="dxa"/>
          </w:tcPr>
          <w:p w14:paraId="18C485F2"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ACE</w:t>
            </w:r>
          </w:p>
        </w:tc>
        <w:tc>
          <w:tcPr>
            <w:tcW w:w="2340" w:type="dxa"/>
          </w:tcPr>
          <w:p w14:paraId="465364DD"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775.099 ± 367.086</w:t>
            </w:r>
          </w:p>
        </w:tc>
        <w:tc>
          <w:tcPr>
            <w:tcW w:w="2196" w:type="dxa"/>
          </w:tcPr>
          <w:p w14:paraId="085144DC"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708.015 ± 710.226</w:t>
            </w:r>
          </w:p>
        </w:tc>
        <w:tc>
          <w:tcPr>
            <w:tcW w:w="1728" w:type="dxa"/>
          </w:tcPr>
          <w:p w14:paraId="30CB65D8"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0.290</w:t>
            </w:r>
          </w:p>
        </w:tc>
        <w:tc>
          <w:tcPr>
            <w:tcW w:w="1728" w:type="dxa"/>
          </w:tcPr>
          <w:p w14:paraId="060ED29C"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Not Significant</w:t>
            </w:r>
          </w:p>
        </w:tc>
      </w:tr>
      <w:tr w:rsidR="00E1140A" w:rsidRPr="00383D36" w14:paraId="5EA4F42D" w14:textId="77777777" w:rsidTr="00383D36">
        <w:tc>
          <w:tcPr>
            <w:tcW w:w="1710" w:type="dxa"/>
          </w:tcPr>
          <w:p w14:paraId="3162BA08"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Chao1</w:t>
            </w:r>
          </w:p>
        </w:tc>
        <w:tc>
          <w:tcPr>
            <w:tcW w:w="2340" w:type="dxa"/>
          </w:tcPr>
          <w:p w14:paraId="338794B5"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766.228 ± 356.472</w:t>
            </w:r>
          </w:p>
        </w:tc>
        <w:tc>
          <w:tcPr>
            <w:tcW w:w="2196" w:type="dxa"/>
          </w:tcPr>
          <w:p w14:paraId="7360BF63"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703.185 ± 707.711</w:t>
            </w:r>
          </w:p>
        </w:tc>
        <w:tc>
          <w:tcPr>
            <w:tcW w:w="1728" w:type="dxa"/>
          </w:tcPr>
          <w:p w14:paraId="619B3EC9"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0.290</w:t>
            </w:r>
          </w:p>
        </w:tc>
        <w:tc>
          <w:tcPr>
            <w:tcW w:w="1728" w:type="dxa"/>
          </w:tcPr>
          <w:p w14:paraId="1BC48EBF"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Not Significant</w:t>
            </w:r>
          </w:p>
        </w:tc>
      </w:tr>
      <w:tr w:rsidR="00E1140A" w:rsidRPr="00383D36" w14:paraId="0576170C" w14:textId="77777777" w:rsidTr="00383D36">
        <w:tc>
          <w:tcPr>
            <w:tcW w:w="1710" w:type="dxa"/>
          </w:tcPr>
          <w:p w14:paraId="7938446D"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Simpson</w:t>
            </w:r>
          </w:p>
        </w:tc>
        <w:tc>
          <w:tcPr>
            <w:tcW w:w="2340" w:type="dxa"/>
          </w:tcPr>
          <w:p w14:paraId="7EA600E1"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0.972 ± 0.011</w:t>
            </w:r>
          </w:p>
        </w:tc>
        <w:tc>
          <w:tcPr>
            <w:tcW w:w="2196" w:type="dxa"/>
          </w:tcPr>
          <w:p w14:paraId="417CBE89"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0.945 ± 0.033</w:t>
            </w:r>
          </w:p>
        </w:tc>
        <w:tc>
          <w:tcPr>
            <w:tcW w:w="1728" w:type="dxa"/>
          </w:tcPr>
          <w:p w14:paraId="69A65EEA"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0.050</w:t>
            </w:r>
          </w:p>
        </w:tc>
        <w:tc>
          <w:tcPr>
            <w:tcW w:w="1728" w:type="dxa"/>
          </w:tcPr>
          <w:p w14:paraId="2E942C59"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Significant</w:t>
            </w:r>
          </w:p>
        </w:tc>
      </w:tr>
      <w:tr w:rsidR="00E1140A" w:rsidRPr="00383D36" w14:paraId="26416CFD" w14:textId="77777777" w:rsidTr="00383D36">
        <w:tc>
          <w:tcPr>
            <w:tcW w:w="1710" w:type="dxa"/>
          </w:tcPr>
          <w:p w14:paraId="1E5ECA21"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Shannon</w:t>
            </w:r>
          </w:p>
        </w:tc>
        <w:tc>
          <w:tcPr>
            <w:tcW w:w="2340" w:type="dxa"/>
          </w:tcPr>
          <w:p w14:paraId="357D1241"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6.233 ± 0.473</w:t>
            </w:r>
          </w:p>
        </w:tc>
        <w:tc>
          <w:tcPr>
            <w:tcW w:w="2196" w:type="dxa"/>
          </w:tcPr>
          <w:p w14:paraId="1A321F48"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5.524 ± 0.806</w:t>
            </w:r>
          </w:p>
        </w:tc>
        <w:tc>
          <w:tcPr>
            <w:tcW w:w="1728" w:type="dxa"/>
          </w:tcPr>
          <w:p w14:paraId="0FE6D491"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0.050</w:t>
            </w:r>
          </w:p>
        </w:tc>
        <w:tc>
          <w:tcPr>
            <w:tcW w:w="1728" w:type="dxa"/>
          </w:tcPr>
          <w:p w14:paraId="25757620"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Significant</w:t>
            </w:r>
          </w:p>
        </w:tc>
      </w:tr>
      <w:tr w:rsidR="00E1140A" w:rsidRPr="00383D36" w14:paraId="078B6089" w14:textId="77777777" w:rsidTr="00383D36">
        <w:tc>
          <w:tcPr>
            <w:tcW w:w="1710" w:type="dxa"/>
          </w:tcPr>
          <w:p w14:paraId="36FEE4B3"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PD_whole_tree</w:t>
            </w:r>
          </w:p>
        </w:tc>
        <w:tc>
          <w:tcPr>
            <w:tcW w:w="2340" w:type="dxa"/>
          </w:tcPr>
          <w:p w14:paraId="6B98891B"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14.249 ± 7.565</w:t>
            </w:r>
          </w:p>
        </w:tc>
        <w:tc>
          <w:tcPr>
            <w:tcW w:w="2196" w:type="dxa"/>
          </w:tcPr>
          <w:p w14:paraId="55D0C818"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12.586 ± 5.041</w:t>
            </w:r>
          </w:p>
        </w:tc>
        <w:tc>
          <w:tcPr>
            <w:tcW w:w="1728" w:type="dxa"/>
          </w:tcPr>
          <w:p w14:paraId="45992127"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0.963</w:t>
            </w:r>
          </w:p>
        </w:tc>
        <w:tc>
          <w:tcPr>
            <w:tcW w:w="1728" w:type="dxa"/>
          </w:tcPr>
          <w:p w14:paraId="1E99A63E"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Not Significant</w:t>
            </w:r>
          </w:p>
        </w:tc>
      </w:tr>
      <w:tr w:rsidR="00E1140A" w:rsidRPr="00383D36" w14:paraId="4E65FE83" w14:textId="77777777" w:rsidTr="00383D36">
        <w:tc>
          <w:tcPr>
            <w:tcW w:w="1710" w:type="dxa"/>
          </w:tcPr>
          <w:p w14:paraId="09030A3D"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Coverage</w:t>
            </w:r>
          </w:p>
        </w:tc>
        <w:tc>
          <w:tcPr>
            <w:tcW w:w="2340" w:type="dxa"/>
          </w:tcPr>
          <w:p w14:paraId="54AC8EEA"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1.000 ± 0.000</w:t>
            </w:r>
          </w:p>
        </w:tc>
        <w:tc>
          <w:tcPr>
            <w:tcW w:w="2196" w:type="dxa"/>
          </w:tcPr>
          <w:p w14:paraId="7AF38F28"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1.000 ± 0.000</w:t>
            </w:r>
          </w:p>
        </w:tc>
        <w:tc>
          <w:tcPr>
            <w:tcW w:w="1728" w:type="dxa"/>
          </w:tcPr>
          <w:p w14:paraId="6CC7DDCD"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0.919</w:t>
            </w:r>
          </w:p>
        </w:tc>
        <w:tc>
          <w:tcPr>
            <w:tcW w:w="1728" w:type="dxa"/>
          </w:tcPr>
          <w:p w14:paraId="4A94ED72" w14:textId="77777777" w:rsidR="00E1140A" w:rsidRPr="00383D36" w:rsidRDefault="00383D36" w:rsidP="00383D36">
            <w:pPr>
              <w:spacing w:line="360" w:lineRule="auto"/>
              <w:rPr>
                <w:rFonts w:asciiTheme="majorBidi" w:hAnsiTheme="majorBidi" w:cstheme="majorBidi"/>
                <w:sz w:val="24"/>
                <w:szCs w:val="24"/>
              </w:rPr>
            </w:pPr>
            <w:r w:rsidRPr="00383D36">
              <w:rPr>
                <w:rFonts w:asciiTheme="majorBidi" w:hAnsiTheme="majorBidi" w:cstheme="majorBidi"/>
                <w:sz w:val="24"/>
                <w:szCs w:val="24"/>
              </w:rPr>
              <w:t>Not Significant</w:t>
            </w:r>
          </w:p>
        </w:tc>
      </w:tr>
    </w:tbl>
    <w:p w14:paraId="39E1C819" w14:textId="77777777" w:rsidR="00E1140A" w:rsidRPr="00383D36" w:rsidRDefault="00E1140A" w:rsidP="00481F47">
      <w:pPr>
        <w:spacing w:line="360" w:lineRule="auto"/>
        <w:jc w:val="both"/>
        <w:rPr>
          <w:rFonts w:asciiTheme="majorBidi" w:hAnsiTheme="majorBidi" w:cstheme="majorBidi"/>
          <w:sz w:val="24"/>
          <w:szCs w:val="24"/>
        </w:rPr>
      </w:pPr>
    </w:p>
    <w:p w14:paraId="25C63F20" w14:textId="77777777" w:rsidR="00E1140A" w:rsidRPr="00383D36" w:rsidRDefault="00481F47" w:rsidP="00481F47">
      <w:pPr>
        <w:spacing w:line="360" w:lineRule="auto"/>
        <w:jc w:val="both"/>
        <w:rPr>
          <w:rFonts w:asciiTheme="majorBidi" w:hAnsiTheme="majorBidi" w:cstheme="majorBidi"/>
          <w:sz w:val="24"/>
          <w:szCs w:val="24"/>
        </w:rPr>
      </w:pPr>
      <w:r w:rsidRPr="00481F47">
        <w:rPr>
          <w:rFonts w:asciiTheme="majorBidi" w:hAnsiTheme="majorBidi" w:cstheme="majorBidi"/>
          <w:sz w:val="24"/>
          <w:szCs w:val="24"/>
        </w:rPr>
        <w:t xml:space="preserve">The independent analysis of alpha diversity metrics revealed that most of the richness-related indices like Feature count, ACE and Chao1 did not differ significantly between control and the case group as their p values were above the threshold limit of 0.05. Similarly, </w:t>
      </w:r>
      <w:proofErr w:type="spellStart"/>
      <w:r w:rsidRPr="00481F47">
        <w:rPr>
          <w:rFonts w:asciiTheme="majorBidi" w:hAnsiTheme="majorBidi" w:cstheme="majorBidi"/>
          <w:sz w:val="24"/>
          <w:szCs w:val="24"/>
        </w:rPr>
        <w:t>PD_whole_tree</w:t>
      </w:r>
      <w:proofErr w:type="spellEnd"/>
      <w:r w:rsidRPr="00481F47">
        <w:rPr>
          <w:rFonts w:asciiTheme="majorBidi" w:hAnsiTheme="majorBidi" w:cstheme="majorBidi"/>
          <w:sz w:val="24"/>
          <w:szCs w:val="24"/>
        </w:rPr>
        <w:t xml:space="preserve"> and Coverage did not reveal any meaningful variation between both groups. However, Simpson and Shannon indices showed p values at the level of significance (0.050), suggesting a possible decline of microbial diversity and microbial evenness in the case group as compared to the control group. This implies that although species richness seems to be similar between groups, the balance of distribution and total microbial diversity may be slightly lower in the case samples.</w:t>
      </w:r>
    </w:p>
    <w:sectPr w:rsidR="00E1140A" w:rsidRPr="00383D3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4451507">
    <w:abstractNumId w:val="8"/>
  </w:num>
  <w:num w:numId="2" w16cid:durableId="1568036165">
    <w:abstractNumId w:val="6"/>
  </w:num>
  <w:num w:numId="3" w16cid:durableId="1628927661">
    <w:abstractNumId w:val="5"/>
  </w:num>
  <w:num w:numId="4" w16cid:durableId="214855456">
    <w:abstractNumId w:val="4"/>
  </w:num>
  <w:num w:numId="5" w16cid:durableId="2089694628">
    <w:abstractNumId w:val="7"/>
  </w:num>
  <w:num w:numId="6" w16cid:durableId="1019164403">
    <w:abstractNumId w:val="3"/>
  </w:num>
  <w:num w:numId="7" w16cid:durableId="1738355660">
    <w:abstractNumId w:val="2"/>
  </w:num>
  <w:num w:numId="8" w16cid:durableId="984772953">
    <w:abstractNumId w:val="1"/>
  </w:num>
  <w:num w:numId="9" w16cid:durableId="505242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22E3"/>
    <w:rsid w:val="00326F90"/>
    <w:rsid w:val="00383D36"/>
    <w:rsid w:val="00400B37"/>
    <w:rsid w:val="00481F47"/>
    <w:rsid w:val="0061685E"/>
    <w:rsid w:val="008A4684"/>
    <w:rsid w:val="00AA1D8D"/>
    <w:rsid w:val="00B47730"/>
    <w:rsid w:val="00CB0664"/>
    <w:rsid w:val="00E114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BA1283"/>
  <w14:defaultImageDpi w14:val="300"/>
  <w15:docId w15:val="{915AA2CA-28D1-4F4D-8D8B-A6649CB3E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66554-F080-4A86-A69E-B4C6C2C1E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 kirdar</cp:lastModifiedBy>
  <cp:revision>2</cp:revision>
  <dcterms:created xsi:type="dcterms:W3CDTF">2026-05-02T16:27:00Z</dcterms:created>
  <dcterms:modified xsi:type="dcterms:W3CDTF">2026-05-02T16:27:00Z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cbffd6b4-15fc-4324-95f5-dc41f384f561</vt:lpwstr>
  </property>
</Properties>
</file>