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36735" w14:textId="77777777" w:rsidR="004C2874" w:rsidRPr="003434A0" w:rsidRDefault="003434A0" w:rsidP="003434A0">
      <w:pPr>
        <w:spacing w:line="360" w:lineRule="auto"/>
        <w:rPr>
          <w:rFonts w:asciiTheme="majorBidi" w:hAnsiTheme="majorBidi" w:cstheme="majorBidi"/>
        </w:rPr>
      </w:pPr>
      <w:r w:rsidRPr="003434A0">
        <w:rPr>
          <w:rFonts w:asciiTheme="majorBidi" w:hAnsiTheme="majorBidi" w:cstheme="majorBidi"/>
          <w:b/>
          <w:sz w:val="24"/>
        </w:rPr>
        <w:t>Comparison Between Control (n = 4) and Case Group (n = 16)</w:t>
      </w:r>
    </w:p>
    <w:p w14:paraId="7E7B2335" w14:textId="77777777" w:rsidR="004C2874" w:rsidRPr="003434A0" w:rsidRDefault="004C2874" w:rsidP="003434A0">
      <w:pPr>
        <w:spacing w:line="360" w:lineRule="auto"/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2"/>
        <w:gridCol w:w="2011"/>
        <w:gridCol w:w="1827"/>
        <w:gridCol w:w="1191"/>
        <w:gridCol w:w="1699"/>
      </w:tblGrid>
      <w:tr w:rsidR="004C2874" w:rsidRPr="003434A0" w14:paraId="411B5868" w14:textId="77777777" w:rsidTr="003434A0">
        <w:tc>
          <w:tcPr>
            <w:tcW w:w="1902" w:type="dxa"/>
            <w:shd w:val="clear" w:color="auto" w:fill="B8CCE4" w:themeFill="accent1" w:themeFillTint="66"/>
          </w:tcPr>
          <w:p w14:paraId="5502A8FB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Taxa</w:t>
            </w:r>
          </w:p>
        </w:tc>
        <w:tc>
          <w:tcPr>
            <w:tcW w:w="2076" w:type="dxa"/>
            <w:shd w:val="clear" w:color="auto" w:fill="B8CCE4" w:themeFill="accent1" w:themeFillTint="66"/>
          </w:tcPr>
          <w:p w14:paraId="6219816B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Mean ± SD Control</w:t>
            </w:r>
          </w:p>
        </w:tc>
        <w:tc>
          <w:tcPr>
            <w:tcW w:w="1890" w:type="dxa"/>
            <w:shd w:val="clear" w:color="auto" w:fill="B8CCE4" w:themeFill="accent1" w:themeFillTint="66"/>
          </w:tcPr>
          <w:p w14:paraId="0786D6B8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Mean ± SD Case</w:t>
            </w:r>
          </w:p>
        </w:tc>
        <w:tc>
          <w:tcPr>
            <w:tcW w:w="1218" w:type="dxa"/>
            <w:shd w:val="clear" w:color="auto" w:fill="B8CCE4" w:themeFill="accent1" w:themeFillTint="66"/>
          </w:tcPr>
          <w:p w14:paraId="5AE7F31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p-value</w:t>
            </w:r>
          </w:p>
        </w:tc>
        <w:tc>
          <w:tcPr>
            <w:tcW w:w="1728" w:type="dxa"/>
            <w:shd w:val="clear" w:color="auto" w:fill="B8CCE4" w:themeFill="accent1" w:themeFillTint="66"/>
          </w:tcPr>
          <w:p w14:paraId="0F656D3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Significant</w:t>
            </w:r>
          </w:p>
        </w:tc>
      </w:tr>
      <w:tr w:rsidR="004C2874" w:rsidRPr="003434A0" w14:paraId="68A6367E" w14:textId="77777777" w:rsidTr="003434A0">
        <w:tc>
          <w:tcPr>
            <w:tcW w:w="1902" w:type="dxa"/>
          </w:tcPr>
          <w:p w14:paraId="511B5291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Prevotellaceae</w:t>
            </w:r>
          </w:p>
        </w:tc>
        <w:tc>
          <w:tcPr>
            <w:tcW w:w="2076" w:type="dxa"/>
          </w:tcPr>
          <w:p w14:paraId="203B54C7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0.098 ± 0.114</w:t>
            </w:r>
          </w:p>
        </w:tc>
        <w:tc>
          <w:tcPr>
            <w:tcW w:w="1890" w:type="dxa"/>
          </w:tcPr>
          <w:p w14:paraId="1F301071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0.201 ± 0.228</w:t>
            </w:r>
          </w:p>
        </w:tc>
        <w:tc>
          <w:tcPr>
            <w:tcW w:w="1218" w:type="dxa"/>
          </w:tcPr>
          <w:p w14:paraId="11F370BB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0.892</w:t>
            </w:r>
          </w:p>
        </w:tc>
        <w:tc>
          <w:tcPr>
            <w:tcW w:w="1728" w:type="dxa"/>
          </w:tcPr>
          <w:p w14:paraId="433879D2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0201282F" w14:textId="77777777" w:rsidTr="003434A0">
        <w:tc>
          <w:tcPr>
            <w:tcW w:w="1902" w:type="dxa"/>
          </w:tcPr>
          <w:p w14:paraId="4B856B5F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Bacteroidaceae</w:t>
            </w:r>
          </w:p>
        </w:tc>
        <w:tc>
          <w:tcPr>
            <w:tcW w:w="2076" w:type="dxa"/>
          </w:tcPr>
          <w:p w14:paraId="5874EF0E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0.173 ± 0.058</w:t>
            </w:r>
          </w:p>
        </w:tc>
        <w:tc>
          <w:tcPr>
            <w:tcW w:w="1890" w:type="dxa"/>
          </w:tcPr>
          <w:p w14:paraId="1903DA3C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0.163 ± 0.165</w:t>
            </w:r>
          </w:p>
        </w:tc>
        <w:tc>
          <w:tcPr>
            <w:tcW w:w="1218" w:type="dxa"/>
          </w:tcPr>
          <w:p w14:paraId="43D7E3B9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0.682</w:t>
            </w:r>
          </w:p>
        </w:tc>
        <w:tc>
          <w:tcPr>
            <w:tcW w:w="1728" w:type="dxa"/>
          </w:tcPr>
          <w:p w14:paraId="4C480553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2880DD70" w14:textId="77777777" w:rsidTr="003434A0">
        <w:tc>
          <w:tcPr>
            <w:tcW w:w="1902" w:type="dxa"/>
          </w:tcPr>
          <w:p w14:paraId="016F3D30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Ruminococcaceae</w:t>
            </w:r>
          </w:p>
        </w:tc>
        <w:tc>
          <w:tcPr>
            <w:tcW w:w="2076" w:type="dxa"/>
          </w:tcPr>
          <w:p w14:paraId="238B1111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0.172 ± 0.054</w:t>
            </w:r>
          </w:p>
        </w:tc>
        <w:tc>
          <w:tcPr>
            <w:tcW w:w="1890" w:type="dxa"/>
          </w:tcPr>
          <w:p w14:paraId="291A6D3F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0.141 ± 0.106</w:t>
            </w:r>
          </w:p>
        </w:tc>
        <w:tc>
          <w:tcPr>
            <w:tcW w:w="1218" w:type="dxa"/>
          </w:tcPr>
          <w:p w14:paraId="75DDD9CB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0.178</w:t>
            </w:r>
          </w:p>
        </w:tc>
        <w:tc>
          <w:tcPr>
            <w:tcW w:w="1728" w:type="dxa"/>
          </w:tcPr>
          <w:p w14:paraId="5AF94960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1D27AC79" w14:textId="77777777" w:rsidTr="003434A0">
        <w:tc>
          <w:tcPr>
            <w:tcW w:w="1902" w:type="dxa"/>
          </w:tcPr>
          <w:p w14:paraId="72BBEB4D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Lachnospiraceae</w:t>
            </w:r>
          </w:p>
        </w:tc>
        <w:tc>
          <w:tcPr>
            <w:tcW w:w="2076" w:type="dxa"/>
          </w:tcPr>
          <w:p w14:paraId="2E3ECC1B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0.188 ± 0.085</w:t>
            </w:r>
          </w:p>
        </w:tc>
        <w:tc>
          <w:tcPr>
            <w:tcW w:w="1890" w:type="dxa"/>
          </w:tcPr>
          <w:p w14:paraId="3A28E74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0.132 ± 0.063</w:t>
            </w:r>
          </w:p>
        </w:tc>
        <w:tc>
          <w:tcPr>
            <w:tcW w:w="1218" w:type="dxa"/>
          </w:tcPr>
          <w:p w14:paraId="4E3D3C80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0.178</w:t>
            </w:r>
          </w:p>
        </w:tc>
        <w:tc>
          <w:tcPr>
            <w:tcW w:w="1728" w:type="dxa"/>
          </w:tcPr>
          <w:p w14:paraId="1E46CCB3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63878B76" w14:textId="77777777" w:rsidTr="003434A0">
        <w:tc>
          <w:tcPr>
            <w:tcW w:w="1902" w:type="dxa"/>
          </w:tcPr>
          <w:p w14:paraId="16104F5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Veillonellaceae</w:t>
            </w:r>
          </w:p>
        </w:tc>
        <w:tc>
          <w:tcPr>
            <w:tcW w:w="2076" w:type="dxa"/>
          </w:tcPr>
          <w:p w14:paraId="0AC0649F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0.048 ± 0.028</w:t>
            </w:r>
          </w:p>
        </w:tc>
        <w:tc>
          <w:tcPr>
            <w:tcW w:w="1890" w:type="dxa"/>
          </w:tcPr>
          <w:p w14:paraId="11E0DB17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0.058 ± 0.037</w:t>
            </w:r>
          </w:p>
        </w:tc>
        <w:tc>
          <w:tcPr>
            <w:tcW w:w="1218" w:type="dxa"/>
          </w:tcPr>
          <w:p w14:paraId="7A41C51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0.617</w:t>
            </w:r>
          </w:p>
        </w:tc>
        <w:tc>
          <w:tcPr>
            <w:tcW w:w="1728" w:type="dxa"/>
          </w:tcPr>
          <w:p w14:paraId="4832E4FD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0CD1C0AB" w14:textId="77777777" w:rsidTr="003434A0">
        <w:tc>
          <w:tcPr>
            <w:tcW w:w="1902" w:type="dxa"/>
          </w:tcPr>
          <w:p w14:paraId="61FE07A1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Bifidobacteriaceae</w:t>
            </w:r>
          </w:p>
        </w:tc>
        <w:tc>
          <w:tcPr>
            <w:tcW w:w="2076" w:type="dxa"/>
          </w:tcPr>
          <w:p w14:paraId="69779C8E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0.027 ± 0.025</w:t>
            </w:r>
          </w:p>
        </w:tc>
        <w:tc>
          <w:tcPr>
            <w:tcW w:w="1890" w:type="dxa"/>
          </w:tcPr>
          <w:p w14:paraId="2CBDD119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0.044 ± 0.055</w:t>
            </w:r>
          </w:p>
        </w:tc>
        <w:tc>
          <w:tcPr>
            <w:tcW w:w="1218" w:type="dxa"/>
          </w:tcPr>
          <w:p w14:paraId="090B79F0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1.000</w:t>
            </w:r>
          </w:p>
        </w:tc>
        <w:tc>
          <w:tcPr>
            <w:tcW w:w="1728" w:type="dxa"/>
          </w:tcPr>
          <w:p w14:paraId="1851951A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40457E32" w14:textId="77777777" w:rsidTr="003434A0">
        <w:tc>
          <w:tcPr>
            <w:tcW w:w="1902" w:type="dxa"/>
          </w:tcPr>
          <w:p w14:paraId="65D918C4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Oscillospiraceae</w:t>
            </w:r>
          </w:p>
        </w:tc>
        <w:tc>
          <w:tcPr>
            <w:tcW w:w="2076" w:type="dxa"/>
          </w:tcPr>
          <w:p w14:paraId="5497FD54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0.043 ± 0.035</w:t>
            </w:r>
          </w:p>
        </w:tc>
        <w:tc>
          <w:tcPr>
            <w:tcW w:w="1890" w:type="dxa"/>
          </w:tcPr>
          <w:p w14:paraId="65DE6F75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0.035 ± 0.024</w:t>
            </w:r>
          </w:p>
        </w:tc>
        <w:tc>
          <w:tcPr>
            <w:tcW w:w="1218" w:type="dxa"/>
          </w:tcPr>
          <w:p w14:paraId="2166C395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0.682</w:t>
            </w:r>
          </w:p>
        </w:tc>
        <w:tc>
          <w:tcPr>
            <w:tcW w:w="1728" w:type="dxa"/>
          </w:tcPr>
          <w:p w14:paraId="7E69EA11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2995E143" w14:textId="77777777" w:rsidTr="003434A0">
        <w:tc>
          <w:tcPr>
            <w:tcW w:w="1902" w:type="dxa"/>
          </w:tcPr>
          <w:p w14:paraId="45070CEB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Selenomonadaceae</w:t>
            </w:r>
          </w:p>
        </w:tc>
        <w:tc>
          <w:tcPr>
            <w:tcW w:w="2076" w:type="dxa"/>
          </w:tcPr>
          <w:p w14:paraId="3A877B8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0.000 ± 0.000</w:t>
            </w:r>
          </w:p>
        </w:tc>
        <w:tc>
          <w:tcPr>
            <w:tcW w:w="1890" w:type="dxa"/>
          </w:tcPr>
          <w:p w14:paraId="7A9A899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0.041 ± 0.146</w:t>
            </w:r>
          </w:p>
        </w:tc>
        <w:tc>
          <w:tcPr>
            <w:tcW w:w="1218" w:type="dxa"/>
          </w:tcPr>
          <w:p w14:paraId="159D2B64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0.961</w:t>
            </w:r>
          </w:p>
        </w:tc>
        <w:tc>
          <w:tcPr>
            <w:tcW w:w="1728" w:type="dxa"/>
          </w:tcPr>
          <w:p w14:paraId="49966462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1C38C029" w14:textId="77777777" w:rsidTr="003434A0">
        <w:tc>
          <w:tcPr>
            <w:tcW w:w="1902" w:type="dxa"/>
          </w:tcPr>
          <w:p w14:paraId="75EFA320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Rikenellaceae</w:t>
            </w:r>
          </w:p>
        </w:tc>
        <w:tc>
          <w:tcPr>
            <w:tcW w:w="2076" w:type="dxa"/>
          </w:tcPr>
          <w:p w14:paraId="0551F00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0.027 ± 0.026</w:t>
            </w:r>
          </w:p>
        </w:tc>
        <w:tc>
          <w:tcPr>
            <w:tcW w:w="1890" w:type="dxa"/>
          </w:tcPr>
          <w:p w14:paraId="3371D12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0.018 ± 0.024</w:t>
            </w:r>
          </w:p>
        </w:tc>
        <w:tc>
          <w:tcPr>
            <w:tcW w:w="1218" w:type="dxa"/>
          </w:tcPr>
          <w:p w14:paraId="307176C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0.249</w:t>
            </w:r>
          </w:p>
        </w:tc>
        <w:tc>
          <w:tcPr>
            <w:tcW w:w="1728" w:type="dxa"/>
          </w:tcPr>
          <w:p w14:paraId="0BE646DA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2E7D6B40" w14:textId="77777777" w:rsidTr="003434A0">
        <w:tc>
          <w:tcPr>
            <w:tcW w:w="1902" w:type="dxa"/>
          </w:tcPr>
          <w:p w14:paraId="4830A9C1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Sutterellaceae</w:t>
            </w:r>
          </w:p>
        </w:tc>
        <w:tc>
          <w:tcPr>
            <w:tcW w:w="2076" w:type="dxa"/>
          </w:tcPr>
          <w:p w14:paraId="0DED282F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0.027 ± 0.016</w:t>
            </w:r>
          </w:p>
        </w:tc>
        <w:tc>
          <w:tcPr>
            <w:tcW w:w="1890" w:type="dxa"/>
          </w:tcPr>
          <w:p w14:paraId="5E2B4919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0.018 ± 0.016</w:t>
            </w:r>
          </w:p>
        </w:tc>
        <w:tc>
          <w:tcPr>
            <w:tcW w:w="1218" w:type="dxa"/>
          </w:tcPr>
          <w:p w14:paraId="3DA01C7F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0.290</w:t>
            </w:r>
          </w:p>
        </w:tc>
        <w:tc>
          <w:tcPr>
            <w:tcW w:w="1728" w:type="dxa"/>
          </w:tcPr>
          <w:p w14:paraId="42721ADD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7523A7AF" w14:textId="77777777" w:rsidTr="003434A0">
        <w:tc>
          <w:tcPr>
            <w:tcW w:w="1902" w:type="dxa"/>
          </w:tcPr>
          <w:p w14:paraId="1C883D5C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Others</w:t>
            </w:r>
          </w:p>
        </w:tc>
        <w:tc>
          <w:tcPr>
            <w:tcW w:w="2076" w:type="dxa"/>
          </w:tcPr>
          <w:p w14:paraId="31A6B45C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0.195 ± 0.099</w:t>
            </w:r>
          </w:p>
        </w:tc>
        <w:tc>
          <w:tcPr>
            <w:tcW w:w="1890" w:type="dxa"/>
          </w:tcPr>
          <w:p w14:paraId="63620144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0.144 ± 0.066</w:t>
            </w:r>
          </w:p>
        </w:tc>
        <w:tc>
          <w:tcPr>
            <w:tcW w:w="1218" w:type="dxa"/>
          </w:tcPr>
          <w:p w14:paraId="41D7715C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0.437</w:t>
            </w:r>
          </w:p>
        </w:tc>
        <w:tc>
          <w:tcPr>
            <w:tcW w:w="1728" w:type="dxa"/>
          </w:tcPr>
          <w:p w14:paraId="0124A03B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  <w:tr w:rsidR="004C2874" w:rsidRPr="003434A0" w14:paraId="686B78D4" w14:textId="77777777" w:rsidTr="003434A0">
        <w:tc>
          <w:tcPr>
            <w:tcW w:w="1902" w:type="dxa"/>
          </w:tcPr>
          <w:p w14:paraId="73E4E3E0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Unassigned</w:t>
            </w:r>
          </w:p>
        </w:tc>
        <w:tc>
          <w:tcPr>
            <w:tcW w:w="2076" w:type="dxa"/>
          </w:tcPr>
          <w:p w14:paraId="2F070522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0.002 ± 0.003</w:t>
            </w:r>
          </w:p>
        </w:tc>
        <w:tc>
          <w:tcPr>
            <w:tcW w:w="1890" w:type="dxa"/>
          </w:tcPr>
          <w:p w14:paraId="3B5CAD76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0.005 ± 0.015</w:t>
            </w:r>
          </w:p>
        </w:tc>
        <w:tc>
          <w:tcPr>
            <w:tcW w:w="1218" w:type="dxa"/>
          </w:tcPr>
          <w:p w14:paraId="6D7765FA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728" w:type="dxa"/>
          </w:tcPr>
          <w:p w14:paraId="1890070F" w14:textId="77777777" w:rsidR="004C2874" w:rsidRPr="003434A0" w:rsidRDefault="003434A0" w:rsidP="003434A0">
            <w:pPr>
              <w:spacing w:line="360" w:lineRule="auto"/>
              <w:rPr>
                <w:rFonts w:asciiTheme="majorBidi" w:hAnsiTheme="majorBidi" w:cstheme="majorBidi"/>
              </w:rPr>
            </w:pPr>
            <w:r w:rsidRPr="003434A0">
              <w:rPr>
                <w:rFonts w:asciiTheme="majorBidi" w:hAnsiTheme="majorBidi" w:cstheme="majorBidi"/>
              </w:rPr>
              <w:t>Not Significant</w:t>
            </w:r>
          </w:p>
        </w:tc>
      </w:tr>
    </w:tbl>
    <w:p w14:paraId="7E07478F" w14:textId="77777777" w:rsidR="004C2874" w:rsidRPr="003434A0" w:rsidRDefault="004C2874" w:rsidP="00BC7634">
      <w:pPr>
        <w:spacing w:line="360" w:lineRule="auto"/>
        <w:jc w:val="both"/>
        <w:rPr>
          <w:rFonts w:asciiTheme="majorBidi" w:hAnsiTheme="majorBidi" w:cstheme="majorBidi"/>
        </w:rPr>
      </w:pPr>
    </w:p>
    <w:p w14:paraId="78514463" w14:textId="77777777" w:rsidR="004C2874" w:rsidRPr="003434A0" w:rsidRDefault="00BC7634" w:rsidP="00BC7634">
      <w:pPr>
        <w:spacing w:line="360" w:lineRule="auto"/>
        <w:jc w:val="both"/>
        <w:rPr>
          <w:rFonts w:asciiTheme="majorBidi" w:hAnsiTheme="majorBidi" w:cstheme="majorBidi"/>
        </w:rPr>
      </w:pPr>
      <w:r w:rsidRPr="00BC7634">
        <w:rPr>
          <w:rFonts w:asciiTheme="majorBidi" w:hAnsiTheme="majorBidi" w:cstheme="majorBidi"/>
        </w:rPr>
        <w:t xml:space="preserve">Statistical analysis revealed that none of the bacterial families exhibited statistically significant differences of their relative abundance between the control and case groups, because p values were all greater than the widely accepted level of significance of 0.05. For example, </w:t>
      </w:r>
      <w:proofErr w:type="spellStart"/>
      <w:r w:rsidRPr="00BC7634">
        <w:rPr>
          <w:rFonts w:asciiTheme="majorBidi" w:hAnsiTheme="majorBidi" w:cstheme="majorBidi"/>
        </w:rPr>
        <w:t>Prevotellaceae</w:t>
      </w:r>
      <w:proofErr w:type="spellEnd"/>
      <w:r w:rsidRPr="00BC7634">
        <w:rPr>
          <w:rFonts w:asciiTheme="majorBidi" w:hAnsiTheme="majorBidi" w:cstheme="majorBidi"/>
        </w:rPr>
        <w:t xml:space="preserve"> had p 0.892, </w:t>
      </w:r>
      <w:proofErr w:type="spellStart"/>
      <w:r w:rsidRPr="00BC7634">
        <w:rPr>
          <w:rFonts w:asciiTheme="majorBidi" w:hAnsiTheme="majorBidi" w:cstheme="majorBidi"/>
        </w:rPr>
        <w:t>Ruminococcaceae</w:t>
      </w:r>
      <w:proofErr w:type="spellEnd"/>
      <w:r w:rsidRPr="00BC7634">
        <w:rPr>
          <w:rFonts w:asciiTheme="majorBidi" w:hAnsiTheme="majorBidi" w:cstheme="majorBidi"/>
        </w:rPr>
        <w:t xml:space="preserve"> p 0.178 and </w:t>
      </w:r>
      <w:proofErr w:type="spellStart"/>
      <w:r w:rsidRPr="00BC7634">
        <w:rPr>
          <w:rFonts w:asciiTheme="majorBidi" w:hAnsiTheme="majorBidi" w:cstheme="majorBidi"/>
        </w:rPr>
        <w:t>Lachnospiraceae</w:t>
      </w:r>
      <w:proofErr w:type="spellEnd"/>
      <w:r w:rsidRPr="00BC7634">
        <w:rPr>
          <w:rFonts w:asciiTheme="majorBidi" w:hAnsiTheme="majorBidi" w:cstheme="majorBidi"/>
        </w:rPr>
        <w:t xml:space="preserve"> p 0.178, meaning that the differences observed between samples from controls and cases are not significant from the statistical point of view on the level of families.</w:t>
      </w:r>
    </w:p>
    <w:sectPr w:rsidR="004C2874" w:rsidRPr="003434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776263">
    <w:abstractNumId w:val="8"/>
  </w:num>
  <w:num w:numId="2" w16cid:durableId="215288682">
    <w:abstractNumId w:val="6"/>
  </w:num>
  <w:num w:numId="3" w16cid:durableId="854272264">
    <w:abstractNumId w:val="5"/>
  </w:num>
  <w:num w:numId="4" w16cid:durableId="1812095156">
    <w:abstractNumId w:val="4"/>
  </w:num>
  <w:num w:numId="5" w16cid:durableId="1928348733">
    <w:abstractNumId w:val="7"/>
  </w:num>
  <w:num w:numId="6" w16cid:durableId="399908561">
    <w:abstractNumId w:val="3"/>
  </w:num>
  <w:num w:numId="7" w16cid:durableId="352339098">
    <w:abstractNumId w:val="2"/>
  </w:num>
  <w:num w:numId="8" w16cid:durableId="1587807250">
    <w:abstractNumId w:val="1"/>
  </w:num>
  <w:num w:numId="9" w16cid:durableId="173932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2E3"/>
    <w:rsid w:val="00326F90"/>
    <w:rsid w:val="003434A0"/>
    <w:rsid w:val="004C2874"/>
    <w:rsid w:val="009321CB"/>
    <w:rsid w:val="00A520AC"/>
    <w:rsid w:val="00AA1D8D"/>
    <w:rsid w:val="00B4570F"/>
    <w:rsid w:val="00B47730"/>
    <w:rsid w:val="00BC763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CD393FB"/>
  <w14:defaultImageDpi w14:val="300"/>
  <w15:docId w15:val="{BE9F8FDD-6B04-482B-8B18-38D0E691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ACE0C8-DACC-4893-8F9D-A8C08B859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 kirdar</cp:lastModifiedBy>
  <cp:revision>2</cp:revision>
  <dcterms:created xsi:type="dcterms:W3CDTF">2026-05-02T16:30:00Z</dcterms:created>
  <dcterms:modified xsi:type="dcterms:W3CDTF">2026-05-02T16:30:00Z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876cc97d-4034-4891-8f37-af51a37d9db4</vt:lpwstr>
  </property>
</Properties>
</file>