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B91E84" w14:textId="3A1B16E9" w:rsidR="00254B13" w:rsidRPr="0042579F" w:rsidRDefault="00254B13" w:rsidP="00254B13">
      <w:pPr>
        <w:pStyle w:val="Caption"/>
        <w:keepNext/>
        <w:keepLines/>
        <w:pageBreakBefore/>
        <w:spacing w:after="160"/>
        <w:rPr>
          <w:lang w:val="en-US"/>
        </w:rPr>
      </w:pPr>
      <w:r w:rsidRPr="0042579F">
        <w:rPr>
          <w:rFonts w:ascii="Calibri" w:eastAsia="Calibri" w:hAnsi="Calibri" w:cs="Calibri"/>
          <w:b/>
          <w:bCs/>
          <w:i w:val="0"/>
          <w:color w:val="000000"/>
          <w:sz w:val="24"/>
          <w:lang w:val="en-US"/>
        </w:rPr>
        <w:t>Supplementary Table S</w:t>
      </w:r>
      <w:r>
        <w:rPr>
          <w:rFonts w:ascii="Calibri" w:eastAsia="Calibri" w:hAnsi="Calibri" w:cs="Calibri"/>
          <w:b/>
          <w:bCs/>
          <w:i w:val="0"/>
          <w:color w:val="000000"/>
          <w:sz w:val="24"/>
          <w:lang w:val="en-US"/>
        </w:rPr>
        <w:t>1</w:t>
      </w:r>
      <w:r w:rsidRPr="0042579F">
        <w:rPr>
          <w:rFonts w:ascii="Calibri" w:eastAsia="Calibri" w:hAnsi="Calibri" w:cs="Calibri"/>
          <w:i w:val="0"/>
          <w:color w:val="000000"/>
          <w:sz w:val="24"/>
          <w:lang w:val="en-US"/>
        </w:rPr>
        <w:t>. Post hoc sensitivity analyses of adjusted catheter-type and insertion-site associations.</w:t>
      </w:r>
    </w:p>
    <w:tbl>
      <w:tblPr>
        <w:tblW w:w="1368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75" w:type="dxa"/>
          <w:bottom w:w="55" w:type="dxa"/>
          <w:right w:w="75" w:type="dxa"/>
        </w:tblCellMar>
        <w:tblLook w:val="04A0" w:firstRow="1" w:lastRow="0" w:firstColumn="1" w:lastColumn="0" w:noHBand="0" w:noVBand="1"/>
      </w:tblPr>
      <w:tblGrid>
        <w:gridCol w:w="2639"/>
        <w:gridCol w:w="914"/>
        <w:gridCol w:w="658"/>
        <w:gridCol w:w="1041"/>
        <w:gridCol w:w="2431"/>
        <w:gridCol w:w="1999"/>
        <w:gridCol w:w="1999"/>
        <w:gridCol w:w="1999"/>
      </w:tblGrid>
      <w:tr w:rsidR="00254B13" w:rsidRPr="0042579F" w14:paraId="731E0F85" w14:textId="77777777" w:rsidTr="00C61BAE">
        <w:trPr>
          <w:cantSplit/>
          <w:tblHeader/>
          <w:jc w:val="center"/>
        </w:trPr>
        <w:tc>
          <w:tcPr>
            <w:tcW w:w="2952" w:type="dxa"/>
            <w:shd w:val="clear" w:color="auto" w:fill="D9EAF7"/>
            <w:vAlign w:val="center"/>
          </w:tcPr>
          <w:p w14:paraId="0FD473B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Model specification</w:t>
            </w:r>
          </w:p>
        </w:tc>
        <w:tc>
          <w:tcPr>
            <w:tcW w:w="1008" w:type="dxa"/>
            <w:shd w:val="clear" w:color="auto" w:fill="D9EAF7"/>
            <w:vAlign w:val="center"/>
          </w:tcPr>
          <w:p w14:paraId="6467EB1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N</w:t>
            </w:r>
            <w:r w:rsidRPr="0042579F">
              <w:rPr>
                <w:rFonts w:ascii="Calibri" w:eastAsia="Calibri" w:hAnsi="Calibri" w:cs="Calibri"/>
                <w:b/>
                <w:color w:val="000000"/>
                <w:sz w:val="19"/>
                <w:lang w:val="en-US"/>
              </w:rPr>
              <w:br/>
              <w:t>(episodes)</w:t>
            </w:r>
          </w:p>
        </w:tc>
        <w:tc>
          <w:tcPr>
            <w:tcW w:w="720" w:type="dxa"/>
            <w:shd w:val="clear" w:color="auto" w:fill="D9EAF7"/>
            <w:vAlign w:val="center"/>
          </w:tcPr>
          <w:p w14:paraId="01B22F9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Events</w:t>
            </w:r>
          </w:p>
        </w:tc>
        <w:tc>
          <w:tcPr>
            <w:tcW w:w="1152" w:type="dxa"/>
            <w:shd w:val="clear" w:color="auto" w:fill="D9EAF7"/>
            <w:vAlign w:val="center"/>
          </w:tcPr>
          <w:p w14:paraId="2BD7843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Slope</w:t>
            </w:r>
            <w:r w:rsidRPr="0042579F">
              <w:rPr>
                <w:rFonts w:ascii="Calibri" w:eastAsia="Calibri" w:hAnsi="Calibri" w:cs="Calibri"/>
                <w:b/>
                <w:color w:val="000000"/>
                <w:sz w:val="19"/>
                <w:lang w:val="en-US"/>
              </w:rPr>
              <w:br/>
              <w:t>parameters</w:t>
            </w:r>
          </w:p>
        </w:tc>
        <w:tc>
          <w:tcPr>
            <w:tcW w:w="1152" w:type="dxa"/>
            <w:shd w:val="clear" w:color="auto" w:fill="D9EAF7"/>
            <w:vAlign w:val="center"/>
          </w:tcPr>
          <w:p w14:paraId="05F8618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Events per</w:t>
            </w:r>
            <w:r w:rsidRPr="0042579F">
              <w:rPr>
                <w:rFonts w:ascii="Calibri" w:eastAsia="Calibri" w:hAnsi="Calibri" w:cs="Calibri"/>
                <w:b/>
                <w:color w:val="000000"/>
                <w:sz w:val="19"/>
                <w:lang w:val="en-US"/>
              </w:rPr>
              <w:br/>
              <w:t>parameter</w:t>
            </w:r>
          </w:p>
        </w:tc>
        <w:tc>
          <w:tcPr>
            <w:tcW w:w="2232" w:type="dxa"/>
            <w:shd w:val="clear" w:color="auto" w:fill="D9EAF7"/>
            <w:vAlign w:val="center"/>
          </w:tcPr>
          <w:p w14:paraId="24C2CC0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Standard CVC vs</w:t>
            </w:r>
            <w:r w:rsidRPr="0042579F">
              <w:rPr>
                <w:rFonts w:ascii="Calibri" w:eastAsia="Calibri" w:hAnsi="Calibri" w:cs="Calibri"/>
                <w:b/>
                <w:color w:val="000000"/>
                <w:sz w:val="19"/>
                <w:lang w:val="en-US"/>
              </w:rPr>
              <w:br/>
              <w:t>dialysis catheter</w:t>
            </w:r>
          </w:p>
        </w:tc>
        <w:tc>
          <w:tcPr>
            <w:tcW w:w="2232" w:type="dxa"/>
            <w:shd w:val="clear" w:color="auto" w:fill="D9EAF7"/>
            <w:vAlign w:val="center"/>
          </w:tcPr>
          <w:p w14:paraId="601989F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Femoral vs</w:t>
            </w:r>
            <w:r w:rsidRPr="0042579F">
              <w:rPr>
                <w:rFonts w:ascii="Calibri" w:eastAsia="Calibri" w:hAnsi="Calibri" w:cs="Calibri"/>
                <w:b/>
                <w:color w:val="000000"/>
                <w:sz w:val="19"/>
                <w:lang w:val="en-US"/>
              </w:rPr>
              <w:br/>
              <w:t>jugular</w:t>
            </w:r>
          </w:p>
        </w:tc>
        <w:tc>
          <w:tcPr>
            <w:tcW w:w="2232" w:type="dxa"/>
            <w:shd w:val="clear" w:color="auto" w:fill="D9EAF7"/>
            <w:vAlign w:val="center"/>
          </w:tcPr>
          <w:p w14:paraId="4ECEEB1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b/>
                <w:color w:val="000000"/>
                <w:sz w:val="19"/>
                <w:lang w:val="en-US"/>
              </w:rPr>
              <w:t>Subclavian vs</w:t>
            </w:r>
            <w:r w:rsidRPr="0042579F">
              <w:rPr>
                <w:rFonts w:ascii="Calibri" w:eastAsia="Calibri" w:hAnsi="Calibri" w:cs="Calibri"/>
                <w:b/>
                <w:color w:val="000000"/>
                <w:sz w:val="19"/>
                <w:lang w:val="en-US"/>
              </w:rPr>
              <w:br/>
              <w:t>jugular</w:t>
            </w:r>
          </w:p>
        </w:tc>
      </w:tr>
      <w:tr w:rsidR="00254B13" w:rsidRPr="0042579F" w14:paraId="1E1DBCCF" w14:textId="77777777" w:rsidTr="00C61BAE">
        <w:trPr>
          <w:cantSplit/>
          <w:jc w:val="center"/>
        </w:trPr>
        <w:tc>
          <w:tcPr>
            <w:tcW w:w="13680" w:type="dxa"/>
            <w:gridSpan w:val="8"/>
            <w:shd w:val="clear" w:color="auto" w:fill="EDF3F7"/>
            <w:vAlign w:val="center"/>
          </w:tcPr>
          <w:p w14:paraId="634661AB" w14:textId="77777777" w:rsidR="00254B13" w:rsidRPr="0042579F" w:rsidRDefault="00254B13" w:rsidP="00C61BAE">
            <w:pPr>
              <w:keepNext/>
              <w:keepLines/>
              <w:spacing w:after="0" w:line="240" w:lineRule="auto"/>
              <w:rPr>
                <w:lang w:val="en-US"/>
              </w:rPr>
            </w:pPr>
            <w:r w:rsidRPr="0042579F">
              <w:rPr>
                <w:rFonts w:ascii="Calibri" w:eastAsia="Calibri" w:hAnsi="Calibri" w:cs="Calibri"/>
                <w:b/>
                <w:color w:val="000000"/>
                <w:sz w:val="20"/>
                <w:lang w:val="en-US"/>
              </w:rPr>
              <w:t>A. CRBSI incidence density: Poisson regression [IRR (95% CI)]</w:t>
            </w:r>
          </w:p>
        </w:tc>
      </w:tr>
      <w:tr w:rsidR="00254B13" w:rsidRPr="0042579F" w14:paraId="4A61C807" w14:textId="77777777" w:rsidTr="00C61BAE">
        <w:trPr>
          <w:cantSplit/>
          <w:jc w:val="center"/>
        </w:trPr>
        <w:tc>
          <w:tcPr>
            <w:tcW w:w="2952" w:type="dxa"/>
            <w:vAlign w:val="center"/>
          </w:tcPr>
          <w:p w14:paraId="75E102F3"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Original model</w:t>
            </w:r>
          </w:p>
        </w:tc>
        <w:tc>
          <w:tcPr>
            <w:tcW w:w="1008" w:type="dxa"/>
            <w:vAlign w:val="center"/>
          </w:tcPr>
          <w:p w14:paraId="543B157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79B46E4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19F8263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w:t>
            </w:r>
          </w:p>
        </w:tc>
        <w:tc>
          <w:tcPr>
            <w:tcW w:w="1152" w:type="dxa"/>
            <w:vAlign w:val="center"/>
          </w:tcPr>
          <w:p w14:paraId="5FDDCB5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6.7</w:t>
            </w:r>
          </w:p>
        </w:tc>
        <w:tc>
          <w:tcPr>
            <w:tcW w:w="2232" w:type="dxa"/>
            <w:vAlign w:val="center"/>
          </w:tcPr>
          <w:p w14:paraId="5ACEA28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2.20 (1.24–3.91)</w:t>
            </w:r>
          </w:p>
        </w:tc>
        <w:tc>
          <w:tcPr>
            <w:tcW w:w="2232" w:type="dxa"/>
            <w:vAlign w:val="center"/>
          </w:tcPr>
          <w:p w14:paraId="443DA0F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1.33 (0.90–1.96)</w:t>
            </w:r>
          </w:p>
        </w:tc>
        <w:tc>
          <w:tcPr>
            <w:tcW w:w="2232" w:type="dxa"/>
            <w:vAlign w:val="center"/>
          </w:tcPr>
          <w:p w14:paraId="0B54AC4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1.78 (0.93–3.39)</w:t>
            </w:r>
          </w:p>
        </w:tc>
      </w:tr>
      <w:tr w:rsidR="00254B13" w:rsidRPr="0042579F" w14:paraId="7740A60D" w14:textId="77777777" w:rsidTr="00C61BAE">
        <w:trPr>
          <w:cantSplit/>
          <w:jc w:val="center"/>
        </w:trPr>
        <w:tc>
          <w:tcPr>
            <w:tcW w:w="2952" w:type="dxa"/>
            <w:vAlign w:val="center"/>
          </w:tcPr>
          <w:p w14:paraId="2443A324"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separate age</w:t>
            </w:r>
          </w:p>
        </w:tc>
        <w:tc>
          <w:tcPr>
            <w:tcW w:w="1008" w:type="dxa"/>
            <w:vAlign w:val="center"/>
          </w:tcPr>
          <w:p w14:paraId="51D6537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264C458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57145BA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w:t>
            </w:r>
          </w:p>
        </w:tc>
        <w:tc>
          <w:tcPr>
            <w:tcW w:w="1152" w:type="dxa"/>
            <w:vAlign w:val="center"/>
          </w:tcPr>
          <w:p w14:paraId="430E03E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7.2</w:t>
            </w:r>
          </w:p>
        </w:tc>
        <w:tc>
          <w:tcPr>
            <w:tcW w:w="2232" w:type="dxa"/>
            <w:vAlign w:val="center"/>
          </w:tcPr>
          <w:p w14:paraId="0BB922D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2.14 (1.20–3.80)</w:t>
            </w:r>
          </w:p>
        </w:tc>
        <w:tc>
          <w:tcPr>
            <w:tcW w:w="2232" w:type="dxa"/>
            <w:vAlign w:val="center"/>
          </w:tcPr>
          <w:p w14:paraId="58797A9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1.32 (0.89–1.95)</w:t>
            </w:r>
          </w:p>
        </w:tc>
        <w:tc>
          <w:tcPr>
            <w:tcW w:w="2232" w:type="dxa"/>
            <w:vAlign w:val="center"/>
          </w:tcPr>
          <w:p w14:paraId="4761352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1.85 (0.98–3.48)</w:t>
            </w:r>
          </w:p>
        </w:tc>
      </w:tr>
      <w:tr w:rsidR="00254B13" w:rsidRPr="0042579F" w14:paraId="0DFE8D55" w14:textId="77777777" w:rsidTr="00C61BAE">
        <w:trPr>
          <w:cantSplit/>
          <w:jc w:val="center"/>
        </w:trPr>
        <w:tc>
          <w:tcPr>
            <w:tcW w:w="2952" w:type="dxa"/>
            <w:vAlign w:val="center"/>
          </w:tcPr>
          <w:p w14:paraId="062F4A38"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intubation/TPN</w:t>
            </w:r>
          </w:p>
        </w:tc>
        <w:tc>
          <w:tcPr>
            <w:tcW w:w="1008" w:type="dxa"/>
            <w:vAlign w:val="center"/>
          </w:tcPr>
          <w:p w14:paraId="5F3F05C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0FCEAA4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0666EB4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w:t>
            </w:r>
          </w:p>
        </w:tc>
        <w:tc>
          <w:tcPr>
            <w:tcW w:w="1152" w:type="dxa"/>
            <w:vAlign w:val="center"/>
          </w:tcPr>
          <w:p w14:paraId="355C4D2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7.8</w:t>
            </w:r>
          </w:p>
        </w:tc>
        <w:tc>
          <w:tcPr>
            <w:tcW w:w="2232" w:type="dxa"/>
            <w:vAlign w:val="center"/>
          </w:tcPr>
          <w:p w14:paraId="31085C2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2.05 (1.17–3.59)</w:t>
            </w:r>
          </w:p>
        </w:tc>
        <w:tc>
          <w:tcPr>
            <w:tcW w:w="2232" w:type="dxa"/>
            <w:vAlign w:val="center"/>
          </w:tcPr>
          <w:p w14:paraId="28C5457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1.37 (0.93–2.01)</w:t>
            </w:r>
          </w:p>
        </w:tc>
        <w:tc>
          <w:tcPr>
            <w:tcW w:w="2232" w:type="dxa"/>
            <w:vAlign w:val="center"/>
          </w:tcPr>
          <w:p w14:paraId="3306267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1.83 (0.99–3.37)</w:t>
            </w:r>
          </w:p>
        </w:tc>
      </w:tr>
      <w:tr w:rsidR="00254B13" w:rsidRPr="0042579F" w14:paraId="3586B9D5" w14:textId="77777777" w:rsidTr="00C61BAE">
        <w:trPr>
          <w:cantSplit/>
          <w:jc w:val="center"/>
        </w:trPr>
        <w:tc>
          <w:tcPr>
            <w:tcW w:w="2952" w:type="dxa"/>
            <w:vAlign w:val="center"/>
          </w:tcPr>
          <w:p w14:paraId="7980B125"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Demographic/comorbidity set</w:t>
            </w:r>
          </w:p>
        </w:tc>
        <w:tc>
          <w:tcPr>
            <w:tcW w:w="1008" w:type="dxa"/>
            <w:vAlign w:val="center"/>
          </w:tcPr>
          <w:p w14:paraId="5918CC4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2761B8F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6B01377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w:t>
            </w:r>
          </w:p>
        </w:tc>
        <w:tc>
          <w:tcPr>
            <w:tcW w:w="1152" w:type="dxa"/>
            <w:vAlign w:val="center"/>
          </w:tcPr>
          <w:p w14:paraId="28B9AD5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8.5</w:t>
            </w:r>
          </w:p>
        </w:tc>
        <w:tc>
          <w:tcPr>
            <w:tcW w:w="2232" w:type="dxa"/>
            <w:vAlign w:val="center"/>
          </w:tcPr>
          <w:p w14:paraId="763CC09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2.05 (1.17–3.59)</w:t>
            </w:r>
          </w:p>
        </w:tc>
        <w:tc>
          <w:tcPr>
            <w:tcW w:w="2232" w:type="dxa"/>
            <w:vAlign w:val="center"/>
          </w:tcPr>
          <w:p w14:paraId="13B5721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1.38 (0.93–2.03)</w:t>
            </w:r>
          </w:p>
        </w:tc>
        <w:tc>
          <w:tcPr>
            <w:tcW w:w="2232" w:type="dxa"/>
            <w:vAlign w:val="center"/>
          </w:tcPr>
          <w:p w14:paraId="32E5D0C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1.84 (1.00–3.37)</w:t>
            </w:r>
          </w:p>
        </w:tc>
      </w:tr>
      <w:tr w:rsidR="00254B13" w:rsidRPr="0042579F" w14:paraId="394D9CA2" w14:textId="77777777" w:rsidTr="00C61BAE">
        <w:trPr>
          <w:cantSplit/>
          <w:jc w:val="center"/>
        </w:trPr>
        <w:tc>
          <w:tcPr>
            <w:tcW w:w="2952" w:type="dxa"/>
            <w:vAlign w:val="center"/>
          </w:tcPr>
          <w:p w14:paraId="0C93F6ED"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Nonlinear age/APACHE II</w:t>
            </w:r>
          </w:p>
        </w:tc>
        <w:tc>
          <w:tcPr>
            <w:tcW w:w="1008" w:type="dxa"/>
            <w:vAlign w:val="center"/>
          </w:tcPr>
          <w:p w14:paraId="23748DB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496D27A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7B9715C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w:t>
            </w:r>
          </w:p>
        </w:tc>
        <w:tc>
          <w:tcPr>
            <w:tcW w:w="1152" w:type="dxa"/>
            <w:vAlign w:val="center"/>
          </w:tcPr>
          <w:p w14:paraId="6E2B1A2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5.2</w:t>
            </w:r>
          </w:p>
        </w:tc>
        <w:tc>
          <w:tcPr>
            <w:tcW w:w="2232" w:type="dxa"/>
            <w:vAlign w:val="center"/>
          </w:tcPr>
          <w:p w14:paraId="06983B0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2.28 (1.29–4.03)</w:t>
            </w:r>
          </w:p>
        </w:tc>
        <w:tc>
          <w:tcPr>
            <w:tcW w:w="2232" w:type="dxa"/>
            <w:vAlign w:val="center"/>
          </w:tcPr>
          <w:p w14:paraId="191DD0D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1.33 (0.90–1.96)</w:t>
            </w:r>
          </w:p>
        </w:tc>
        <w:tc>
          <w:tcPr>
            <w:tcW w:w="2232" w:type="dxa"/>
            <w:vAlign w:val="center"/>
          </w:tcPr>
          <w:p w14:paraId="27E28D2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1.83 (0.95–3.53)</w:t>
            </w:r>
          </w:p>
        </w:tc>
      </w:tr>
      <w:tr w:rsidR="00254B13" w:rsidRPr="0042579F" w14:paraId="30488B87" w14:textId="77777777" w:rsidTr="00C61BAE">
        <w:trPr>
          <w:cantSplit/>
          <w:jc w:val="center"/>
        </w:trPr>
        <w:tc>
          <w:tcPr>
            <w:tcW w:w="2952" w:type="dxa"/>
            <w:shd w:val="clear" w:color="auto" w:fill="F4F7F9"/>
            <w:vAlign w:val="center"/>
          </w:tcPr>
          <w:p w14:paraId="717EC4AC"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intubation/TPNᵃ</w:t>
            </w:r>
          </w:p>
        </w:tc>
        <w:tc>
          <w:tcPr>
            <w:tcW w:w="1008" w:type="dxa"/>
            <w:shd w:val="clear" w:color="auto" w:fill="F4F7F9"/>
            <w:vAlign w:val="center"/>
          </w:tcPr>
          <w:p w14:paraId="274BE1D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516</w:t>
            </w:r>
          </w:p>
        </w:tc>
        <w:tc>
          <w:tcPr>
            <w:tcW w:w="720" w:type="dxa"/>
            <w:shd w:val="clear" w:color="auto" w:fill="F4F7F9"/>
            <w:vAlign w:val="center"/>
          </w:tcPr>
          <w:p w14:paraId="2522AE9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104</w:t>
            </w:r>
          </w:p>
        </w:tc>
        <w:tc>
          <w:tcPr>
            <w:tcW w:w="1152" w:type="dxa"/>
            <w:shd w:val="clear" w:color="auto" w:fill="F4F7F9"/>
            <w:vAlign w:val="center"/>
          </w:tcPr>
          <w:p w14:paraId="3E91DD3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w:t>
            </w:r>
          </w:p>
        </w:tc>
        <w:tc>
          <w:tcPr>
            <w:tcW w:w="1152" w:type="dxa"/>
            <w:shd w:val="clear" w:color="auto" w:fill="F4F7F9"/>
            <w:vAlign w:val="center"/>
          </w:tcPr>
          <w:p w14:paraId="7CE1079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8.7</w:t>
            </w:r>
          </w:p>
        </w:tc>
        <w:tc>
          <w:tcPr>
            <w:tcW w:w="2232" w:type="dxa"/>
            <w:shd w:val="clear" w:color="auto" w:fill="F4F7F9"/>
            <w:vAlign w:val="center"/>
          </w:tcPr>
          <w:p w14:paraId="5FEDCA1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2.19 (1.26–3.81)</w:t>
            </w:r>
          </w:p>
        </w:tc>
        <w:tc>
          <w:tcPr>
            <w:tcW w:w="2232" w:type="dxa"/>
            <w:shd w:val="clear" w:color="auto" w:fill="F4F7F9"/>
            <w:vAlign w:val="center"/>
          </w:tcPr>
          <w:p w14:paraId="406E5C6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1.25 (0.87–1.81)</w:t>
            </w:r>
          </w:p>
        </w:tc>
        <w:tc>
          <w:tcPr>
            <w:tcW w:w="2232" w:type="dxa"/>
            <w:shd w:val="clear" w:color="auto" w:fill="F4F7F9"/>
            <w:vAlign w:val="center"/>
          </w:tcPr>
          <w:p w14:paraId="64DA930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1.31 (0.77–2.21)</w:t>
            </w:r>
          </w:p>
        </w:tc>
      </w:tr>
      <w:tr w:rsidR="00254B13" w:rsidRPr="0042579F" w14:paraId="0528B820" w14:textId="77777777" w:rsidTr="00C61BAE">
        <w:trPr>
          <w:cantSplit/>
          <w:jc w:val="center"/>
        </w:trPr>
        <w:tc>
          <w:tcPr>
            <w:tcW w:w="2952" w:type="dxa"/>
            <w:shd w:val="clear" w:color="auto" w:fill="F4F7F9"/>
            <w:vAlign w:val="center"/>
          </w:tcPr>
          <w:p w14:paraId="6A1D9527"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Demographic/comorbidity setᵃ</w:t>
            </w:r>
          </w:p>
        </w:tc>
        <w:tc>
          <w:tcPr>
            <w:tcW w:w="1008" w:type="dxa"/>
            <w:shd w:val="clear" w:color="auto" w:fill="F4F7F9"/>
            <w:vAlign w:val="center"/>
          </w:tcPr>
          <w:p w14:paraId="0BEFF49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601</w:t>
            </w:r>
          </w:p>
        </w:tc>
        <w:tc>
          <w:tcPr>
            <w:tcW w:w="720" w:type="dxa"/>
            <w:shd w:val="clear" w:color="auto" w:fill="F4F7F9"/>
            <w:vAlign w:val="center"/>
          </w:tcPr>
          <w:p w14:paraId="0F868B7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121</w:t>
            </w:r>
          </w:p>
        </w:tc>
        <w:tc>
          <w:tcPr>
            <w:tcW w:w="1152" w:type="dxa"/>
            <w:shd w:val="clear" w:color="auto" w:fill="F4F7F9"/>
            <w:vAlign w:val="center"/>
          </w:tcPr>
          <w:p w14:paraId="37A1027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w:t>
            </w:r>
          </w:p>
        </w:tc>
        <w:tc>
          <w:tcPr>
            <w:tcW w:w="1152" w:type="dxa"/>
            <w:shd w:val="clear" w:color="auto" w:fill="F4F7F9"/>
            <w:vAlign w:val="center"/>
          </w:tcPr>
          <w:p w14:paraId="36E8457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11.0</w:t>
            </w:r>
          </w:p>
        </w:tc>
        <w:tc>
          <w:tcPr>
            <w:tcW w:w="2232" w:type="dxa"/>
            <w:shd w:val="clear" w:color="auto" w:fill="F4F7F9"/>
            <w:vAlign w:val="center"/>
          </w:tcPr>
          <w:p w14:paraId="07BE46A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2.06 (1.24–3.44)</w:t>
            </w:r>
          </w:p>
        </w:tc>
        <w:tc>
          <w:tcPr>
            <w:tcW w:w="2232" w:type="dxa"/>
            <w:shd w:val="clear" w:color="auto" w:fill="F4F7F9"/>
            <w:vAlign w:val="center"/>
          </w:tcPr>
          <w:p w14:paraId="29A8DBF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1.18 (0.84–1.66)</w:t>
            </w:r>
          </w:p>
        </w:tc>
        <w:tc>
          <w:tcPr>
            <w:tcW w:w="2232" w:type="dxa"/>
            <w:shd w:val="clear" w:color="auto" w:fill="F4F7F9"/>
            <w:vAlign w:val="center"/>
          </w:tcPr>
          <w:p w14:paraId="4E0A88A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1.25 (0.78–2.01)</w:t>
            </w:r>
          </w:p>
        </w:tc>
      </w:tr>
      <w:tr w:rsidR="00254B13" w:rsidRPr="0042579F" w14:paraId="6CBD61A2" w14:textId="77777777" w:rsidTr="00C61BAE">
        <w:trPr>
          <w:cantSplit/>
          <w:jc w:val="center"/>
        </w:trPr>
        <w:tc>
          <w:tcPr>
            <w:tcW w:w="13680" w:type="dxa"/>
            <w:gridSpan w:val="8"/>
            <w:shd w:val="clear" w:color="auto" w:fill="EDF3F7"/>
            <w:vAlign w:val="center"/>
          </w:tcPr>
          <w:p w14:paraId="062C4E1D" w14:textId="77777777" w:rsidR="00254B13" w:rsidRPr="0042579F" w:rsidRDefault="00254B13" w:rsidP="00C61BAE">
            <w:pPr>
              <w:keepNext/>
              <w:keepLines/>
              <w:spacing w:after="0" w:line="240" w:lineRule="auto"/>
              <w:rPr>
                <w:lang w:val="en-US"/>
              </w:rPr>
            </w:pPr>
            <w:r w:rsidRPr="0042579F">
              <w:rPr>
                <w:rFonts w:ascii="Calibri" w:eastAsia="Calibri" w:hAnsi="Calibri" w:cs="Calibri"/>
                <w:b/>
                <w:color w:val="000000"/>
                <w:sz w:val="20"/>
                <w:lang w:val="en-US"/>
              </w:rPr>
              <w:t>B. Time to first CRBSI: cause-specific Cox regression [HR (95% CI)]</w:t>
            </w:r>
          </w:p>
        </w:tc>
      </w:tr>
      <w:tr w:rsidR="00254B13" w:rsidRPr="0042579F" w14:paraId="33EEA6B0" w14:textId="77777777" w:rsidTr="00C61BAE">
        <w:trPr>
          <w:cantSplit/>
          <w:jc w:val="center"/>
        </w:trPr>
        <w:tc>
          <w:tcPr>
            <w:tcW w:w="2952" w:type="dxa"/>
            <w:vAlign w:val="center"/>
          </w:tcPr>
          <w:p w14:paraId="38577F69"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Original model</w:t>
            </w:r>
          </w:p>
        </w:tc>
        <w:tc>
          <w:tcPr>
            <w:tcW w:w="1008" w:type="dxa"/>
            <w:vAlign w:val="center"/>
          </w:tcPr>
          <w:p w14:paraId="0FBFA6D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4670CC8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7062BD3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w:t>
            </w:r>
          </w:p>
        </w:tc>
        <w:tc>
          <w:tcPr>
            <w:tcW w:w="1152" w:type="dxa"/>
            <w:vAlign w:val="center"/>
          </w:tcPr>
          <w:p w14:paraId="1700E77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6.7</w:t>
            </w:r>
          </w:p>
        </w:tc>
        <w:tc>
          <w:tcPr>
            <w:tcW w:w="2232" w:type="dxa"/>
            <w:vAlign w:val="center"/>
          </w:tcPr>
          <w:p w14:paraId="18BC212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1.47 (0.76–2.84)</w:t>
            </w:r>
          </w:p>
        </w:tc>
        <w:tc>
          <w:tcPr>
            <w:tcW w:w="2232" w:type="dxa"/>
            <w:vAlign w:val="center"/>
          </w:tcPr>
          <w:p w14:paraId="045006F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1.43 (0.86–2.37)</w:t>
            </w:r>
          </w:p>
        </w:tc>
        <w:tc>
          <w:tcPr>
            <w:tcW w:w="2232" w:type="dxa"/>
            <w:vAlign w:val="center"/>
          </w:tcPr>
          <w:p w14:paraId="0D27337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1.67 (0.69–4.04)</w:t>
            </w:r>
          </w:p>
        </w:tc>
      </w:tr>
      <w:tr w:rsidR="00254B13" w:rsidRPr="0042579F" w14:paraId="6344EA01" w14:textId="77777777" w:rsidTr="00C61BAE">
        <w:trPr>
          <w:cantSplit/>
          <w:jc w:val="center"/>
        </w:trPr>
        <w:tc>
          <w:tcPr>
            <w:tcW w:w="2952" w:type="dxa"/>
            <w:vAlign w:val="center"/>
          </w:tcPr>
          <w:p w14:paraId="657D7FD5"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separate age</w:t>
            </w:r>
          </w:p>
        </w:tc>
        <w:tc>
          <w:tcPr>
            <w:tcW w:w="1008" w:type="dxa"/>
            <w:vAlign w:val="center"/>
          </w:tcPr>
          <w:p w14:paraId="1A9DFCA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39F33AB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432024F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w:t>
            </w:r>
          </w:p>
        </w:tc>
        <w:tc>
          <w:tcPr>
            <w:tcW w:w="1152" w:type="dxa"/>
            <w:vAlign w:val="center"/>
          </w:tcPr>
          <w:p w14:paraId="43380C0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7.2</w:t>
            </w:r>
          </w:p>
        </w:tc>
        <w:tc>
          <w:tcPr>
            <w:tcW w:w="2232" w:type="dxa"/>
            <w:vAlign w:val="center"/>
          </w:tcPr>
          <w:p w14:paraId="5833182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1.40 (0.73–2.71)</w:t>
            </w:r>
          </w:p>
        </w:tc>
        <w:tc>
          <w:tcPr>
            <w:tcW w:w="2232" w:type="dxa"/>
            <w:vAlign w:val="center"/>
          </w:tcPr>
          <w:p w14:paraId="3B326A4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1.44 (0.86–2.38)</w:t>
            </w:r>
          </w:p>
        </w:tc>
        <w:tc>
          <w:tcPr>
            <w:tcW w:w="2232" w:type="dxa"/>
            <w:vAlign w:val="center"/>
          </w:tcPr>
          <w:p w14:paraId="18251FE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1.80 (0.76–4.28)</w:t>
            </w:r>
          </w:p>
        </w:tc>
      </w:tr>
      <w:tr w:rsidR="00254B13" w:rsidRPr="0042579F" w14:paraId="01F1BA2F" w14:textId="77777777" w:rsidTr="00C61BAE">
        <w:trPr>
          <w:cantSplit/>
          <w:jc w:val="center"/>
        </w:trPr>
        <w:tc>
          <w:tcPr>
            <w:tcW w:w="2952" w:type="dxa"/>
            <w:vAlign w:val="center"/>
          </w:tcPr>
          <w:p w14:paraId="65D21E73"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intubation/TPN</w:t>
            </w:r>
          </w:p>
        </w:tc>
        <w:tc>
          <w:tcPr>
            <w:tcW w:w="1008" w:type="dxa"/>
            <w:vAlign w:val="center"/>
          </w:tcPr>
          <w:p w14:paraId="48E705C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61D69C7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013E031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w:t>
            </w:r>
          </w:p>
        </w:tc>
        <w:tc>
          <w:tcPr>
            <w:tcW w:w="1152" w:type="dxa"/>
            <w:vAlign w:val="center"/>
          </w:tcPr>
          <w:p w14:paraId="4308314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7.8</w:t>
            </w:r>
          </w:p>
        </w:tc>
        <w:tc>
          <w:tcPr>
            <w:tcW w:w="2232" w:type="dxa"/>
            <w:vAlign w:val="center"/>
          </w:tcPr>
          <w:p w14:paraId="2C56B6E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1.36 (0.71–2.62)</w:t>
            </w:r>
          </w:p>
        </w:tc>
        <w:tc>
          <w:tcPr>
            <w:tcW w:w="2232" w:type="dxa"/>
            <w:vAlign w:val="center"/>
          </w:tcPr>
          <w:p w14:paraId="15B2850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1.48 (0.89–2.45)</w:t>
            </w:r>
          </w:p>
        </w:tc>
        <w:tc>
          <w:tcPr>
            <w:tcW w:w="2232" w:type="dxa"/>
            <w:vAlign w:val="center"/>
          </w:tcPr>
          <w:p w14:paraId="7CA5DBE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1.70 (0.71–4.08)</w:t>
            </w:r>
          </w:p>
        </w:tc>
      </w:tr>
      <w:tr w:rsidR="00254B13" w:rsidRPr="0042579F" w14:paraId="5C332295" w14:textId="77777777" w:rsidTr="00C61BAE">
        <w:trPr>
          <w:cantSplit/>
          <w:jc w:val="center"/>
        </w:trPr>
        <w:tc>
          <w:tcPr>
            <w:tcW w:w="2952" w:type="dxa"/>
            <w:vAlign w:val="center"/>
          </w:tcPr>
          <w:p w14:paraId="31805665"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Demographic/comorbidity set</w:t>
            </w:r>
          </w:p>
        </w:tc>
        <w:tc>
          <w:tcPr>
            <w:tcW w:w="1008" w:type="dxa"/>
            <w:vAlign w:val="center"/>
          </w:tcPr>
          <w:p w14:paraId="237F38D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62B33F0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1186DE7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w:t>
            </w:r>
          </w:p>
        </w:tc>
        <w:tc>
          <w:tcPr>
            <w:tcW w:w="1152" w:type="dxa"/>
            <w:vAlign w:val="center"/>
          </w:tcPr>
          <w:p w14:paraId="7E11680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8.5</w:t>
            </w:r>
          </w:p>
        </w:tc>
        <w:tc>
          <w:tcPr>
            <w:tcW w:w="2232" w:type="dxa"/>
            <w:vAlign w:val="center"/>
          </w:tcPr>
          <w:p w14:paraId="7CD0A47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1.36 (0.71–2.61)</w:t>
            </w:r>
          </w:p>
        </w:tc>
        <w:tc>
          <w:tcPr>
            <w:tcW w:w="2232" w:type="dxa"/>
            <w:vAlign w:val="center"/>
          </w:tcPr>
          <w:p w14:paraId="6B43486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1.47 (0.88–2.45)</w:t>
            </w:r>
          </w:p>
        </w:tc>
        <w:tc>
          <w:tcPr>
            <w:tcW w:w="2232" w:type="dxa"/>
            <w:vAlign w:val="center"/>
          </w:tcPr>
          <w:p w14:paraId="0F3E183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1.69 (0.70–4.10)</w:t>
            </w:r>
          </w:p>
        </w:tc>
      </w:tr>
      <w:tr w:rsidR="00254B13" w:rsidRPr="0042579F" w14:paraId="237A7B75" w14:textId="77777777" w:rsidTr="00C61BAE">
        <w:trPr>
          <w:cantSplit/>
          <w:jc w:val="center"/>
        </w:trPr>
        <w:tc>
          <w:tcPr>
            <w:tcW w:w="2952" w:type="dxa"/>
            <w:vAlign w:val="center"/>
          </w:tcPr>
          <w:p w14:paraId="30C2A7F7"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Nonlinear age/APACHE II</w:t>
            </w:r>
          </w:p>
        </w:tc>
        <w:tc>
          <w:tcPr>
            <w:tcW w:w="1008" w:type="dxa"/>
            <w:vAlign w:val="center"/>
          </w:tcPr>
          <w:p w14:paraId="36B26F8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766E05E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94</w:t>
            </w:r>
          </w:p>
        </w:tc>
        <w:tc>
          <w:tcPr>
            <w:tcW w:w="1152" w:type="dxa"/>
            <w:vAlign w:val="center"/>
          </w:tcPr>
          <w:p w14:paraId="75E56A0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w:t>
            </w:r>
          </w:p>
        </w:tc>
        <w:tc>
          <w:tcPr>
            <w:tcW w:w="1152" w:type="dxa"/>
            <w:vAlign w:val="center"/>
          </w:tcPr>
          <w:p w14:paraId="7D2152C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5.2</w:t>
            </w:r>
          </w:p>
        </w:tc>
        <w:tc>
          <w:tcPr>
            <w:tcW w:w="2232" w:type="dxa"/>
            <w:vAlign w:val="center"/>
          </w:tcPr>
          <w:p w14:paraId="02726E9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1.52 (0.79–2.94)</w:t>
            </w:r>
          </w:p>
        </w:tc>
        <w:tc>
          <w:tcPr>
            <w:tcW w:w="2232" w:type="dxa"/>
            <w:vAlign w:val="center"/>
          </w:tcPr>
          <w:p w14:paraId="7B099B4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1.43 (0.86–2.37)</w:t>
            </w:r>
          </w:p>
        </w:tc>
        <w:tc>
          <w:tcPr>
            <w:tcW w:w="2232" w:type="dxa"/>
            <w:vAlign w:val="center"/>
          </w:tcPr>
          <w:p w14:paraId="3A95E4E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1.63 (0.65–4.11)</w:t>
            </w:r>
          </w:p>
        </w:tc>
      </w:tr>
      <w:tr w:rsidR="00254B13" w:rsidRPr="0042579F" w14:paraId="144308C4" w14:textId="77777777" w:rsidTr="00C61BAE">
        <w:trPr>
          <w:cantSplit/>
          <w:jc w:val="center"/>
        </w:trPr>
        <w:tc>
          <w:tcPr>
            <w:tcW w:w="2952" w:type="dxa"/>
            <w:shd w:val="clear" w:color="auto" w:fill="F4F7F9"/>
            <w:vAlign w:val="center"/>
          </w:tcPr>
          <w:p w14:paraId="2CDF0AAD"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intubation/TPNᵃ</w:t>
            </w:r>
          </w:p>
        </w:tc>
        <w:tc>
          <w:tcPr>
            <w:tcW w:w="1008" w:type="dxa"/>
            <w:shd w:val="clear" w:color="auto" w:fill="F4F7F9"/>
            <w:vAlign w:val="center"/>
          </w:tcPr>
          <w:p w14:paraId="03A95A2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516</w:t>
            </w:r>
          </w:p>
        </w:tc>
        <w:tc>
          <w:tcPr>
            <w:tcW w:w="720" w:type="dxa"/>
            <w:shd w:val="clear" w:color="auto" w:fill="F4F7F9"/>
            <w:vAlign w:val="center"/>
          </w:tcPr>
          <w:p w14:paraId="12F452B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104</w:t>
            </w:r>
          </w:p>
        </w:tc>
        <w:tc>
          <w:tcPr>
            <w:tcW w:w="1152" w:type="dxa"/>
            <w:shd w:val="clear" w:color="auto" w:fill="F4F7F9"/>
            <w:vAlign w:val="center"/>
          </w:tcPr>
          <w:p w14:paraId="4215704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w:t>
            </w:r>
          </w:p>
        </w:tc>
        <w:tc>
          <w:tcPr>
            <w:tcW w:w="1152" w:type="dxa"/>
            <w:shd w:val="clear" w:color="auto" w:fill="F4F7F9"/>
            <w:vAlign w:val="center"/>
          </w:tcPr>
          <w:p w14:paraId="4B80FFB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8.7</w:t>
            </w:r>
          </w:p>
        </w:tc>
        <w:tc>
          <w:tcPr>
            <w:tcW w:w="2232" w:type="dxa"/>
            <w:shd w:val="clear" w:color="auto" w:fill="F4F7F9"/>
            <w:vAlign w:val="center"/>
          </w:tcPr>
          <w:p w14:paraId="2EDE60C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1.41 (0.74–2.69)</w:t>
            </w:r>
          </w:p>
        </w:tc>
        <w:tc>
          <w:tcPr>
            <w:tcW w:w="2232" w:type="dxa"/>
            <w:shd w:val="clear" w:color="auto" w:fill="F4F7F9"/>
            <w:vAlign w:val="center"/>
          </w:tcPr>
          <w:p w14:paraId="24346C1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1.28 (0.79–2.07)</w:t>
            </w:r>
          </w:p>
        </w:tc>
        <w:tc>
          <w:tcPr>
            <w:tcW w:w="2232" w:type="dxa"/>
            <w:shd w:val="clear" w:color="auto" w:fill="F4F7F9"/>
            <w:vAlign w:val="center"/>
          </w:tcPr>
          <w:p w14:paraId="0A23A37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0.91 (0.44–1.89)</w:t>
            </w:r>
          </w:p>
        </w:tc>
      </w:tr>
      <w:tr w:rsidR="00254B13" w:rsidRPr="0042579F" w14:paraId="18330B74" w14:textId="77777777" w:rsidTr="00C61BAE">
        <w:trPr>
          <w:cantSplit/>
          <w:jc w:val="center"/>
        </w:trPr>
        <w:tc>
          <w:tcPr>
            <w:tcW w:w="2952" w:type="dxa"/>
            <w:shd w:val="clear" w:color="auto" w:fill="F4F7F9"/>
            <w:vAlign w:val="center"/>
          </w:tcPr>
          <w:p w14:paraId="6AB3F655"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Demographic/comorbidity setᵃ</w:t>
            </w:r>
          </w:p>
        </w:tc>
        <w:tc>
          <w:tcPr>
            <w:tcW w:w="1008" w:type="dxa"/>
            <w:shd w:val="clear" w:color="auto" w:fill="F4F7F9"/>
            <w:vAlign w:val="center"/>
          </w:tcPr>
          <w:p w14:paraId="14FDFE6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601</w:t>
            </w:r>
          </w:p>
        </w:tc>
        <w:tc>
          <w:tcPr>
            <w:tcW w:w="720" w:type="dxa"/>
            <w:shd w:val="clear" w:color="auto" w:fill="F4F7F9"/>
            <w:vAlign w:val="center"/>
          </w:tcPr>
          <w:p w14:paraId="6F14D7D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121</w:t>
            </w:r>
          </w:p>
        </w:tc>
        <w:tc>
          <w:tcPr>
            <w:tcW w:w="1152" w:type="dxa"/>
            <w:shd w:val="clear" w:color="auto" w:fill="F4F7F9"/>
            <w:vAlign w:val="center"/>
          </w:tcPr>
          <w:p w14:paraId="0DA8E53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w:t>
            </w:r>
          </w:p>
        </w:tc>
        <w:tc>
          <w:tcPr>
            <w:tcW w:w="1152" w:type="dxa"/>
            <w:shd w:val="clear" w:color="auto" w:fill="F4F7F9"/>
            <w:vAlign w:val="center"/>
          </w:tcPr>
          <w:p w14:paraId="236F2D5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11.0</w:t>
            </w:r>
          </w:p>
        </w:tc>
        <w:tc>
          <w:tcPr>
            <w:tcW w:w="2232" w:type="dxa"/>
            <w:shd w:val="clear" w:color="auto" w:fill="F4F7F9"/>
            <w:vAlign w:val="center"/>
          </w:tcPr>
          <w:p w14:paraId="7B2BA78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1.44 (0.80–2.60)</w:t>
            </w:r>
          </w:p>
        </w:tc>
        <w:tc>
          <w:tcPr>
            <w:tcW w:w="2232" w:type="dxa"/>
            <w:shd w:val="clear" w:color="auto" w:fill="F4F7F9"/>
            <w:vAlign w:val="center"/>
          </w:tcPr>
          <w:p w14:paraId="54C65A4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1.14 (0.74–1.75)</w:t>
            </w:r>
          </w:p>
        </w:tc>
        <w:tc>
          <w:tcPr>
            <w:tcW w:w="2232" w:type="dxa"/>
            <w:shd w:val="clear" w:color="auto" w:fill="F4F7F9"/>
            <w:vAlign w:val="center"/>
          </w:tcPr>
          <w:p w14:paraId="5882423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0.82 (0.43–1.58)</w:t>
            </w:r>
          </w:p>
        </w:tc>
      </w:tr>
      <w:tr w:rsidR="00254B13" w:rsidRPr="0042579F" w14:paraId="52626C0D" w14:textId="77777777" w:rsidTr="00C61BAE">
        <w:trPr>
          <w:cantSplit/>
          <w:jc w:val="center"/>
        </w:trPr>
        <w:tc>
          <w:tcPr>
            <w:tcW w:w="13680" w:type="dxa"/>
            <w:gridSpan w:val="8"/>
            <w:shd w:val="clear" w:color="auto" w:fill="EDF3F7"/>
            <w:vAlign w:val="center"/>
          </w:tcPr>
          <w:p w14:paraId="794B21F3" w14:textId="77777777" w:rsidR="00254B13" w:rsidRPr="0042579F" w:rsidRDefault="00254B13" w:rsidP="00C61BAE">
            <w:pPr>
              <w:keepNext/>
              <w:keepLines/>
              <w:spacing w:after="0" w:line="240" w:lineRule="auto"/>
              <w:rPr>
                <w:lang w:val="en-US"/>
              </w:rPr>
            </w:pPr>
            <w:r w:rsidRPr="0042579F">
              <w:rPr>
                <w:rFonts w:ascii="Calibri" w:eastAsia="Calibri" w:hAnsi="Calibri" w:cs="Calibri"/>
                <w:b/>
                <w:color w:val="000000"/>
                <w:sz w:val="20"/>
                <w:lang w:val="en-US"/>
              </w:rPr>
              <w:t>C. Death as the first catheter-episode outcome: cause-specific Cox regression [HR (95% CI)]</w:t>
            </w:r>
          </w:p>
        </w:tc>
      </w:tr>
      <w:tr w:rsidR="00254B13" w:rsidRPr="0042579F" w14:paraId="52849CBC" w14:textId="77777777" w:rsidTr="00C61BAE">
        <w:trPr>
          <w:cantSplit/>
          <w:jc w:val="center"/>
        </w:trPr>
        <w:tc>
          <w:tcPr>
            <w:tcW w:w="2952" w:type="dxa"/>
            <w:vAlign w:val="center"/>
          </w:tcPr>
          <w:p w14:paraId="24D80378"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Original model</w:t>
            </w:r>
          </w:p>
        </w:tc>
        <w:tc>
          <w:tcPr>
            <w:tcW w:w="1008" w:type="dxa"/>
            <w:vAlign w:val="center"/>
          </w:tcPr>
          <w:p w14:paraId="0E09D6C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2A81755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204</w:t>
            </w:r>
          </w:p>
        </w:tc>
        <w:tc>
          <w:tcPr>
            <w:tcW w:w="1152" w:type="dxa"/>
            <w:vAlign w:val="center"/>
          </w:tcPr>
          <w:p w14:paraId="438098A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w:t>
            </w:r>
          </w:p>
        </w:tc>
        <w:tc>
          <w:tcPr>
            <w:tcW w:w="1152" w:type="dxa"/>
            <w:vAlign w:val="center"/>
          </w:tcPr>
          <w:p w14:paraId="376C072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14.6</w:t>
            </w:r>
          </w:p>
        </w:tc>
        <w:tc>
          <w:tcPr>
            <w:tcW w:w="2232" w:type="dxa"/>
            <w:vAlign w:val="center"/>
          </w:tcPr>
          <w:p w14:paraId="465BDCA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0.74 (0.52–1.04)</w:t>
            </w:r>
          </w:p>
        </w:tc>
        <w:tc>
          <w:tcPr>
            <w:tcW w:w="2232" w:type="dxa"/>
            <w:vAlign w:val="center"/>
          </w:tcPr>
          <w:p w14:paraId="4D2DD3CE"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0.76 (0.58–0.99)</w:t>
            </w:r>
          </w:p>
        </w:tc>
        <w:tc>
          <w:tcPr>
            <w:tcW w:w="2232" w:type="dxa"/>
            <w:vAlign w:val="center"/>
          </w:tcPr>
          <w:p w14:paraId="7223627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0.25 (0.09–0.70)</w:t>
            </w:r>
          </w:p>
        </w:tc>
      </w:tr>
      <w:tr w:rsidR="00254B13" w:rsidRPr="0042579F" w14:paraId="6F0A3CE9" w14:textId="77777777" w:rsidTr="00C61BAE">
        <w:trPr>
          <w:cantSplit/>
          <w:jc w:val="center"/>
        </w:trPr>
        <w:tc>
          <w:tcPr>
            <w:tcW w:w="2952" w:type="dxa"/>
            <w:vAlign w:val="center"/>
          </w:tcPr>
          <w:p w14:paraId="447DB2BC"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separate age</w:t>
            </w:r>
          </w:p>
        </w:tc>
        <w:tc>
          <w:tcPr>
            <w:tcW w:w="1008" w:type="dxa"/>
            <w:vAlign w:val="center"/>
          </w:tcPr>
          <w:p w14:paraId="253EB95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7259907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204</w:t>
            </w:r>
          </w:p>
        </w:tc>
        <w:tc>
          <w:tcPr>
            <w:tcW w:w="1152" w:type="dxa"/>
            <w:vAlign w:val="center"/>
          </w:tcPr>
          <w:p w14:paraId="71088FE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w:t>
            </w:r>
          </w:p>
        </w:tc>
        <w:tc>
          <w:tcPr>
            <w:tcW w:w="1152" w:type="dxa"/>
            <w:vAlign w:val="center"/>
          </w:tcPr>
          <w:p w14:paraId="70858D3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15.7</w:t>
            </w:r>
          </w:p>
        </w:tc>
        <w:tc>
          <w:tcPr>
            <w:tcW w:w="2232" w:type="dxa"/>
            <w:vAlign w:val="center"/>
          </w:tcPr>
          <w:p w14:paraId="4E87AABC"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0.75 (0.53–1.06)</w:t>
            </w:r>
          </w:p>
        </w:tc>
        <w:tc>
          <w:tcPr>
            <w:tcW w:w="2232" w:type="dxa"/>
            <w:vAlign w:val="center"/>
          </w:tcPr>
          <w:p w14:paraId="45ADBED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0.76 (0.58–0.99)</w:t>
            </w:r>
          </w:p>
        </w:tc>
        <w:tc>
          <w:tcPr>
            <w:tcW w:w="2232" w:type="dxa"/>
            <w:vAlign w:val="center"/>
          </w:tcPr>
          <w:p w14:paraId="357F486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0.24 (0.08–0.68)</w:t>
            </w:r>
          </w:p>
        </w:tc>
      </w:tr>
      <w:tr w:rsidR="00254B13" w:rsidRPr="0042579F" w14:paraId="269C4051" w14:textId="77777777" w:rsidTr="00C61BAE">
        <w:trPr>
          <w:cantSplit/>
          <w:jc w:val="center"/>
        </w:trPr>
        <w:tc>
          <w:tcPr>
            <w:tcW w:w="2952" w:type="dxa"/>
            <w:vAlign w:val="center"/>
          </w:tcPr>
          <w:p w14:paraId="76CFA323"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Without intubation/TPN</w:t>
            </w:r>
          </w:p>
        </w:tc>
        <w:tc>
          <w:tcPr>
            <w:tcW w:w="1008" w:type="dxa"/>
            <w:vAlign w:val="center"/>
          </w:tcPr>
          <w:p w14:paraId="16B2768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5779891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204</w:t>
            </w:r>
          </w:p>
        </w:tc>
        <w:tc>
          <w:tcPr>
            <w:tcW w:w="1152" w:type="dxa"/>
            <w:vAlign w:val="center"/>
          </w:tcPr>
          <w:p w14:paraId="6C8CD06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w:t>
            </w:r>
          </w:p>
        </w:tc>
        <w:tc>
          <w:tcPr>
            <w:tcW w:w="1152" w:type="dxa"/>
            <w:vAlign w:val="center"/>
          </w:tcPr>
          <w:p w14:paraId="71230CB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17.0</w:t>
            </w:r>
          </w:p>
        </w:tc>
        <w:tc>
          <w:tcPr>
            <w:tcW w:w="2232" w:type="dxa"/>
            <w:vAlign w:val="center"/>
          </w:tcPr>
          <w:p w14:paraId="68AB2BC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0.91 (0.66–1.27)</w:t>
            </w:r>
          </w:p>
        </w:tc>
        <w:tc>
          <w:tcPr>
            <w:tcW w:w="2232" w:type="dxa"/>
            <w:vAlign w:val="center"/>
          </w:tcPr>
          <w:p w14:paraId="09BB822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0.73 (0.55–0.96)</w:t>
            </w:r>
          </w:p>
        </w:tc>
        <w:tc>
          <w:tcPr>
            <w:tcW w:w="2232" w:type="dxa"/>
            <w:vAlign w:val="center"/>
          </w:tcPr>
          <w:p w14:paraId="797C0A1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0.28 (0.10–0.81)</w:t>
            </w:r>
          </w:p>
        </w:tc>
      </w:tr>
      <w:tr w:rsidR="00254B13" w:rsidRPr="0042579F" w14:paraId="3EB881CF" w14:textId="77777777" w:rsidTr="00C61BAE">
        <w:trPr>
          <w:cantSplit/>
          <w:jc w:val="center"/>
        </w:trPr>
        <w:tc>
          <w:tcPr>
            <w:tcW w:w="2952" w:type="dxa"/>
            <w:vAlign w:val="center"/>
          </w:tcPr>
          <w:p w14:paraId="535C382B"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Demographic/comorbidity set</w:t>
            </w:r>
          </w:p>
        </w:tc>
        <w:tc>
          <w:tcPr>
            <w:tcW w:w="1008" w:type="dxa"/>
            <w:vAlign w:val="center"/>
          </w:tcPr>
          <w:p w14:paraId="13E3B42C"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2183BAB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204</w:t>
            </w:r>
          </w:p>
        </w:tc>
        <w:tc>
          <w:tcPr>
            <w:tcW w:w="1152" w:type="dxa"/>
            <w:vAlign w:val="center"/>
          </w:tcPr>
          <w:p w14:paraId="559E402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w:t>
            </w:r>
          </w:p>
        </w:tc>
        <w:tc>
          <w:tcPr>
            <w:tcW w:w="1152" w:type="dxa"/>
            <w:vAlign w:val="center"/>
          </w:tcPr>
          <w:p w14:paraId="330F7A1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18.5</w:t>
            </w:r>
          </w:p>
        </w:tc>
        <w:tc>
          <w:tcPr>
            <w:tcW w:w="2232" w:type="dxa"/>
            <w:vAlign w:val="center"/>
          </w:tcPr>
          <w:p w14:paraId="73CCD75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0.91 (0.65–1.29)</w:t>
            </w:r>
          </w:p>
        </w:tc>
        <w:tc>
          <w:tcPr>
            <w:tcW w:w="2232" w:type="dxa"/>
            <w:vAlign w:val="center"/>
          </w:tcPr>
          <w:p w14:paraId="146D396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0.71 (0.54–0.95)</w:t>
            </w:r>
          </w:p>
        </w:tc>
        <w:tc>
          <w:tcPr>
            <w:tcW w:w="2232" w:type="dxa"/>
            <w:vAlign w:val="center"/>
          </w:tcPr>
          <w:p w14:paraId="3D3F414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0.25 (0.09–0.69)</w:t>
            </w:r>
          </w:p>
        </w:tc>
      </w:tr>
      <w:tr w:rsidR="00254B13" w:rsidRPr="0042579F" w14:paraId="2F90606B" w14:textId="77777777" w:rsidTr="00C61BAE">
        <w:trPr>
          <w:cantSplit/>
          <w:jc w:val="center"/>
        </w:trPr>
        <w:tc>
          <w:tcPr>
            <w:tcW w:w="2952" w:type="dxa"/>
            <w:vAlign w:val="center"/>
          </w:tcPr>
          <w:p w14:paraId="4758B871"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Nonlinear age/APACHE II</w:t>
            </w:r>
          </w:p>
        </w:tc>
        <w:tc>
          <w:tcPr>
            <w:tcW w:w="1008" w:type="dxa"/>
            <w:vAlign w:val="center"/>
          </w:tcPr>
          <w:p w14:paraId="31A8A38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473</w:t>
            </w:r>
          </w:p>
        </w:tc>
        <w:tc>
          <w:tcPr>
            <w:tcW w:w="720" w:type="dxa"/>
            <w:vAlign w:val="center"/>
          </w:tcPr>
          <w:p w14:paraId="2D95B7F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204</w:t>
            </w:r>
          </w:p>
        </w:tc>
        <w:tc>
          <w:tcPr>
            <w:tcW w:w="1152" w:type="dxa"/>
            <w:vAlign w:val="center"/>
          </w:tcPr>
          <w:p w14:paraId="63BFAE1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18</w:t>
            </w:r>
          </w:p>
        </w:tc>
        <w:tc>
          <w:tcPr>
            <w:tcW w:w="1152" w:type="dxa"/>
            <w:vAlign w:val="center"/>
          </w:tcPr>
          <w:p w14:paraId="4B85772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11.3</w:t>
            </w:r>
          </w:p>
        </w:tc>
        <w:tc>
          <w:tcPr>
            <w:tcW w:w="2232" w:type="dxa"/>
            <w:vAlign w:val="center"/>
          </w:tcPr>
          <w:p w14:paraId="5A38D6C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0.74 (0.52–1.05)</w:t>
            </w:r>
          </w:p>
        </w:tc>
        <w:tc>
          <w:tcPr>
            <w:tcW w:w="2232" w:type="dxa"/>
            <w:vAlign w:val="center"/>
          </w:tcPr>
          <w:p w14:paraId="51937DC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0.76 (0.58–0.99)</w:t>
            </w:r>
          </w:p>
        </w:tc>
        <w:tc>
          <w:tcPr>
            <w:tcW w:w="2232" w:type="dxa"/>
            <w:vAlign w:val="center"/>
          </w:tcPr>
          <w:p w14:paraId="224E43E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0.23 (0.08–0.68)</w:t>
            </w:r>
          </w:p>
        </w:tc>
      </w:tr>
      <w:tr w:rsidR="00254B13" w:rsidRPr="0042579F" w14:paraId="3D08359A" w14:textId="77777777" w:rsidTr="00C61BAE">
        <w:trPr>
          <w:cantSplit/>
          <w:jc w:val="center"/>
        </w:trPr>
        <w:tc>
          <w:tcPr>
            <w:tcW w:w="2952" w:type="dxa"/>
            <w:shd w:val="clear" w:color="auto" w:fill="F4F7F9"/>
            <w:vAlign w:val="center"/>
          </w:tcPr>
          <w:p w14:paraId="50CFBEBD"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lastRenderedPageBreak/>
              <w:t>Without intubation/TPNᵃ</w:t>
            </w:r>
          </w:p>
        </w:tc>
        <w:tc>
          <w:tcPr>
            <w:tcW w:w="1008" w:type="dxa"/>
            <w:shd w:val="clear" w:color="auto" w:fill="F4F7F9"/>
            <w:vAlign w:val="center"/>
          </w:tcPr>
          <w:p w14:paraId="4CD538A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516</w:t>
            </w:r>
          </w:p>
        </w:tc>
        <w:tc>
          <w:tcPr>
            <w:tcW w:w="720" w:type="dxa"/>
            <w:shd w:val="clear" w:color="auto" w:fill="F4F7F9"/>
            <w:vAlign w:val="center"/>
          </w:tcPr>
          <w:p w14:paraId="2AEADF92"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233</w:t>
            </w:r>
          </w:p>
        </w:tc>
        <w:tc>
          <w:tcPr>
            <w:tcW w:w="1152" w:type="dxa"/>
            <w:shd w:val="clear" w:color="auto" w:fill="F4F7F9"/>
            <w:vAlign w:val="center"/>
          </w:tcPr>
          <w:p w14:paraId="0F8F9E6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w:t>
            </w:r>
          </w:p>
        </w:tc>
        <w:tc>
          <w:tcPr>
            <w:tcW w:w="1152" w:type="dxa"/>
            <w:shd w:val="clear" w:color="auto" w:fill="F4F7F9"/>
            <w:vAlign w:val="center"/>
          </w:tcPr>
          <w:p w14:paraId="13BCE8B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19.4</w:t>
            </w:r>
          </w:p>
        </w:tc>
        <w:tc>
          <w:tcPr>
            <w:tcW w:w="2232" w:type="dxa"/>
            <w:shd w:val="clear" w:color="auto" w:fill="F4F7F9"/>
            <w:vAlign w:val="center"/>
          </w:tcPr>
          <w:p w14:paraId="51390574"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0.86 (0.63–1.16)</w:t>
            </w:r>
          </w:p>
        </w:tc>
        <w:tc>
          <w:tcPr>
            <w:tcW w:w="2232" w:type="dxa"/>
            <w:shd w:val="clear" w:color="auto" w:fill="F4F7F9"/>
            <w:vAlign w:val="center"/>
          </w:tcPr>
          <w:p w14:paraId="139323D6"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0.72 (0.55–0.93)</w:t>
            </w:r>
          </w:p>
        </w:tc>
        <w:tc>
          <w:tcPr>
            <w:tcW w:w="2232" w:type="dxa"/>
            <w:shd w:val="clear" w:color="auto" w:fill="F4F7F9"/>
            <w:vAlign w:val="center"/>
          </w:tcPr>
          <w:p w14:paraId="0ED2836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0.24 (0.09–0.68)</w:t>
            </w:r>
          </w:p>
        </w:tc>
      </w:tr>
      <w:tr w:rsidR="00254B13" w:rsidRPr="0042579F" w14:paraId="2AF5807D" w14:textId="77777777" w:rsidTr="00C61BAE">
        <w:trPr>
          <w:cantSplit/>
          <w:jc w:val="center"/>
        </w:trPr>
        <w:tc>
          <w:tcPr>
            <w:tcW w:w="2952" w:type="dxa"/>
            <w:shd w:val="clear" w:color="auto" w:fill="F4F7F9"/>
            <w:vAlign w:val="center"/>
          </w:tcPr>
          <w:p w14:paraId="7EFD2258"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Demographic/comorbidity setᵃ</w:t>
            </w:r>
          </w:p>
        </w:tc>
        <w:tc>
          <w:tcPr>
            <w:tcW w:w="1008" w:type="dxa"/>
            <w:shd w:val="clear" w:color="auto" w:fill="F4F7F9"/>
            <w:vAlign w:val="center"/>
          </w:tcPr>
          <w:p w14:paraId="501B7C29"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601</w:t>
            </w:r>
          </w:p>
        </w:tc>
        <w:tc>
          <w:tcPr>
            <w:tcW w:w="720" w:type="dxa"/>
            <w:shd w:val="clear" w:color="auto" w:fill="F4F7F9"/>
            <w:vAlign w:val="center"/>
          </w:tcPr>
          <w:p w14:paraId="497703D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266</w:t>
            </w:r>
          </w:p>
        </w:tc>
        <w:tc>
          <w:tcPr>
            <w:tcW w:w="1152" w:type="dxa"/>
            <w:shd w:val="clear" w:color="auto" w:fill="F4F7F9"/>
            <w:vAlign w:val="center"/>
          </w:tcPr>
          <w:p w14:paraId="75DB2BD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11</w:t>
            </w:r>
          </w:p>
        </w:tc>
        <w:tc>
          <w:tcPr>
            <w:tcW w:w="1152" w:type="dxa"/>
            <w:shd w:val="clear" w:color="auto" w:fill="F4F7F9"/>
            <w:vAlign w:val="center"/>
          </w:tcPr>
          <w:p w14:paraId="742EB88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24.2</w:t>
            </w:r>
          </w:p>
        </w:tc>
        <w:tc>
          <w:tcPr>
            <w:tcW w:w="2232" w:type="dxa"/>
            <w:shd w:val="clear" w:color="auto" w:fill="F4F7F9"/>
            <w:vAlign w:val="center"/>
          </w:tcPr>
          <w:p w14:paraId="3F6A7EB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0.90 (0.66–1.22)</w:t>
            </w:r>
          </w:p>
        </w:tc>
        <w:tc>
          <w:tcPr>
            <w:tcW w:w="2232" w:type="dxa"/>
            <w:shd w:val="clear" w:color="auto" w:fill="F4F7F9"/>
            <w:vAlign w:val="center"/>
          </w:tcPr>
          <w:p w14:paraId="738B302D"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0.68 (0.53–0.88)</w:t>
            </w:r>
          </w:p>
        </w:tc>
        <w:tc>
          <w:tcPr>
            <w:tcW w:w="2232" w:type="dxa"/>
            <w:shd w:val="clear" w:color="auto" w:fill="F4F7F9"/>
            <w:vAlign w:val="center"/>
          </w:tcPr>
          <w:p w14:paraId="3DC4336C"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0.20 (0.08–0.46)</w:t>
            </w:r>
          </w:p>
        </w:tc>
      </w:tr>
      <w:tr w:rsidR="00254B13" w:rsidRPr="0042579F" w14:paraId="1FF7A989" w14:textId="77777777" w:rsidTr="00C61BAE">
        <w:trPr>
          <w:cantSplit/>
          <w:jc w:val="center"/>
        </w:trPr>
        <w:tc>
          <w:tcPr>
            <w:tcW w:w="13680" w:type="dxa"/>
            <w:gridSpan w:val="8"/>
            <w:shd w:val="clear" w:color="auto" w:fill="EDF3F7"/>
            <w:vAlign w:val="center"/>
          </w:tcPr>
          <w:p w14:paraId="274F157A" w14:textId="77777777" w:rsidR="00254B13" w:rsidRPr="0042579F" w:rsidRDefault="00254B13" w:rsidP="00C61BAE">
            <w:pPr>
              <w:keepNext/>
              <w:keepLines/>
              <w:spacing w:after="0" w:line="240" w:lineRule="auto"/>
              <w:rPr>
                <w:lang w:val="en-US"/>
              </w:rPr>
            </w:pPr>
            <w:r w:rsidRPr="0042579F">
              <w:rPr>
                <w:rFonts w:ascii="Calibri" w:eastAsia="Calibri" w:hAnsi="Calibri" w:cs="Calibri"/>
                <w:b/>
                <w:color w:val="000000"/>
                <w:sz w:val="20"/>
                <w:lang w:val="en-US"/>
              </w:rPr>
              <w:t>D. Ridge and episode-deletion sensitivity analyses: minimum–maximum point estimates (not confidence intervals)</w:t>
            </w:r>
          </w:p>
        </w:tc>
      </w:tr>
      <w:tr w:rsidR="00254B13" w:rsidRPr="0042579F" w14:paraId="2D97A5B9" w14:textId="77777777" w:rsidTr="00C61BAE">
        <w:trPr>
          <w:cantSplit/>
          <w:jc w:val="center"/>
        </w:trPr>
        <w:tc>
          <w:tcPr>
            <w:tcW w:w="8550" w:type="dxa"/>
            <w:gridSpan w:val="5"/>
            <w:vAlign w:val="center"/>
          </w:tcPr>
          <w:p w14:paraId="7B2FB9CB"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Fixed ridge penalties: CRBSI Poisson (IRR)</w:t>
            </w:r>
          </w:p>
        </w:tc>
        <w:tc>
          <w:tcPr>
            <w:tcW w:w="1710" w:type="dxa"/>
            <w:vAlign w:val="center"/>
          </w:tcPr>
          <w:p w14:paraId="70F7967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2.20–2.22</w:t>
            </w:r>
          </w:p>
        </w:tc>
        <w:tc>
          <w:tcPr>
            <w:tcW w:w="1710" w:type="dxa"/>
            <w:vAlign w:val="center"/>
          </w:tcPr>
          <w:p w14:paraId="6553EE2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1.33–1.33</w:t>
            </w:r>
          </w:p>
        </w:tc>
        <w:tc>
          <w:tcPr>
            <w:tcW w:w="1710" w:type="dxa"/>
            <w:vAlign w:val="center"/>
          </w:tcPr>
          <w:p w14:paraId="5FE349E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1.78–1.82</w:t>
            </w:r>
          </w:p>
        </w:tc>
      </w:tr>
      <w:tr w:rsidR="00254B13" w:rsidRPr="0042579F" w14:paraId="3E65C6A1" w14:textId="77777777" w:rsidTr="00C61BAE">
        <w:trPr>
          <w:cantSplit/>
          <w:jc w:val="center"/>
        </w:trPr>
        <w:tc>
          <w:tcPr>
            <w:tcW w:w="8550" w:type="dxa"/>
            <w:gridSpan w:val="5"/>
            <w:vAlign w:val="center"/>
          </w:tcPr>
          <w:p w14:paraId="2DBD6C85"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Fixed ridge penalties: CRBSI Cox (HR)</w:t>
            </w:r>
          </w:p>
        </w:tc>
        <w:tc>
          <w:tcPr>
            <w:tcW w:w="1710" w:type="dxa"/>
            <w:vAlign w:val="center"/>
          </w:tcPr>
          <w:p w14:paraId="56F8FAA3"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1.47–1.48</w:t>
            </w:r>
          </w:p>
        </w:tc>
        <w:tc>
          <w:tcPr>
            <w:tcW w:w="1710" w:type="dxa"/>
            <w:vAlign w:val="center"/>
          </w:tcPr>
          <w:p w14:paraId="28B434A1"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1.43–1.44</w:t>
            </w:r>
          </w:p>
        </w:tc>
        <w:tc>
          <w:tcPr>
            <w:tcW w:w="1710" w:type="dxa"/>
            <w:vAlign w:val="center"/>
          </w:tcPr>
          <w:p w14:paraId="2453D02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1.66–1.67</w:t>
            </w:r>
          </w:p>
        </w:tc>
      </w:tr>
      <w:tr w:rsidR="00254B13" w:rsidRPr="0042579F" w14:paraId="6FFA2154" w14:textId="77777777" w:rsidTr="00C61BAE">
        <w:trPr>
          <w:cantSplit/>
          <w:jc w:val="center"/>
        </w:trPr>
        <w:tc>
          <w:tcPr>
            <w:tcW w:w="8550" w:type="dxa"/>
            <w:gridSpan w:val="5"/>
            <w:vAlign w:val="center"/>
          </w:tcPr>
          <w:p w14:paraId="6181F37D"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Fixed ridge penalties: Death Cox (HR)</w:t>
            </w:r>
          </w:p>
        </w:tc>
        <w:tc>
          <w:tcPr>
            <w:tcW w:w="1710" w:type="dxa"/>
            <w:vAlign w:val="center"/>
          </w:tcPr>
          <w:p w14:paraId="5166FCE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0.74–0.74</w:t>
            </w:r>
          </w:p>
        </w:tc>
        <w:tc>
          <w:tcPr>
            <w:tcW w:w="1710" w:type="dxa"/>
            <w:vAlign w:val="center"/>
          </w:tcPr>
          <w:p w14:paraId="77019C88"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0.76–0.76</w:t>
            </w:r>
          </w:p>
        </w:tc>
        <w:tc>
          <w:tcPr>
            <w:tcW w:w="1710" w:type="dxa"/>
            <w:vAlign w:val="center"/>
          </w:tcPr>
          <w:p w14:paraId="13DF137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0.25–0.25</w:t>
            </w:r>
          </w:p>
        </w:tc>
      </w:tr>
      <w:tr w:rsidR="00254B13" w:rsidRPr="0042579F" w14:paraId="026EEB70" w14:textId="77777777" w:rsidTr="00C61BAE">
        <w:trPr>
          <w:cantSplit/>
          <w:jc w:val="center"/>
        </w:trPr>
        <w:tc>
          <w:tcPr>
            <w:tcW w:w="8550" w:type="dxa"/>
            <w:gridSpan w:val="5"/>
            <w:shd w:val="clear" w:color="auto" w:fill="F4F7F9"/>
            <w:vAlign w:val="center"/>
          </w:tcPr>
          <w:p w14:paraId="69DD8BB3"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Episode deletion: CRBSI Poisson (IRR)</w:t>
            </w:r>
          </w:p>
        </w:tc>
        <w:tc>
          <w:tcPr>
            <w:tcW w:w="1710" w:type="dxa"/>
            <w:shd w:val="clear" w:color="auto" w:fill="F4F7F9"/>
            <w:vAlign w:val="center"/>
          </w:tcPr>
          <w:p w14:paraId="7345395A"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2.12–2.43</w:t>
            </w:r>
          </w:p>
        </w:tc>
        <w:tc>
          <w:tcPr>
            <w:tcW w:w="1710" w:type="dxa"/>
            <w:shd w:val="clear" w:color="auto" w:fill="F4F7F9"/>
            <w:vAlign w:val="center"/>
          </w:tcPr>
          <w:p w14:paraId="41B61E0B"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1.26–1.40</w:t>
            </w:r>
          </w:p>
        </w:tc>
        <w:tc>
          <w:tcPr>
            <w:tcW w:w="1710" w:type="dxa"/>
            <w:shd w:val="clear" w:color="auto" w:fill="F4F7F9"/>
            <w:vAlign w:val="center"/>
          </w:tcPr>
          <w:p w14:paraId="02AB588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1.56–1.96</w:t>
            </w:r>
          </w:p>
        </w:tc>
      </w:tr>
      <w:tr w:rsidR="00254B13" w:rsidRPr="0042579F" w14:paraId="72F9BDCB" w14:textId="77777777" w:rsidTr="00C61BAE">
        <w:trPr>
          <w:cantSplit/>
          <w:jc w:val="center"/>
        </w:trPr>
        <w:tc>
          <w:tcPr>
            <w:tcW w:w="8550" w:type="dxa"/>
            <w:gridSpan w:val="5"/>
            <w:shd w:val="clear" w:color="auto" w:fill="F4F7F9"/>
            <w:vAlign w:val="center"/>
          </w:tcPr>
          <w:p w14:paraId="744ADF5C"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Episode deletion: CRBSI Cox (HR)</w:t>
            </w:r>
          </w:p>
        </w:tc>
        <w:tc>
          <w:tcPr>
            <w:tcW w:w="1710" w:type="dxa"/>
            <w:shd w:val="clear" w:color="auto" w:fill="F4F7F9"/>
            <w:vAlign w:val="center"/>
          </w:tcPr>
          <w:p w14:paraId="7767BBAF"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1.32–1.62</w:t>
            </w:r>
          </w:p>
        </w:tc>
        <w:tc>
          <w:tcPr>
            <w:tcW w:w="1710" w:type="dxa"/>
            <w:shd w:val="clear" w:color="auto" w:fill="F4F7F9"/>
            <w:vAlign w:val="center"/>
          </w:tcPr>
          <w:p w14:paraId="61981717"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1.33–1.53</w:t>
            </w:r>
          </w:p>
        </w:tc>
        <w:tc>
          <w:tcPr>
            <w:tcW w:w="1710" w:type="dxa"/>
            <w:shd w:val="clear" w:color="auto" w:fill="F4F7F9"/>
            <w:vAlign w:val="center"/>
          </w:tcPr>
          <w:p w14:paraId="22BACA9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1.42–2.16</w:t>
            </w:r>
          </w:p>
        </w:tc>
      </w:tr>
      <w:tr w:rsidR="00254B13" w:rsidRPr="0042579F" w14:paraId="4CB4FF20" w14:textId="77777777" w:rsidTr="00C61BAE">
        <w:trPr>
          <w:cantSplit/>
          <w:jc w:val="center"/>
        </w:trPr>
        <w:tc>
          <w:tcPr>
            <w:tcW w:w="8550" w:type="dxa"/>
            <w:gridSpan w:val="5"/>
            <w:shd w:val="clear" w:color="auto" w:fill="F4F7F9"/>
            <w:vAlign w:val="center"/>
          </w:tcPr>
          <w:p w14:paraId="71F2F986" w14:textId="77777777" w:rsidR="00254B13" w:rsidRPr="0042579F" w:rsidRDefault="00254B13" w:rsidP="00C61BAE">
            <w:pPr>
              <w:keepLines/>
              <w:spacing w:after="0" w:line="240" w:lineRule="auto"/>
              <w:rPr>
                <w:lang w:val="en-US"/>
              </w:rPr>
            </w:pPr>
            <w:r w:rsidRPr="0042579F">
              <w:rPr>
                <w:rFonts w:ascii="Calibri" w:eastAsia="Calibri" w:hAnsi="Calibri" w:cs="Calibri"/>
                <w:color w:val="000000"/>
                <w:sz w:val="20"/>
                <w:lang w:val="en-US"/>
              </w:rPr>
              <w:t>Episode deletion: Death Cox (HR)</w:t>
            </w:r>
          </w:p>
        </w:tc>
        <w:tc>
          <w:tcPr>
            <w:tcW w:w="1710" w:type="dxa"/>
            <w:shd w:val="clear" w:color="auto" w:fill="F4F7F9"/>
            <w:vAlign w:val="center"/>
          </w:tcPr>
          <w:p w14:paraId="115B6F5C"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0.69–0.76</w:t>
            </w:r>
          </w:p>
        </w:tc>
        <w:tc>
          <w:tcPr>
            <w:tcW w:w="1710" w:type="dxa"/>
            <w:shd w:val="clear" w:color="auto" w:fill="F4F7F9"/>
            <w:vAlign w:val="center"/>
          </w:tcPr>
          <w:p w14:paraId="7BCBE2A0"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0.72–0.77</w:t>
            </w:r>
          </w:p>
        </w:tc>
        <w:tc>
          <w:tcPr>
            <w:tcW w:w="1710" w:type="dxa"/>
            <w:shd w:val="clear" w:color="auto" w:fill="F4F7F9"/>
            <w:vAlign w:val="center"/>
          </w:tcPr>
          <w:p w14:paraId="57C21BE5" w14:textId="77777777" w:rsidR="00254B13" w:rsidRPr="0042579F" w:rsidRDefault="00254B13" w:rsidP="00C61BAE">
            <w:pPr>
              <w:keepLines/>
              <w:spacing w:after="0" w:line="240" w:lineRule="auto"/>
              <w:jc w:val="center"/>
              <w:rPr>
                <w:lang w:val="en-US"/>
              </w:rPr>
            </w:pPr>
            <w:r w:rsidRPr="0042579F">
              <w:rPr>
                <w:rFonts w:ascii="Calibri" w:eastAsia="Calibri" w:hAnsi="Calibri" w:cs="Calibri"/>
                <w:color w:val="000000"/>
                <w:sz w:val="20"/>
                <w:lang w:val="en-US"/>
              </w:rPr>
              <w:t>0.17–0.28</w:t>
            </w:r>
          </w:p>
        </w:tc>
      </w:tr>
    </w:tbl>
    <w:p w14:paraId="56AC4DC8" w14:textId="77777777" w:rsidR="00254B13" w:rsidRPr="0042579F" w:rsidRDefault="00254B13" w:rsidP="00254B13">
      <w:pPr>
        <w:keepLines/>
        <w:spacing w:before="160" w:after="100" w:line="240" w:lineRule="auto"/>
        <w:rPr>
          <w:lang w:val="en-US"/>
        </w:rPr>
      </w:pPr>
      <w:r w:rsidRPr="0042579F">
        <w:rPr>
          <w:rFonts w:ascii="Calibri" w:eastAsia="Calibri" w:hAnsi="Calibri" w:cs="Calibri"/>
          <w:color w:val="000000"/>
          <w:sz w:val="19"/>
          <w:lang w:val="en-US"/>
        </w:rPr>
        <w:t xml:space="preserve">Models and samples. Original model: catheter type, insertion site, age, sex, ICU, APACHE II, intubation, TPN, diabetes mellitus, and CKD/ESRD (simultaneous entry). Demographic/comorbidity models omit APACHE II, intubation, and TPN; other reduced models omit only the named terms. Nonlinear models use natural cubic splines for age and APACHE II (3 </w:t>
      </w:r>
      <w:proofErr w:type="spellStart"/>
      <w:r w:rsidRPr="0042579F">
        <w:rPr>
          <w:rFonts w:ascii="Calibri" w:eastAsia="Calibri" w:hAnsi="Calibri" w:cs="Calibri"/>
          <w:color w:val="000000"/>
          <w:sz w:val="19"/>
          <w:lang w:val="en-US"/>
        </w:rPr>
        <w:t>df</w:t>
      </w:r>
      <w:proofErr w:type="spellEnd"/>
      <w:r w:rsidRPr="0042579F">
        <w:rPr>
          <w:rFonts w:ascii="Calibri" w:eastAsia="Calibri" w:hAnsi="Calibri" w:cs="Calibri"/>
          <w:color w:val="000000"/>
          <w:sz w:val="19"/>
          <w:lang w:val="en-US"/>
        </w:rPr>
        <w:t xml:space="preserve"> each). In panels A–C, superscript a denotes available cases; all other rows use the same 473 complete episodes. The 473-, 516-, and 601-episode samples comprised 367, 387, and 455 patients, respectively. No imputation was performed. Parameter counts include slope coefficients only, counting categorical contrasts and spline coefficients separately.</w:t>
      </w:r>
    </w:p>
    <w:p w14:paraId="2B30E5B9" w14:textId="467FF150" w:rsidR="00254B13" w:rsidRPr="0042579F" w:rsidRDefault="00254B13" w:rsidP="00254B13">
      <w:pPr>
        <w:keepLines/>
        <w:spacing w:after="100" w:line="240" w:lineRule="auto"/>
        <w:rPr>
          <w:lang w:val="en-US"/>
        </w:rPr>
      </w:pPr>
      <w:r w:rsidRPr="0042579F">
        <w:rPr>
          <w:rFonts w:ascii="Calibri" w:eastAsia="Calibri" w:hAnsi="Calibri" w:cs="Calibri"/>
          <w:color w:val="000000"/>
          <w:sz w:val="19"/>
          <w:lang w:val="en-US"/>
        </w:rPr>
        <w:t>Estimation. Panels A–C report adjusted estimates with nominal 95% CIs. Poisson models used a log link, log catheter-days as the offset, and patient-clustered HC0 covariance with a G/(G−1) correction (patient-clustered HC3: Supplementary Table S</w:t>
      </w:r>
      <w:r w:rsidR="00544DC4">
        <w:rPr>
          <w:rFonts w:ascii="Calibri" w:eastAsia="Calibri" w:hAnsi="Calibri" w:cs="Calibri"/>
          <w:color w:val="000000"/>
          <w:sz w:val="19"/>
          <w:lang w:val="en-US"/>
        </w:rPr>
        <w:t>2</w:t>
      </w:r>
      <w:r w:rsidRPr="0042579F">
        <w:rPr>
          <w:rFonts w:ascii="Calibri" w:eastAsia="Calibri" w:hAnsi="Calibri" w:cs="Calibri"/>
          <w:color w:val="000000"/>
          <w:sz w:val="19"/>
          <w:lang w:val="en-US"/>
        </w:rPr>
        <w:t>)</w:t>
      </w:r>
      <w:r>
        <w:rPr>
          <w:rFonts w:ascii="Calibri" w:eastAsia="Calibri" w:hAnsi="Calibri" w:cs="Calibri"/>
          <w:color w:val="000000"/>
          <w:sz w:val="19"/>
          <w:lang w:val="en-US"/>
        </w:rPr>
        <w:t xml:space="preserve">, </w:t>
      </w:r>
      <w:r w:rsidRPr="00F7467F">
        <w:rPr>
          <w:rFonts w:ascii="Calibri" w:eastAsia="Calibri" w:hAnsi="Calibri" w:cs="Calibri"/>
          <w:color w:val="000000"/>
          <w:sz w:val="19"/>
          <w:lang w:val="en-US"/>
        </w:rPr>
        <w:t>where G denotes the number of patients</w:t>
      </w:r>
      <w:r w:rsidRPr="0042579F">
        <w:rPr>
          <w:rFonts w:ascii="Calibri" w:eastAsia="Calibri" w:hAnsi="Calibri" w:cs="Calibri"/>
          <w:color w:val="000000"/>
          <w:sz w:val="19"/>
          <w:lang w:val="en-US"/>
        </w:rPr>
        <w:t>. Cox models used Efron ties and patient-clustered sandwich covariance; other first outcomes were censored at their event time. Panel C does not assess death after CRBSI. No multiplicity adjustment was applied.</w:t>
      </w:r>
    </w:p>
    <w:p w14:paraId="0DE9AB8C" w14:textId="77777777" w:rsidR="00254B13" w:rsidRPr="0042579F" w:rsidRDefault="00254B13" w:rsidP="00254B13">
      <w:pPr>
        <w:keepLines/>
        <w:spacing w:after="100" w:line="240" w:lineRule="auto"/>
        <w:rPr>
          <w:lang w:val="en-US"/>
        </w:rPr>
      </w:pPr>
      <w:r w:rsidRPr="0042579F">
        <w:rPr>
          <w:rFonts w:ascii="Calibri" w:eastAsia="Calibri" w:hAnsi="Calibri" w:cs="Calibri"/>
          <w:color w:val="000000"/>
          <w:sz w:val="19"/>
          <w:lang w:val="en-US"/>
        </w:rPr>
        <w:t>Panel D. Ranges summarize point estimates, not CIs; equal displayed bounds reflect rounding. Ridge fits used the original models (N = 473) with Σβ²/(2τ²), τ = 2.5, 1.0, 0.5, applied to standardized adjustment coefficients only; catheter type/site and the Poisson intercept were unpenalized. Penalties were not tuned. Episode-deletion fits retained the original model (N = 472); all 473 refits per endpoint converged. These point-estimate checks do not constitute patient-level resampling.</w:t>
      </w:r>
    </w:p>
    <w:p w14:paraId="5866DC52" w14:textId="77777777" w:rsidR="00254B13" w:rsidRPr="0042579F" w:rsidRDefault="00254B13" w:rsidP="00254B13">
      <w:pPr>
        <w:keepLines/>
        <w:spacing w:after="100" w:line="240" w:lineRule="auto"/>
        <w:rPr>
          <w:lang w:val="en-US"/>
        </w:rPr>
      </w:pPr>
      <w:r w:rsidRPr="0042579F">
        <w:rPr>
          <w:rFonts w:ascii="Calibri" w:eastAsia="Calibri" w:hAnsi="Calibri" w:cs="Calibri"/>
          <w:color w:val="000000"/>
          <w:sz w:val="19"/>
          <w:lang w:val="en-US"/>
        </w:rPr>
        <w:t>Available-case comparisons with the original model change both the adjustment set and sample composition.</w:t>
      </w:r>
    </w:p>
    <w:p w14:paraId="7D1F140C" w14:textId="77777777" w:rsidR="00254B13" w:rsidRPr="0042579F" w:rsidRDefault="00254B13" w:rsidP="00254B13">
      <w:pPr>
        <w:keepLines/>
        <w:spacing w:after="100" w:line="240" w:lineRule="auto"/>
        <w:rPr>
          <w:lang w:val="en-US"/>
        </w:rPr>
      </w:pPr>
      <w:r w:rsidRPr="0042579F">
        <w:rPr>
          <w:rFonts w:ascii="Calibri" w:eastAsia="Calibri" w:hAnsi="Calibri" w:cs="Calibri"/>
          <w:color w:val="000000"/>
          <w:sz w:val="19"/>
          <w:lang w:val="en-US"/>
        </w:rPr>
        <w:t xml:space="preserve">Abbreviations: APACHE II, Acute Physiology and Chronic Health Evaluation II; CI, confidence interval; CKD, chronic kidney disease; CRBSI, catheter-related bloodstream infection; CVC, central venous catheter; </w:t>
      </w:r>
      <w:proofErr w:type="spellStart"/>
      <w:r w:rsidRPr="004600E8">
        <w:rPr>
          <w:rFonts w:ascii="Calibri" w:eastAsia="Calibri" w:hAnsi="Calibri" w:cs="Calibri"/>
          <w:color w:val="000000"/>
          <w:sz w:val="19"/>
          <w:lang w:val="en-US"/>
        </w:rPr>
        <w:t>df</w:t>
      </w:r>
      <w:proofErr w:type="spellEnd"/>
      <w:r w:rsidRPr="004600E8">
        <w:rPr>
          <w:rFonts w:ascii="Calibri" w:eastAsia="Calibri" w:hAnsi="Calibri" w:cs="Calibri"/>
          <w:color w:val="000000"/>
          <w:sz w:val="19"/>
          <w:lang w:val="en-US"/>
        </w:rPr>
        <w:t>, degrees of freedom</w:t>
      </w:r>
      <w:r>
        <w:rPr>
          <w:rFonts w:ascii="Calibri" w:eastAsia="Calibri" w:hAnsi="Calibri" w:cs="Calibri"/>
          <w:color w:val="000000"/>
          <w:sz w:val="19"/>
          <w:lang w:val="en-US"/>
        </w:rPr>
        <w:t xml:space="preserve">; </w:t>
      </w:r>
      <w:r w:rsidRPr="0042579F">
        <w:rPr>
          <w:rFonts w:ascii="Calibri" w:eastAsia="Calibri" w:hAnsi="Calibri" w:cs="Calibri"/>
          <w:color w:val="000000"/>
          <w:sz w:val="19"/>
          <w:lang w:val="en-US"/>
        </w:rPr>
        <w:t xml:space="preserve">ESRD, end-stage renal disease; HR, hazard ratio; </w:t>
      </w:r>
      <w:r w:rsidRPr="0049147A">
        <w:rPr>
          <w:rFonts w:ascii="Calibri" w:eastAsia="Calibri" w:hAnsi="Calibri" w:cs="Calibri"/>
          <w:color w:val="000000"/>
          <w:sz w:val="19"/>
          <w:lang w:val="en-US"/>
        </w:rPr>
        <w:t>HC0, heteroscedasticity-consistent type 0</w:t>
      </w:r>
      <w:r>
        <w:rPr>
          <w:rFonts w:ascii="Calibri" w:eastAsia="Calibri" w:hAnsi="Calibri" w:cs="Calibri"/>
          <w:color w:val="000000"/>
          <w:sz w:val="19"/>
          <w:lang w:val="en-US"/>
        </w:rPr>
        <w:t xml:space="preserve">; </w:t>
      </w:r>
      <w:r w:rsidRPr="00AA4144">
        <w:rPr>
          <w:rFonts w:ascii="Calibri" w:eastAsia="Calibri" w:hAnsi="Calibri" w:cs="Calibri"/>
          <w:color w:val="000000"/>
          <w:sz w:val="19"/>
          <w:lang w:val="en-US"/>
        </w:rPr>
        <w:t>HC3, heteroscedasticity-consistent type 3</w:t>
      </w:r>
      <w:r>
        <w:rPr>
          <w:rFonts w:ascii="Calibri" w:eastAsia="Calibri" w:hAnsi="Calibri" w:cs="Calibri"/>
          <w:color w:val="000000"/>
          <w:sz w:val="19"/>
          <w:lang w:val="en-US"/>
        </w:rPr>
        <w:t xml:space="preserve">; </w:t>
      </w:r>
      <w:r w:rsidRPr="0042579F">
        <w:rPr>
          <w:rFonts w:ascii="Calibri" w:eastAsia="Calibri" w:hAnsi="Calibri" w:cs="Calibri"/>
          <w:color w:val="000000"/>
          <w:sz w:val="19"/>
          <w:lang w:val="en-US"/>
        </w:rPr>
        <w:t>ICU, intensive care unit; IRR, incidence rate ratio; TPN, total parenteral nutrition.</w:t>
      </w:r>
    </w:p>
    <w:p w14:paraId="29F8563D" w14:textId="77777777" w:rsidR="00254B13" w:rsidRDefault="00254B13">
      <w:pPr>
        <w:rPr>
          <w:rFonts w:ascii="Calibri" w:eastAsia="Calibri" w:hAnsi="Calibri" w:cs="Calibri"/>
          <w:b/>
          <w:bCs/>
          <w:iCs/>
          <w:color w:val="000000"/>
          <w:kern w:val="2"/>
          <w:sz w:val="24"/>
          <w:szCs w:val="18"/>
          <w:lang w:val="en-US" w:eastAsia="en-US"/>
        </w:rPr>
      </w:pPr>
      <w:r>
        <w:rPr>
          <w:rFonts w:ascii="Calibri" w:eastAsia="Calibri" w:hAnsi="Calibri" w:cs="Calibri"/>
          <w:b/>
          <w:bCs/>
          <w:i/>
          <w:color w:val="000000"/>
          <w:sz w:val="24"/>
          <w:lang w:val="en-US"/>
        </w:rPr>
        <w:br w:type="page"/>
      </w:r>
    </w:p>
    <w:p w14:paraId="01F9F0EA" w14:textId="17F1E4CE" w:rsidR="003A78C2" w:rsidRPr="0042579F" w:rsidRDefault="00000000">
      <w:pPr>
        <w:pStyle w:val="Caption"/>
        <w:keepNext/>
        <w:keepLines/>
        <w:spacing w:after="160"/>
        <w:rPr>
          <w:lang w:val="en-US"/>
        </w:rPr>
      </w:pPr>
      <w:r w:rsidRPr="0042579F">
        <w:rPr>
          <w:rFonts w:ascii="Calibri" w:eastAsia="Calibri" w:hAnsi="Calibri" w:cs="Calibri"/>
          <w:b/>
          <w:bCs/>
          <w:i w:val="0"/>
          <w:color w:val="000000"/>
          <w:sz w:val="24"/>
          <w:lang w:val="en-US"/>
        </w:rPr>
        <w:lastRenderedPageBreak/>
        <w:t>Supplementary Table S</w:t>
      </w:r>
      <w:r w:rsidR="00254B13">
        <w:rPr>
          <w:rFonts w:ascii="Calibri" w:eastAsia="Calibri" w:hAnsi="Calibri" w:cs="Calibri"/>
          <w:b/>
          <w:bCs/>
          <w:i w:val="0"/>
          <w:color w:val="000000"/>
          <w:sz w:val="24"/>
          <w:lang w:val="en-US"/>
        </w:rPr>
        <w:t>2</w:t>
      </w:r>
      <w:r w:rsidRPr="0042579F">
        <w:rPr>
          <w:rFonts w:ascii="Calibri" w:eastAsia="Calibri" w:hAnsi="Calibri" w:cs="Calibri"/>
          <w:i w:val="0"/>
          <w:color w:val="000000"/>
          <w:sz w:val="24"/>
          <w:lang w:val="en-US"/>
        </w:rPr>
        <w:t>. Sensitivity analysis of patient-clustered covariance estimators in the adjusted Poisson regression model for CRBSI incidence.</w:t>
      </w:r>
    </w:p>
    <w:tbl>
      <w:tblPr>
        <w:tblW w:w="1368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48" w:type="dxa"/>
          <w:left w:w="75" w:type="dxa"/>
          <w:bottom w:w="48" w:type="dxa"/>
          <w:right w:w="75" w:type="dxa"/>
        </w:tblCellMar>
        <w:tblLook w:val="04A0" w:firstRow="1" w:lastRow="0" w:firstColumn="1" w:lastColumn="0" w:noHBand="0" w:noVBand="1"/>
      </w:tblPr>
      <w:tblGrid>
        <w:gridCol w:w="4032"/>
        <w:gridCol w:w="3024"/>
        <w:gridCol w:w="1656"/>
        <w:gridCol w:w="1656"/>
        <w:gridCol w:w="1656"/>
        <w:gridCol w:w="1656"/>
      </w:tblGrid>
      <w:tr w:rsidR="003A78C2" w:rsidRPr="0042579F" w14:paraId="64DDF5E7" w14:textId="77777777">
        <w:trPr>
          <w:cantSplit/>
          <w:tblHeader/>
          <w:jc w:val="center"/>
        </w:trPr>
        <w:tc>
          <w:tcPr>
            <w:tcW w:w="4032" w:type="dxa"/>
            <w:shd w:val="clear" w:color="auto" w:fill="D9EAF7"/>
            <w:vAlign w:val="center"/>
          </w:tcPr>
          <w:p w14:paraId="6C9BE44C"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Comparison</w:t>
            </w:r>
          </w:p>
        </w:tc>
        <w:tc>
          <w:tcPr>
            <w:tcW w:w="3024" w:type="dxa"/>
            <w:shd w:val="clear" w:color="auto" w:fill="D9EAF7"/>
            <w:vAlign w:val="center"/>
          </w:tcPr>
          <w:p w14:paraId="339226A8"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Covariance</w:t>
            </w:r>
          </w:p>
        </w:tc>
        <w:tc>
          <w:tcPr>
            <w:tcW w:w="1656" w:type="dxa"/>
            <w:shd w:val="clear" w:color="auto" w:fill="D9EAF7"/>
            <w:vAlign w:val="center"/>
          </w:tcPr>
          <w:p w14:paraId="08E1CCC8"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Adjusted IRR</w:t>
            </w:r>
          </w:p>
        </w:tc>
        <w:tc>
          <w:tcPr>
            <w:tcW w:w="1656" w:type="dxa"/>
            <w:shd w:val="clear" w:color="auto" w:fill="D9EAF7"/>
            <w:vAlign w:val="center"/>
          </w:tcPr>
          <w:p w14:paraId="5979CEA6"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Lower 95% CI</w:t>
            </w:r>
          </w:p>
        </w:tc>
        <w:tc>
          <w:tcPr>
            <w:tcW w:w="1656" w:type="dxa"/>
            <w:shd w:val="clear" w:color="auto" w:fill="D9EAF7"/>
            <w:vAlign w:val="center"/>
          </w:tcPr>
          <w:p w14:paraId="30F9A6C6"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Upper 95% CI</w:t>
            </w:r>
          </w:p>
        </w:tc>
        <w:tc>
          <w:tcPr>
            <w:tcW w:w="1656" w:type="dxa"/>
            <w:shd w:val="clear" w:color="auto" w:fill="D9EAF7"/>
            <w:vAlign w:val="center"/>
          </w:tcPr>
          <w:p w14:paraId="747FC60E"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P value</w:t>
            </w:r>
          </w:p>
        </w:tc>
      </w:tr>
      <w:tr w:rsidR="003A78C2" w:rsidRPr="0042579F" w14:paraId="1846A679" w14:textId="77777777">
        <w:trPr>
          <w:cantSplit/>
          <w:jc w:val="center"/>
        </w:trPr>
        <w:tc>
          <w:tcPr>
            <w:tcW w:w="4032" w:type="dxa"/>
            <w:vAlign w:val="center"/>
          </w:tcPr>
          <w:p w14:paraId="322F91A2"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Standard CVC vs dialysis</w:t>
            </w:r>
          </w:p>
        </w:tc>
        <w:tc>
          <w:tcPr>
            <w:tcW w:w="3024" w:type="dxa"/>
            <w:vAlign w:val="center"/>
          </w:tcPr>
          <w:p w14:paraId="65F2D136"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Patient-clustered HC0</w:t>
            </w:r>
          </w:p>
        </w:tc>
        <w:tc>
          <w:tcPr>
            <w:tcW w:w="1656" w:type="dxa"/>
            <w:vAlign w:val="center"/>
          </w:tcPr>
          <w:p w14:paraId="2F50EAE5"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2.20</w:t>
            </w:r>
          </w:p>
        </w:tc>
        <w:tc>
          <w:tcPr>
            <w:tcW w:w="1656" w:type="dxa"/>
            <w:vAlign w:val="center"/>
          </w:tcPr>
          <w:p w14:paraId="4E502AB5"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1.24</w:t>
            </w:r>
          </w:p>
        </w:tc>
        <w:tc>
          <w:tcPr>
            <w:tcW w:w="1656" w:type="dxa"/>
            <w:vAlign w:val="center"/>
          </w:tcPr>
          <w:p w14:paraId="74834196"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3.91</w:t>
            </w:r>
          </w:p>
        </w:tc>
        <w:tc>
          <w:tcPr>
            <w:tcW w:w="1656" w:type="dxa"/>
            <w:vAlign w:val="center"/>
          </w:tcPr>
          <w:p w14:paraId="6A77FD8B"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0.007</w:t>
            </w:r>
          </w:p>
        </w:tc>
      </w:tr>
      <w:tr w:rsidR="003A78C2" w:rsidRPr="0042579F" w14:paraId="4BCC93EE" w14:textId="77777777">
        <w:trPr>
          <w:cantSplit/>
          <w:jc w:val="center"/>
        </w:trPr>
        <w:tc>
          <w:tcPr>
            <w:tcW w:w="4032" w:type="dxa"/>
            <w:vAlign w:val="center"/>
          </w:tcPr>
          <w:p w14:paraId="696D35CA"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Standard CVC vs dialysis</w:t>
            </w:r>
          </w:p>
        </w:tc>
        <w:tc>
          <w:tcPr>
            <w:tcW w:w="3024" w:type="dxa"/>
            <w:vAlign w:val="center"/>
          </w:tcPr>
          <w:p w14:paraId="1DB56B50"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Patient-clustered HC3</w:t>
            </w:r>
          </w:p>
        </w:tc>
        <w:tc>
          <w:tcPr>
            <w:tcW w:w="1656" w:type="dxa"/>
            <w:vAlign w:val="center"/>
          </w:tcPr>
          <w:p w14:paraId="53E2A93D"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2.20</w:t>
            </w:r>
          </w:p>
        </w:tc>
        <w:tc>
          <w:tcPr>
            <w:tcW w:w="1656" w:type="dxa"/>
            <w:vAlign w:val="center"/>
          </w:tcPr>
          <w:p w14:paraId="3983667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1.21</w:t>
            </w:r>
          </w:p>
        </w:tc>
        <w:tc>
          <w:tcPr>
            <w:tcW w:w="1656" w:type="dxa"/>
            <w:vAlign w:val="center"/>
          </w:tcPr>
          <w:p w14:paraId="00FE02BA"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4.02</w:t>
            </w:r>
          </w:p>
        </w:tc>
        <w:tc>
          <w:tcPr>
            <w:tcW w:w="1656" w:type="dxa"/>
            <w:vAlign w:val="center"/>
          </w:tcPr>
          <w:p w14:paraId="2BBB4ED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0.010</w:t>
            </w:r>
          </w:p>
        </w:tc>
      </w:tr>
      <w:tr w:rsidR="003A78C2" w:rsidRPr="0042579F" w14:paraId="63626B9B" w14:textId="77777777">
        <w:trPr>
          <w:cantSplit/>
          <w:jc w:val="center"/>
        </w:trPr>
        <w:tc>
          <w:tcPr>
            <w:tcW w:w="4032" w:type="dxa"/>
            <w:vAlign w:val="center"/>
          </w:tcPr>
          <w:p w14:paraId="0253E02D"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Femoral vs jugular</w:t>
            </w:r>
          </w:p>
        </w:tc>
        <w:tc>
          <w:tcPr>
            <w:tcW w:w="3024" w:type="dxa"/>
            <w:vAlign w:val="center"/>
          </w:tcPr>
          <w:p w14:paraId="66CBDDE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Patient-clustered HC0</w:t>
            </w:r>
          </w:p>
        </w:tc>
        <w:tc>
          <w:tcPr>
            <w:tcW w:w="1656" w:type="dxa"/>
            <w:vAlign w:val="center"/>
          </w:tcPr>
          <w:p w14:paraId="360C288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1.33</w:t>
            </w:r>
          </w:p>
        </w:tc>
        <w:tc>
          <w:tcPr>
            <w:tcW w:w="1656" w:type="dxa"/>
            <w:vAlign w:val="center"/>
          </w:tcPr>
          <w:p w14:paraId="0B7AC1F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0.90</w:t>
            </w:r>
          </w:p>
        </w:tc>
        <w:tc>
          <w:tcPr>
            <w:tcW w:w="1656" w:type="dxa"/>
            <w:vAlign w:val="center"/>
          </w:tcPr>
          <w:p w14:paraId="7F6F15A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1.96</w:t>
            </w:r>
          </w:p>
        </w:tc>
        <w:tc>
          <w:tcPr>
            <w:tcW w:w="1656" w:type="dxa"/>
            <w:vAlign w:val="center"/>
          </w:tcPr>
          <w:p w14:paraId="639EEFCD"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0.155</w:t>
            </w:r>
          </w:p>
        </w:tc>
      </w:tr>
      <w:tr w:rsidR="003A78C2" w:rsidRPr="0042579F" w14:paraId="65B15466" w14:textId="77777777">
        <w:trPr>
          <w:cantSplit/>
          <w:jc w:val="center"/>
        </w:trPr>
        <w:tc>
          <w:tcPr>
            <w:tcW w:w="4032" w:type="dxa"/>
            <w:vAlign w:val="center"/>
          </w:tcPr>
          <w:p w14:paraId="51C6F4DF"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Femoral vs jugular</w:t>
            </w:r>
          </w:p>
        </w:tc>
        <w:tc>
          <w:tcPr>
            <w:tcW w:w="3024" w:type="dxa"/>
            <w:vAlign w:val="center"/>
          </w:tcPr>
          <w:p w14:paraId="58ACE780"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Patient-clustered HC3</w:t>
            </w:r>
          </w:p>
        </w:tc>
        <w:tc>
          <w:tcPr>
            <w:tcW w:w="1656" w:type="dxa"/>
            <w:vAlign w:val="center"/>
          </w:tcPr>
          <w:p w14:paraId="7C3A0731"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1.33</w:t>
            </w:r>
          </w:p>
        </w:tc>
        <w:tc>
          <w:tcPr>
            <w:tcW w:w="1656" w:type="dxa"/>
            <w:vAlign w:val="center"/>
          </w:tcPr>
          <w:p w14:paraId="5932E001"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0.88</w:t>
            </w:r>
          </w:p>
        </w:tc>
        <w:tc>
          <w:tcPr>
            <w:tcW w:w="1656" w:type="dxa"/>
            <w:vAlign w:val="center"/>
          </w:tcPr>
          <w:p w14:paraId="0FC8744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2.00</w:t>
            </w:r>
          </w:p>
        </w:tc>
        <w:tc>
          <w:tcPr>
            <w:tcW w:w="1656" w:type="dxa"/>
            <w:vAlign w:val="center"/>
          </w:tcPr>
          <w:p w14:paraId="1821D9E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0.177</w:t>
            </w:r>
          </w:p>
        </w:tc>
      </w:tr>
      <w:tr w:rsidR="003A78C2" w:rsidRPr="0042579F" w14:paraId="46DCB5C6" w14:textId="77777777">
        <w:trPr>
          <w:cantSplit/>
          <w:jc w:val="center"/>
        </w:trPr>
        <w:tc>
          <w:tcPr>
            <w:tcW w:w="4032" w:type="dxa"/>
            <w:vAlign w:val="center"/>
          </w:tcPr>
          <w:p w14:paraId="5EFFB2F5"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Subclavian vs jugular</w:t>
            </w:r>
          </w:p>
        </w:tc>
        <w:tc>
          <w:tcPr>
            <w:tcW w:w="3024" w:type="dxa"/>
            <w:vAlign w:val="center"/>
          </w:tcPr>
          <w:p w14:paraId="12813C0B"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Patient-clustered HC0</w:t>
            </w:r>
          </w:p>
        </w:tc>
        <w:tc>
          <w:tcPr>
            <w:tcW w:w="1656" w:type="dxa"/>
            <w:vAlign w:val="center"/>
          </w:tcPr>
          <w:p w14:paraId="02E9401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1.78</w:t>
            </w:r>
          </w:p>
        </w:tc>
        <w:tc>
          <w:tcPr>
            <w:tcW w:w="1656" w:type="dxa"/>
            <w:vAlign w:val="center"/>
          </w:tcPr>
          <w:p w14:paraId="494BD6B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0.93</w:t>
            </w:r>
          </w:p>
        </w:tc>
        <w:tc>
          <w:tcPr>
            <w:tcW w:w="1656" w:type="dxa"/>
            <w:vAlign w:val="center"/>
          </w:tcPr>
          <w:p w14:paraId="7D792510"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3.39</w:t>
            </w:r>
          </w:p>
        </w:tc>
        <w:tc>
          <w:tcPr>
            <w:tcW w:w="1656" w:type="dxa"/>
            <w:vAlign w:val="center"/>
          </w:tcPr>
          <w:p w14:paraId="2B8FCDF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0.081</w:t>
            </w:r>
          </w:p>
        </w:tc>
      </w:tr>
      <w:tr w:rsidR="003A78C2" w:rsidRPr="0042579F" w14:paraId="6967C067" w14:textId="77777777">
        <w:trPr>
          <w:cantSplit/>
          <w:jc w:val="center"/>
        </w:trPr>
        <w:tc>
          <w:tcPr>
            <w:tcW w:w="4032" w:type="dxa"/>
            <w:vAlign w:val="center"/>
          </w:tcPr>
          <w:p w14:paraId="1C36463F"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Subclavian vs jugular</w:t>
            </w:r>
          </w:p>
        </w:tc>
        <w:tc>
          <w:tcPr>
            <w:tcW w:w="3024" w:type="dxa"/>
            <w:vAlign w:val="center"/>
          </w:tcPr>
          <w:p w14:paraId="6931A624"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Patient-clustered HC3</w:t>
            </w:r>
          </w:p>
        </w:tc>
        <w:tc>
          <w:tcPr>
            <w:tcW w:w="1656" w:type="dxa"/>
            <w:vAlign w:val="center"/>
          </w:tcPr>
          <w:p w14:paraId="30BFA951"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1.78</w:t>
            </w:r>
          </w:p>
        </w:tc>
        <w:tc>
          <w:tcPr>
            <w:tcW w:w="1656" w:type="dxa"/>
            <w:vAlign w:val="center"/>
          </w:tcPr>
          <w:p w14:paraId="43CF5407"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0.86</w:t>
            </w:r>
          </w:p>
        </w:tc>
        <w:tc>
          <w:tcPr>
            <w:tcW w:w="1656" w:type="dxa"/>
            <w:vAlign w:val="center"/>
          </w:tcPr>
          <w:p w14:paraId="03D774F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3.67</w:t>
            </w:r>
          </w:p>
        </w:tc>
        <w:tc>
          <w:tcPr>
            <w:tcW w:w="1656" w:type="dxa"/>
            <w:vAlign w:val="center"/>
          </w:tcPr>
          <w:p w14:paraId="7BAE510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0.119</w:t>
            </w:r>
          </w:p>
        </w:tc>
      </w:tr>
    </w:tbl>
    <w:p w14:paraId="4C4D0C1B" w14:textId="77777777" w:rsidR="003A78C2" w:rsidRPr="0042579F" w:rsidRDefault="00000000">
      <w:pPr>
        <w:keepLines/>
        <w:spacing w:before="160" w:after="100" w:line="240" w:lineRule="auto"/>
        <w:rPr>
          <w:lang w:val="en-US"/>
        </w:rPr>
      </w:pPr>
      <w:r w:rsidRPr="0042579F">
        <w:rPr>
          <w:rFonts w:ascii="Calibri" w:eastAsia="Calibri" w:hAnsi="Calibri" w:cs="Calibri"/>
          <w:color w:val="000000"/>
          <w:sz w:val="20"/>
          <w:lang w:val="en-US"/>
        </w:rPr>
        <w:t>Adjusted models included 473 catheter episodes from 367 patients; 128 episodes were excluded because of missing covariates. No imputation was performed. Models adjusted simultaneously for catheter type, insertion site, age, sex, ICU, APACHE II score, intubation, TPN, diabetes mellitus, and CKD/ESRD.</w:t>
      </w:r>
    </w:p>
    <w:p w14:paraId="42D635BC" w14:textId="77777777" w:rsidR="003A78C2" w:rsidRPr="0042579F" w:rsidRDefault="00000000">
      <w:pPr>
        <w:keepLines/>
        <w:spacing w:after="100" w:line="240" w:lineRule="auto"/>
        <w:rPr>
          <w:lang w:val="en-US"/>
        </w:rPr>
      </w:pPr>
      <w:r w:rsidRPr="0042579F">
        <w:rPr>
          <w:rFonts w:ascii="Calibri" w:eastAsia="Calibri" w:hAnsi="Calibri" w:cs="Calibri"/>
          <w:color w:val="000000"/>
          <w:sz w:val="20"/>
          <w:lang w:val="en-US"/>
        </w:rPr>
        <w:t>Both covariance estimators cluster catheter episodes by patient. HC0 uses a G/(G−1) correction, where G is the number of patients; HC3 is a cluster-leverage sensitivity analysis. Poisson models used a log link and log catheter-days as the offset.</w:t>
      </w:r>
    </w:p>
    <w:p w14:paraId="2ED8438A" w14:textId="326CD35C" w:rsidR="003A78C2" w:rsidRPr="0042579F" w:rsidRDefault="00377B42">
      <w:pPr>
        <w:keepLines/>
        <w:spacing w:after="100" w:line="240" w:lineRule="auto"/>
        <w:rPr>
          <w:lang w:val="en-US"/>
        </w:rPr>
      </w:pPr>
      <w:r w:rsidRPr="00377B42">
        <w:rPr>
          <w:rFonts w:ascii="Calibri" w:eastAsia="Calibri" w:hAnsi="Calibri" w:cs="Calibri"/>
          <w:color w:val="000000"/>
          <w:sz w:val="20"/>
          <w:lang w:val="en-US"/>
        </w:rPr>
        <w:t>APACHE II, Acute Physiology and Chronic Health Evaluation II</w:t>
      </w:r>
      <w:r>
        <w:rPr>
          <w:rFonts w:ascii="Calibri" w:eastAsia="Calibri" w:hAnsi="Calibri" w:cs="Calibri"/>
          <w:color w:val="000000"/>
          <w:sz w:val="20"/>
          <w:lang w:val="en-US"/>
        </w:rPr>
        <w:t xml:space="preserve">; </w:t>
      </w:r>
      <w:r w:rsidRPr="0042579F">
        <w:rPr>
          <w:rFonts w:ascii="Calibri" w:eastAsia="Calibri" w:hAnsi="Calibri" w:cs="Calibri"/>
          <w:color w:val="000000"/>
          <w:sz w:val="20"/>
          <w:lang w:val="en-US"/>
        </w:rPr>
        <w:t>CI, confidence interval; CKD, chronic kidney disease; CRBSI, catheter-related bloodstream infection; CVC, central venous catheter; ESRD, end-stage renal disease;</w:t>
      </w:r>
      <w:r w:rsidR="0049147A">
        <w:rPr>
          <w:rFonts w:ascii="Calibri" w:eastAsia="Calibri" w:hAnsi="Calibri" w:cs="Calibri"/>
          <w:color w:val="000000"/>
          <w:sz w:val="20"/>
          <w:lang w:val="en-US"/>
        </w:rPr>
        <w:t xml:space="preserve"> </w:t>
      </w:r>
      <w:r w:rsidR="0049147A" w:rsidRPr="0049147A">
        <w:rPr>
          <w:rFonts w:ascii="Calibri" w:eastAsia="Calibri" w:hAnsi="Calibri" w:cs="Calibri"/>
          <w:color w:val="000000"/>
          <w:sz w:val="20"/>
          <w:lang w:val="en-US"/>
        </w:rPr>
        <w:t>HC0, heteroscedasticity-consistent type 0</w:t>
      </w:r>
      <w:r w:rsidR="0049147A">
        <w:rPr>
          <w:rFonts w:ascii="Calibri" w:eastAsia="Calibri" w:hAnsi="Calibri" w:cs="Calibri"/>
          <w:color w:val="000000"/>
          <w:sz w:val="20"/>
          <w:lang w:val="en-US"/>
        </w:rPr>
        <w:t>;</w:t>
      </w:r>
      <w:r w:rsidR="00AA4144">
        <w:rPr>
          <w:rFonts w:ascii="Calibri" w:eastAsia="Calibri" w:hAnsi="Calibri" w:cs="Calibri"/>
          <w:color w:val="000000"/>
          <w:sz w:val="20"/>
          <w:lang w:val="en-US"/>
        </w:rPr>
        <w:t xml:space="preserve"> </w:t>
      </w:r>
      <w:r w:rsidR="00AA4144" w:rsidRPr="00AA4144">
        <w:rPr>
          <w:rFonts w:ascii="Calibri" w:eastAsia="Calibri" w:hAnsi="Calibri" w:cs="Calibri"/>
          <w:color w:val="000000"/>
          <w:sz w:val="20"/>
          <w:lang w:val="en-US"/>
        </w:rPr>
        <w:t>HC3, heteroscedasticity-consistent type 3</w:t>
      </w:r>
      <w:r w:rsidR="00AA4144">
        <w:rPr>
          <w:rFonts w:ascii="Calibri" w:eastAsia="Calibri" w:hAnsi="Calibri" w:cs="Calibri"/>
          <w:color w:val="000000"/>
          <w:sz w:val="20"/>
          <w:lang w:val="en-US"/>
        </w:rPr>
        <w:t>;</w:t>
      </w:r>
      <w:r w:rsidRPr="0042579F">
        <w:rPr>
          <w:rFonts w:ascii="Calibri" w:eastAsia="Calibri" w:hAnsi="Calibri" w:cs="Calibri"/>
          <w:color w:val="000000"/>
          <w:sz w:val="20"/>
          <w:lang w:val="en-US"/>
        </w:rPr>
        <w:t xml:space="preserve"> ICU, intensive care unit; IRR, incidence rate ratio; TPN, total parenteral nutrition.</w:t>
      </w:r>
    </w:p>
    <w:p w14:paraId="39A3E198" w14:textId="6F9C7F73" w:rsidR="003A78C2" w:rsidRPr="0042579F" w:rsidRDefault="00000000">
      <w:pPr>
        <w:pStyle w:val="Caption"/>
        <w:keepNext/>
        <w:keepLines/>
        <w:pageBreakBefore/>
        <w:spacing w:after="160"/>
        <w:rPr>
          <w:lang w:val="en-US"/>
        </w:rPr>
      </w:pPr>
      <w:r w:rsidRPr="0042579F">
        <w:rPr>
          <w:rFonts w:ascii="Calibri" w:eastAsia="Calibri" w:hAnsi="Calibri" w:cs="Calibri"/>
          <w:b/>
          <w:bCs/>
          <w:i w:val="0"/>
          <w:color w:val="000000"/>
          <w:sz w:val="24"/>
          <w:lang w:val="en-US"/>
        </w:rPr>
        <w:lastRenderedPageBreak/>
        <w:t>Supplementary Table S</w:t>
      </w:r>
      <w:r w:rsidR="00254B13">
        <w:rPr>
          <w:rFonts w:ascii="Calibri" w:eastAsia="Calibri" w:hAnsi="Calibri" w:cs="Calibri"/>
          <w:b/>
          <w:bCs/>
          <w:i w:val="0"/>
          <w:color w:val="000000"/>
          <w:sz w:val="24"/>
          <w:lang w:val="en-US"/>
        </w:rPr>
        <w:t>3</w:t>
      </w:r>
      <w:r w:rsidRPr="0042579F">
        <w:rPr>
          <w:rFonts w:ascii="Calibri" w:eastAsia="Calibri" w:hAnsi="Calibri" w:cs="Calibri"/>
          <w:i w:val="0"/>
          <w:color w:val="000000"/>
          <w:sz w:val="24"/>
          <w:lang w:val="en-US"/>
        </w:rPr>
        <w:t>. Time-to-first CRBSI analysis accounting for competing first events.</w:t>
      </w:r>
    </w:p>
    <w:tbl>
      <w:tblPr>
        <w:tblW w:w="1368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75" w:type="dxa"/>
          <w:bottom w:w="60" w:type="dxa"/>
          <w:right w:w="75" w:type="dxa"/>
        </w:tblCellMar>
        <w:tblLook w:val="04A0" w:firstRow="1" w:lastRow="0" w:firstColumn="1" w:lastColumn="0" w:noHBand="0" w:noVBand="1"/>
      </w:tblPr>
      <w:tblGrid>
        <w:gridCol w:w="2880"/>
        <w:gridCol w:w="720"/>
        <w:gridCol w:w="1368"/>
        <w:gridCol w:w="1656"/>
        <w:gridCol w:w="720"/>
        <w:gridCol w:w="576"/>
        <w:gridCol w:w="432"/>
        <w:gridCol w:w="288"/>
        <w:gridCol w:w="1728"/>
        <w:gridCol w:w="648"/>
        <w:gridCol w:w="792"/>
        <w:gridCol w:w="576"/>
        <w:gridCol w:w="1296"/>
      </w:tblGrid>
      <w:tr w:rsidR="004B5353" w14:paraId="5F83ED8D" w14:textId="77777777">
        <w:trPr>
          <w:cantSplit/>
          <w:jc w:val="center"/>
        </w:trPr>
        <w:tc>
          <w:tcPr>
            <w:tcW w:w="13680" w:type="dxa"/>
            <w:gridSpan w:val="13"/>
            <w:shd w:val="clear" w:color="auto" w:fill="EDF3F7"/>
            <w:vAlign w:val="center"/>
          </w:tcPr>
          <w:p w14:paraId="5F12639A" w14:textId="77777777" w:rsidR="004B5353" w:rsidRDefault="00000000">
            <w:pPr>
              <w:keepNext/>
              <w:keepLines/>
              <w:spacing w:after="0" w:line="240" w:lineRule="auto"/>
            </w:pPr>
            <w:r>
              <w:rPr>
                <w:rFonts w:ascii="Calibri" w:eastAsia="Calibri" w:hAnsi="Calibri" w:cs="Calibri"/>
                <w:b/>
                <w:color w:val="000000"/>
                <w:sz w:val="20"/>
              </w:rPr>
              <w:t>A. Full-cohort outcomes and cumulative incidence of first CRBSI</w:t>
            </w:r>
          </w:p>
        </w:tc>
      </w:tr>
      <w:tr w:rsidR="004B5353" w14:paraId="4C5D4541" w14:textId="77777777">
        <w:trPr>
          <w:cantSplit/>
          <w:jc w:val="center"/>
        </w:trPr>
        <w:tc>
          <w:tcPr>
            <w:tcW w:w="2880" w:type="dxa"/>
            <w:shd w:val="clear" w:color="auto" w:fill="D9EAF7"/>
            <w:vAlign w:val="center"/>
          </w:tcPr>
          <w:p w14:paraId="633D158F" w14:textId="77777777" w:rsidR="004B5353" w:rsidRDefault="00000000">
            <w:pPr>
              <w:keepNext/>
              <w:keepLines/>
              <w:spacing w:after="0" w:line="240" w:lineRule="auto"/>
              <w:jc w:val="center"/>
            </w:pPr>
            <w:r>
              <w:rPr>
                <w:rFonts w:ascii="Calibri" w:eastAsia="Calibri" w:hAnsi="Calibri" w:cs="Calibri"/>
                <w:b/>
                <w:color w:val="000000"/>
                <w:sz w:val="19"/>
              </w:rPr>
              <w:t>Group</w:t>
            </w:r>
          </w:p>
        </w:tc>
        <w:tc>
          <w:tcPr>
            <w:tcW w:w="720" w:type="dxa"/>
            <w:shd w:val="clear" w:color="auto" w:fill="D9EAF7"/>
            <w:vAlign w:val="center"/>
          </w:tcPr>
          <w:p w14:paraId="3970F8E6" w14:textId="77777777" w:rsidR="004B5353" w:rsidRDefault="00000000">
            <w:pPr>
              <w:keepNext/>
              <w:keepLines/>
              <w:spacing w:after="0" w:line="240" w:lineRule="auto"/>
              <w:jc w:val="center"/>
            </w:pPr>
            <w:r>
              <w:rPr>
                <w:rFonts w:ascii="Calibri" w:eastAsia="Calibri" w:hAnsi="Calibri" w:cs="Calibri"/>
                <w:b/>
                <w:color w:val="000000"/>
                <w:sz w:val="19"/>
              </w:rPr>
              <w:t>N</w:t>
            </w:r>
          </w:p>
        </w:tc>
        <w:tc>
          <w:tcPr>
            <w:tcW w:w="1368" w:type="dxa"/>
            <w:shd w:val="clear" w:color="auto" w:fill="D9EAF7"/>
            <w:vAlign w:val="center"/>
          </w:tcPr>
          <w:p w14:paraId="3E096340" w14:textId="77777777" w:rsidR="004B5353" w:rsidRDefault="00000000">
            <w:pPr>
              <w:keepNext/>
              <w:keepLines/>
              <w:spacing w:after="0" w:line="240" w:lineRule="auto"/>
              <w:jc w:val="center"/>
            </w:pPr>
            <w:r>
              <w:rPr>
                <w:rFonts w:ascii="Calibri" w:eastAsia="Calibri" w:hAnsi="Calibri" w:cs="Calibri"/>
                <w:b/>
                <w:color w:val="000000"/>
                <w:sz w:val="19"/>
              </w:rPr>
              <w:t>CRBSI, n (%)</w:t>
            </w:r>
          </w:p>
        </w:tc>
        <w:tc>
          <w:tcPr>
            <w:tcW w:w="1656" w:type="dxa"/>
            <w:shd w:val="clear" w:color="auto" w:fill="D9EAF7"/>
            <w:vAlign w:val="center"/>
          </w:tcPr>
          <w:p w14:paraId="093163F9" w14:textId="77777777" w:rsidR="004B5353" w:rsidRDefault="00000000">
            <w:pPr>
              <w:keepNext/>
              <w:keepLines/>
              <w:spacing w:after="0" w:line="240" w:lineRule="auto"/>
              <w:jc w:val="center"/>
            </w:pPr>
            <w:r>
              <w:rPr>
                <w:rFonts w:ascii="Calibri" w:eastAsia="Calibri" w:hAnsi="Calibri" w:cs="Calibri"/>
                <w:b/>
                <w:color w:val="000000"/>
                <w:sz w:val="19"/>
              </w:rPr>
              <w:t>Non-CRBSI first events, n (%)</w:t>
            </w:r>
          </w:p>
        </w:tc>
        <w:tc>
          <w:tcPr>
            <w:tcW w:w="1728" w:type="dxa"/>
            <w:gridSpan w:val="3"/>
            <w:shd w:val="clear" w:color="auto" w:fill="D9EAF7"/>
            <w:vAlign w:val="center"/>
          </w:tcPr>
          <w:p w14:paraId="46D4F324" w14:textId="77777777" w:rsidR="004B5353" w:rsidRDefault="00000000">
            <w:pPr>
              <w:keepNext/>
              <w:keepLines/>
              <w:spacing w:after="0" w:line="240" w:lineRule="auto"/>
              <w:jc w:val="center"/>
            </w:pPr>
            <w:r>
              <w:rPr>
                <w:rFonts w:ascii="Calibri" w:eastAsia="Calibri" w:hAnsi="Calibri" w:cs="Calibri"/>
                <w:b/>
                <w:color w:val="000000"/>
                <w:sz w:val="19"/>
              </w:rPr>
              <w:t>Follow-up, days median [IQR]</w:t>
            </w:r>
          </w:p>
        </w:tc>
        <w:tc>
          <w:tcPr>
            <w:tcW w:w="2664" w:type="dxa"/>
            <w:gridSpan w:val="3"/>
            <w:shd w:val="clear" w:color="auto" w:fill="D9EAF7"/>
            <w:vAlign w:val="center"/>
          </w:tcPr>
          <w:p w14:paraId="728081F1" w14:textId="77777777" w:rsidR="004B5353" w:rsidRDefault="00000000">
            <w:pPr>
              <w:keepNext/>
              <w:keepLines/>
              <w:spacing w:after="0" w:line="240" w:lineRule="auto"/>
              <w:jc w:val="center"/>
            </w:pPr>
            <w:r>
              <w:rPr>
                <w:rFonts w:ascii="Calibri" w:eastAsia="Calibri" w:hAnsi="Calibri" w:cs="Calibri"/>
                <w:b/>
                <w:color w:val="000000"/>
                <w:sz w:val="19"/>
              </w:rPr>
              <w:t>Day-14 CRBSI CIF, % (95% CI)</w:t>
            </w:r>
          </w:p>
        </w:tc>
        <w:tc>
          <w:tcPr>
            <w:tcW w:w="2664" w:type="dxa"/>
            <w:gridSpan w:val="3"/>
            <w:shd w:val="clear" w:color="auto" w:fill="D9EAF7"/>
            <w:vAlign w:val="center"/>
          </w:tcPr>
          <w:p w14:paraId="470600E6" w14:textId="77777777" w:rsidR="004B5353" w:rsidRDefault="00000000">
            <w:pPr>
              <w:keepNext/>
              <w:keepLines/>
              <w:spacing w:after="0" w:line="240" w:lineRule="auto"/>
              <w:jc w:val="center"/>
            </w:pPr>
            <w:r>
              <w:rPr>
                <w:rFonts w:ascii="Calibri" w:eastAsia="Calibri" w:hAnsi="Calibri" w:cs="Calibri"/>
                <w:b/>
                <w:color w:val="000000"/>
                <w:sz w:val="19"/>
              </w:rPr>
              <w:t>Day-28 CRBSI CIF, % (95% CI)</w:t>
            </w:r>
          </w:p>
        </w:tc>
      </w:tr>
      <w:tr w:rsidR="004B5353" w14:paraId="510811E6" w14:textId="77777777">
        <w:trPr>
          <w:cantSplit/>
          <w:jc w:val="center"/>
        </w:trPr>
        <w:tc>
          <w:tcPr>
            <w:tcW w:w="2880" w:type="dxa"/>
            <w:vAlign w:val="center"/>
          </w:tcPr>
          <w:p w14:paraId="3136B651" w14:textId="77777777" w:rsidR="004B5353" w:rsidRDefault="00000000">
            <w:pPr>
              <w:keepNext/>
              <w:keepLines/>
              <w:spacing w:after="0" w:line="240" w:lineRule="auto"/>
            </w:pPr>
            <w:r>
              <w:rPr>
                <w:rFonts w:ascii="Calibri" w:eastAsia="Calibri" w:hAnsi="Calibri" w:cs="Calibri"/>
                <w:color w:val="000000"/>
                <w:sz w:val="20"/>
              </w:rPr>
              <w:t>Overall</w:t>
            </w:r>
          </w:p>
        </w:tc>
        <w:tc>
          <w:tcPr>
            <w:tcW w:w="720" w:type="dxa"/>
            <w:vAlign w:val="center"/>
          </w:tcPr>
          <w:p w14:paraId="1AFD03E4" w14:textId="77777777" w:rsidR="004B5353" w:rsidRDefault="00000000">
            <w:pPr>
              <w:keepNext/>
              <w:keepLines/>
              <w:spacing w:after="0" w:line="240" w:lineRule="auto"/>
              <w:jc w:val="center"/>
            </w:pPr>
            <w:r>
              <w:rPr>
                <w:rFonts w:ascii="Calibri" w:eastAsia="Calibri" w:hAnsi="Calibri" w:cs="Calibri"/>
                <w:color w:val="000000"/>
                <w:sz w:val="20"/>
              </w:rPr>
              <w:t>601</w:t>
            </w:r>
          </w:p>
        </w:tc>
        <w:tc>
          <w:tcPr>
            <w:tcW w:w="1368" w:type="dxa"/>
            <w:vAlign w:val="center"/>
          </w:tcPr>
          <w:p w14:paraId="778AF9B9" w14:textId="77777777" w:rsidR="004B5353" w:rsidRDefault="00000000">
            <w:pPr>
              <w:keepNext/>
              <w:keepLines/>
              <w:spacing w:after="0" w:line="240" w:lineRule="auto"/>
              <w:jc w:val="center"/>
            </w:pPr>
            <w:r>
              <w:rPr>
                <w:rFonts w:ascii="Calibri" w:eastAsia="Calibri" w:hAnsi="Calibri" w:cs="Calibri"/>
                <w:color w:val="000000"/>
                <w:sz w:val="20"/>
              </w:rPr>
              <w:t>121 (20.1)</w:t>
            </w:r>
          </w:p>
        </w:tc>
        <w:tc>
          <w:tcPr>
            <w:tcW w:w="1656" w:type="dxa"/>
            <w:vAlign w:val="center"/>
          </w:tcPr>
          <w:p w14:paraId="299B1B61" w14:textId="77777777" w:rsidR="004B5353" w:rsidRDefault="00000000">
            <w:pPr>
              <w:keepNext/>
              <w:keepLines/>
              <w:spacing w:after="0" w:line="240" w:lineRule="auto"/>
              <w:jc w:val="center"/>
            </w:pPr>
            <w:r>
              <w:rPr>
                <w:rFonts w:ascii="Calibri" w:eastAsia="Calibri" w:hAnsi="Calibri" w:cs="Calibri"/>
                <w:color w:val="000000"/>
                <w:sz w:val="20"/>
              </w:rPr>
              <w:t>480 (79.9)</w:t>
            </w:r>
          </w:p>
        </w:tc>
        <w:tc>
          <w:tcPr>
            <w:tcW w:w="1728" w:type="dxa"/>
            <w:gridSpan w:val="3"/>
            <w:vAlign w:val="center"/>
          </w:tcPr>
          <w:p w14:paraId="3E7624BE" w14:textId="77777777" w:rsidR="004B5353" w:rsidRDefault="00000000">
            <w:pPr>
              <w:keepNext/>
              <w:keepLines/>
              <w:spacing w:after="0" w:line="240" w:lineRule="auto"/>
              <w:jc w:val="center"/>
            </w:pPr>
            <w:r>
              <w:rPr>
                <w:rFonts w:ascii="Calibri" w:eastAsia="Calibri" w:hAnsi="Calibri" w:cs="Calibri"/>
                <w:color w:val="000000"/>
                <w:sz w:val="20"/>
              </w:rPr>
              <w:t>9 [5–18]</w:t>
            </w:r>
          </w:p>
        </w:tc>
        <w:tc>
          <w:tcPr>
            <w:tcW w:w="2664" w:type="dxa"/>
            <w:gridSpan w:val="3"/>
            <w:vAlign w:val="center"/>
          </w:tcPr>
          <w:p w14:paraId="556C51F5" w14:textId="77777777" w:rsidR="004B5353" w:rsidRDefault="00000000">
            <w:pPr>
              <w:keepNext/>
              <w:keepLines/>
              <w:spacing w:after="0" w:line="240" w:lineRule="auto"/>
              <w:jc w:val="center"/>
            </w:pPr>
            <w:r>
              <w:rPr>
                <w:rFonts w:ascii="Calibri" w:eastAsia="Calibri" w:hAnsi="Calibri" w:cs="Calibri"/>
                <w:color w:val="000000"/>
                <w:sz w:val="20"/>
              </w:rPr>
              <w:t>6.3 (4.6–8.4)</w:t>
            </w:r>
          </w:p>
        </w:tc>
        <w:tc>
          <w:tcPr>
            <w:tcW w:w="2664" w:type="dxa"/>
            <w:gridSpan w:val="3"/>
            <w:vAlign w:val="center"/>
          </w:tcPr>
          <w:p w14:paraId="3791020A" w14:textId="77777777" w:rsidR="004B5353" w:rsidRDefault="00000000">
            <w:pPr>
              <w:keepNext/>
              <w:keepLines/>
              <w:spacing w:after="0" w:line="240" w:lineRule="auto"/>
              <w:jc w:val="center"/>
            </w:pPr>
            <w:r>
              <w:rPr>
                <w:rFonts w:ascii="Calibri" w:eastAsia="Calibri" w:hAnsi="Calibri" w:cs="Calibri"/>
                <w:color w:val="000000"/>
                <w:sz w:val="20"/>
              </w:rPr>
              <w:t>12.5 (10.0–15.3)</w:t>
            </w:r>
          </w:p>
        </w:tc>
      </w:tr>
      <w:tr w:rsidR="004B5353" w14:paraId="232728F0" w14:textId="77777777">
        <w:trPr>
          <w:cantSplit/>
          <w:jc w:val="center"/>
        </w:trPr>
        <w:tc>
          <w:tcPr>
            <w:tcW w:w="2880" w:type="dxa"/>
            <w:vAlign w:val="center"/>
          </w:tcPr>
          <w:p w14:paraId="3DA37D58" w14:textId="77777777" w:rsidR="004B5353" w:rsidRDefault="00000000">
            <w:pPr>
              <w:keepNext/>
              <w:keepLines/>
              <w:spacing w:after="0" w:line="240" w:lineRule="auto"/>
            </w:pPr>
            <w:r>
              <w:rPr>
                <w:rFonts w:ascii="Calibri" w:eastAsia="Calibri" w:hAnsi="Calibri" w:cs="Calibri"/>
                <w:color w:val="000000"/>
                <w:sz w:val="20"/>
              </w:rPr>
              <w:t>Dialysis catheter</w:t>
            </w:r>
          </w:p>
        </w:tc>
        <w:tc>
          <w:tcPr>
            <w:tcW w:w="720" w:type="dxa"/>
            <w:vAlign w:val="center"/>
          </w:tcPr>
          <w:p w14:paraId="440C7C2D" w14:textId="77777777" w:rsidR="004B5353" w:rsidRDefault="00000000">
            <w:pPr>
              <w:keepNext/>
              <w:keepLines/>
              <w:spacing w:after="0" w:line="240" w:lineRule="auto"/>
              <w:jc w:val="center"/>
            </w:pPr>
            <w:r>
              <w:rPr>
                <w:rFonts w:ascii="Calibri" w:eastAsia="Calibri" w:hAnsi="Calibri" w:cs="Calibri"/>
                <w:color w:val="000000"/>
                <w:sz w:val="20"/>
              </w:rPr>
              <w:t>216</w:t>
            </w:r>
          </w:p>
        </w:tc>
        <w:tc>
          <w:tcPr>
            <w:tcW w:w="1368" w:type="dxa"/>
            <w:vAlign w:val="center"/>
          </w:tcPr>
          <w:p w14:paraId="2E0490B5" w14:textId="77777777" w:rsidR="004B5353" w:rsidRDefault="00000000">
            <w:pPr>
              <w:keepNext/>
              <w:keepLines/>
              <w:spacing w:after="0" w:line="240" w:lineRule="auto"/>
              <w:jc w:val="center"/>
            </w:pPr>
            <w:r>
              <w:rPr>
                <w:rFonts w:ascii="Calibri" w:eastAsia="Calibri" w:hAnsi="Calibri" w:cs="Calibri"/>
                <w:color w:val="000000"/>
                <w:sz w:val="20"/>
              </w:rPr>
              <w:t>16 (7.4)</w:t>
            </w:r>
          </w:p>
        </w:tc>
        <w:tc>
          <w:tcPr>
            <w:tcW w:w="1656" w:type="dxa"/>
            <w:vAlign w:val="center"/>
          </w:tcPr>
          <w:p w14:paraId="003038BD" w14:textId="77777777" w:rsidR="004B5353" w:rsidRDefault="00000000">
            <w:pPr>
              <w:keepNext/>
              <w:keepLines/>
              <w:spacing w:after="0" w:line="240" w:lineRule="auto"/>
              <w:jc w:val="center"/>
            </w:pPr>
            <w:r>
              <w:rPr>
                <w:rFonts w:ascii="Calibri" w:eastAsia="Calibri" w:hAnsi="Calibri" w:cs="Calibri"/>
                <w:color w:val="000000"/>
                <w:sz w:val="20"/>
              </w:rPr>
              <w:t>200 (92.6)</w:t>
            </w:r>
          </w:p>
        </w:tc>
        <w:tc>
          <w:tcPr>
            <w:tcW w:w="1728" w:type="dxa"/>
            <w:gridSpan w:val="3"/>
            <w:vAlign w:val="center"/>
          </w:tcPr>
          <w:p w14:paraId="54FD5AFD" w14:textId="77777777" w:rsidR="004B5353" w:rsidRDefault="00000000">
            <w:pPr>
              <w:keepNext/>
              <w:keepLines/>
              <w:spacing w:after="0" w:line="240" w:lineRule="auto"/>
              <w:jc w:val="center"/>
            </w:pPr>
            <w:r>
              <w:rPr>
                <w:rFonts w:ascii="Calibri" w:eastAsia="Calibri" w:hAnsi="Calibri" w:cs="Calibri"/>
                <w:color w:val="000000"/>
                <w:sz w:val="20"/>
              </w:rPr>
              <w:t>7 [4–11]</w:t>
            </w:r>
          </w:p>
        </w:tc>
        <w:tc>
          <w:tcPr>
            <w:tcW w:w="2664" w:type="dxa"/>
            <w:gridSpan w:val="3"/>
            <w:vAlign w:val="center"/>
          </w:tcPr>
          <w:p w14:paraId="16987BD3" w14:textId="77777777" w:rsidR="004B5353" w:rsidRDefault="00000000">
            <w:pPr>
              <w:keepNext/>
              <w:keepLines/>
              <w:spacing w:after="0" w:line="240" w:lineRule="auto"/>
              <w:jc w:val="center"/>
            </w:pPr>
            <w:r>
              <w:rPr>
                <w:rFonts w:ascii="Calibri" w:eastAsia="Calibri" w:hAnsi="Calibri" w:cs="Calibri"/>
                <w:color w:val="000000"/>
                <w:sz w:val="20"/>
              </w:rPr>
              <w:t>4.2 (2.1–7.4)</w:t>
            </w:r>
          </w:p>
        </w:tc>
        <w:tc>
          <w:tcPr>
            <w:tcW w:w="2664" w:type="dxa"/>
            <w:gridSpan w:val="3"/>
            <w:vAlign w:val="center"/>
          </w:tcPr>
          <w:p w14:paraId="72D2FC54" w14:textId="77777777" w:rsidR="004B5353" w:rsidRDefault="00000000">
            <w:pPr>
              <w:keepNext/>
              <w:keepLines/>
              <w:spacing w:after="0" w:line="240" w:lineRule="auto"/>
              <w:jc w:val="center"/>
            </w:pPr>
            <w:r>
              <w:rPr>
                <w:rFonts w:ascii="Calibri" w:eastAsia="Calibri" w:hAnsi="Calibri" w:cs="Calibri"/>
                <w:color w:val="000000"/>
                <w:sz w:val="20"/>
              </w:rPr>
              <w:t>6.0 (3.3–9.9)</w:t>
            </w:r>
          </w:p>
        </w:tc>
      </w:tr>
      <w:tr w:rsidR="004B5353" w14:paraId="4F095B70" w14:textId="77777777">
        <w:trPr>
          <w:cantSplit/>
          <w:jc w:val="center"/>
        </w:trPr>
        <w:tc>
          <w:tcPr>
            <w:tcW w:w="2880" w:type="dxa"/>
            <w:vAlign w:val="center"/>
          </w:tcPr>
          <w:p w14:paraId="305A53C8" w14:textId="77777777" w:rsidR="004B5353" w:rsidRDefault="00000000">
            <w:pPr>
              <w:keepNext/>
              <w:keepLines/>
              <w:spacing w:after="0" w:line="240" w:lineRule="auto"/>
            </w:pPr>
            <w:r>
              <w:rPr>
                <w:rFonts w:ascii="Calibri" w:eastAsia="Calibri" w:hAnsi="Calibri" w:cs="Calibri"/>
                <w:color w:val="000000"/>
                <w:sz w:val="20"/>
              </w:rPr>
              <w:t>Standard CVC</w:t>
            </w:r>
          </w:p>
        </w:tc>
        <w:tc>
          <w:tcPr>
            <w:tcW w:w="720" w:type="dxa"/>
            <w:vAlign w:val="center"/>
          </w:tcPr>
          <w:p w14:paraId="144CFC45" w14:textId="77777777" w:rsidR="004B5353" w:rsidRDefault="00000000">
            <w:pPr>
              <w:keepNext/>
              <w:keepLines/>
              <w:spacing w:after="0" w:line="240" w:lineRule="auto"/>
              <w:jc w:val="center"/>
            </w:pPr>
            <w:r>
              <w:rPr>
                <w:rFonts w:ascii="Calibri" w:eastAsia="Calibri" w:hAnsi="Calibri" w:cs="Calibri"/>
                <w:color w:val="000000"/>
                <w:sz w:val="20"/>
              </w:rPr>
              <w:t>385</w:t>
            </w:r>
          </w:p>
        </w:tc>
        <w:tc>
          <w:tcPr>
            <w:tcW w:w="1368" w:type="dxa"/>
            <w:vAlign w:val="center"/>
          </w:tcPr>
          <w:p w14:paraId="6876AA05" w14:textId="77777777" w:rsidR="004B5353" w:rsidRDefault="00000000">
            <w:pPr>
              <w:keepNext/>
              <w:keepLines/>
              <w:spacing w:after="0" w:line="240" w:lineRule="auto"/>
              <w:jc w:val="center"/>
            </w:pPr>
            <w:r>
              <w:rPr>
                <w:rFonts w:ascii="Calibri" w:eastAsia="Calibri" w:hAnsi="Calibri" w:cs="Calibri"/>
                <w:color w:val="000000"/>
                <w:sz w:val="20"/>
              </w:rPr>
              <w:t>105 (27.3)</w:t>
            </w:r>
          </w:p>
        </w:tc>
        <w:tc>
          <w:tcPr>
            <w:tcW w:w="1656" w:type="dxa"/>
            <w:vAlign w:val="center"/>
          </w:tcPr>
          <w:p w14:paraId="2B65828B" w14:textId="77777777" w:rsidR="004B5353" w:rsidRDefault="00000000">
            <w:pPr>
              <w:keepNext/>
              <w:keepLines/>
              <w:spacing w:after="0" w:line="240" w:lineRule="auto"/>
              <w:jc w:val="center"/>
            </w:pPr>
            <w:r>
              <w:rPr>
                <w:rFonts w:ascii="Calibri" w:eastAsia="Calibri" w:hAnsi="Calibri" w:cs="Calibri"/>
                <w:color w:val="000000"/>
                <w:sz w:val="20"/>
              </w:rPr>
              <w:t>280 (72.7)</w:t>
            </w:r>
          </w:p>
        </w:tc>
        <w:tc>
          <w:tcPr>
            <w:tcW w:w="1728" w:type="dxa"/>
            <w:gridSpan w:val="3"/>
            <w:vAlign w:val="center"/>
          </w:tcPr>
          <w:p w14:paraId="704DEA95" w14:textId="77777777" w:rsidR="004B5353" w:rsidRDefault="00000000">
            <w:pPr>
              <w:keepNext/>
              <w:keepLines/>
              <w:spacing w:after="0" w:line="240" w:lineRule="auto"/>
              <w:jc w:val="center"/>
            </w:pPr>
            <w:r>
              <w:rPr>
                <w:rFonts w:ascii="Calibri" w:eastAsia="Calibri" w:hAnsi="Calibri" w:cs="Calibri"/>
                <w:color w:val="000000"/>
                <w:sz w:val="20"/>
              </w:rPr>
              <w:t>11 [6–24]</w:t>
            </w:r>
          </w:p>
        </w:tc>
        <w:tc>
          <w:tcPr>
            <w:tcW w:w="2664" w:type="dxa"/>
            <w:gridSpan w:val="3"/>
            <w:vAlign w:val="center"/>
          </w:tcPr>
          <w:p w14:paraId="782D3908" w14:textId="77777777" w:rsidR="004B5353" w:rsidRDefault="00000000">
            <w:pPr>
              <w:keepNext/>
              <w:keepLines/>
              <w:spacing w:after="0" w:line="240" w:lineRule="auto"/>
              <w:jc w:val="center"/>
            </w:pPr>
            <w:r>
              <w:rPr>
                <w:rFonts w:ascii="Calibri" w:eastAsia="Calibri" w:hAnsi="Calibri" w:cs="Calibri"/>
                <w:color w:val="000000"/>
                <w:sz w:val="20"/>
              </w:rPr>
              <w:t>7.5 (5.2–10.4)</w:t>
            </w:r>
          </w:p>
        </w:tc>
        <w:tc>
          <w:tcPr>
            <w:tcW w:w="2664" w:type="dxa"/>
            <w:gridSpan w:val="3"/>
            <w:vAlign w:val="center"/>
          </w:tcPr>
          <w:p w14:paraId="79F1DF1D" w14:textId="77777777" w:rsidR="004B5353" w:rsidRDefault="00000000">
            <w:pPr>
              <w:keepNext/>
              <w:keepLines/>
              <w:spacing w:after="0" w:line="240" w:lineRule="auto"/>
              <w:jc w:val="center"/>
            </w:pPr>
            <w:r>
              <w:rPr>
                <w:rFonts w:ascii="Calibri" w:eastAsia="Calibri" w:hAnsi="Calibri" w:cs="Calibri"/>
                <w:color w:val="000000"/>
                <w:sz w:val="20"/>
              </w:rPr>
              <w:t>16.1 (12.7–19.8)</w:t>
            </w:r>
          </w:p>
        </w:tc>
      </w:tr>
      <w:tr w:rsidR="004B5353" w14:paraId="39A60405" w14:textId="77777777">
        <w:trPr>
          <w:cantSplit/>
          <w:jc w:val="center"/>
        </w:trPr>
        <w:tc>
          <w:tcPr>
            <w:tcW w:w="2880" w:type="dxa"/>
            <w:vAlign w:val="center"/>
          </w:tcPr>
          <w:p w14:paraId="3505B3ED" w14:textId="77777777" w:rsidR="004B5353" w:rsidRDefault="00000000">
            <w:pPr>
              <w:keepNext/>
              <w:keepLines/>
              <w:spacing w:after="0" w:line="240" w:lineRule="auto"/>
            </w:pPr>
            <w:r>
              <w:rPr>
                <w:rFonts w:ascii="Calibri" w:eastAsia="Calibri" w:hAnsi="Calibri" w:cs="Calibri"/>
                <w:color w:val="000000"/>
                <w:sz w:val="20"/>
              </w:rPr>
              <w:t>Jugular</w:t>
            </w:r>
          </w:p>
        </w:tc>
        <w:tc>
          <w:tcPr>
            <w:tcW w:w="720" w:type="dxa"/>
            <w:vAlign w:val="center"/>
          </w:tcPr>
          <w:p w14:paraId="36D45594" w14:textId="77777777" w:rsidR="004B5353" w:rsidRDefault="00000000">
            <w:pPr>
              <w:keepNext/>
              <w:keepLines/>
              <w:spacing w:after="0" w:line="240" w:lineRule="auto"/>
              <w:jc w:val="center"/>
            </w:pPr>
            <w:r>
              <w:rPr>
                <w:rFonts w:ascii="Calibri" w:eastAsia="Calibri" w:hAnsi="Calibri" w:cs="Calibri"/>
                <w:color w:val="000000"/>
                <w:sz w:val="20"/>
              </w:rPr>
              <w:t>188</w:t>
            </w:r>
          </w:p>
        </w:tc>
        <w:tc>
          <w:tcPr>
            <w:tcW w:w="1368" w:type="dxa"/>
            <w:vAlign w:val="center"/>
          </w:tcPr>
          <w:p w14:paraId="0AE3D760" w14:textId="77777777" w:rsidR="004B5353" w:rsidRDefault="00000000">
            <w:pPr>
              <w:keepNext/>
              <w:keepLines/>
              <w:spacing w:after="0" w:line="240" w:lineRule="auto"/>
              <w:jc w:val="center"/>
            </w:pPr>
            <w:r>
              <w:rPr>
                <w:rFonts w:ascii="Calibri" w:eastAsia="Calibri" w:hAnsi="Calibri" w:cs="Calibri"/>
                <w:color w:val="000000"/>
                <w:sz w:val="20"/>
              </w:rPr>
              <w:t>29 (15.4)</w:t>
            </w:r>
          </w:p>
        </w:tc>
        <w:tc>
          <w:tcPr>
            <w:tcW w:w="1656" w:type="dxa"/>
            <w:vAlign w:val="center"/>
          </w:tcPr>
          <w:p w14:paraId="61CA31B9" w14:textId="77777777" w:rsidR="004B5353" w:rsidRDefault="00000000">
            <w:pPr>
              <w:keepNext/>
              <w:keepLines/>
              <w:spacing w:after="0" w:line="240" w:lineRule="auto"/>
              <w:jc w:val="center"/>
            </w:pPr>
            <w:r>
              <w:rPr>
                <w:rFonts w:ascii="Calibri" w:eastAsia="Calibri" w:hAnsi="Calibri" w:cs="Calibri"/>
                <w:color w:val="000000"/>
                <w:sz w:val="20"/>
              </w:rPr>
              <w:t>159 (84.6)</w:t>
            </w:r>
          </w:p>
        </w:tc>
        <w:tc>
          <w:tcPr>
            <w:tcW w:w="1728" w:type="dxa"/>
            <w:gridSpan w:val="3"/>
            <w:vAlign w:val="center"/>
          </w:tcPr>
          <w:p w14:paraId="24E27AB9" w14:textId="77777777" w:rsidR="004B5353" w:rsidRDefault="00000000">
            <w:pPr>
              <w:keepNext/>
              <w:keepLines/>
              <w:spacing w:after="0" w:line="240" w:lineRule="auto"/>
              <w:jc w:val="center"/>
            </w:pPr>
            <w:r>
              <w:rPr>
                <w:rFonts w:ascii="Calibri" w:eastAsia="Calibri" w:hAnsi="Calibri" w:cs="Calibri"/>
                <w:color w:val="000000"/>
                <w:sz w:val="20"/>
              </w:rPr>
              <w:t>8 [4–16]</w:t>
            </w:r>
          </w:p>
        </w:tc>
        <w:tc>
          <w:tcPr>
            <w:tcW w:w="2664" w:type="dxa"/>
            <w:gridSpan w:val="3"/>
            <w:vAlign w:val="center"/>
          </w:tcPr>
          <w:p w14:paraId="1F8ACFFE" w14:textId="77777777" w:rsidR="004B5353" w:rsidRDefault="00000000">
            <w:pPr>
              <w:keepNext/>
              <w:keepLines/>
              <w:spacing w:after="0" w:line="240" w:lineRule="auto"/>
              <w:jc w:val="center"/>
            </w:pPr>
            <w:r>
              <w:rPr>
                <w:rFonts w:ascii="Calibri" w:eastAsia="Calibri" w:hAnsi="Calibri" w:cs="Calibri"/>
                <w:color w:val="000000"/>
                <w:sz w:val="20"/>
              </w:rPr>
              <w:t>4.3 (2.0–7.8)</w:t>
            </w:r>
          </w:p>
        </w:tc>
        <w:tc>
          <w:tcPr>
            <w:tcW w:w="2664" w:type="dxa"/>
            <w:gridSpan w:val="3"/>
            <w:vAlign w:val="center"/>
          </w:tcPr>
          <w:p w14:paraId="2B5A1360" w14:textId="77777777" w:rsidR="004B5353" w:rsidRDefault="00000000">
            <w:pPr>
              <w:keepNext/>
              <w:keepLines/>
              <w:spacing w:after="0" w:line="240" w:lineRule="auto"/>
              <w:jc w:val="center"/>
            </w:pPr>
            <w:r>
              <w:rPr>
                <w:rFonts w:ascii="Calibri" w:eastAsia="Calibri" w:hAnsi="Calibri" w:cs="Calibri"/>
                <w:color w:val="000000"/>
                <w:sz w:val="20"/>
              </w:rPr>
              <w:t>11.2 (7.3–16.0)</w:t>
            </w:r>
          </w:p>
        </w:tc>
      </w:tr>
      <w:tr w:rsidR="004B5353" w14:paraId="2FC8EE09" w14:textId="77777777">
        <w:trPr>
          <w:cantSplit/>
          <w:jc w:val="center"/>
        </w:trPr>
        <w:tc>
          <w:tcPr>
            <w:tcW w:w="2880" w:type="dxa"/>
            <w:vAlign w:val="center"/>
          </w:tcPr>
          <w:p w14:paraId="30F50BDC" w14:textId="77777777" w:rsidR="004B5353" w:rsidRDefault="00000000">
            <w:pPr>
              <w:keepNext/>
              <w:keepLines/>
              <w:spacing w:after="0" w:line="240" w:lineRule="auto"/>
            </w:pPr>
            <w:r>
              <w:rPr>
                <w:rFonts w:ascii="Calibri" w:eastAsia="Calibri" w:hAnsi="Calibri" w:cs="Calibri"/>
                <w:color w:val="000000"/>
                <w:sz w:val="20"/>
              </w:rPr>
              <w:t>Femoral</w:t>
            </w:r>
          </w:p>
        </w:tc>
        <w:tc>
          <w:tcPr>
            <w:tcW w:w="720" w:type="dxa"/>
            <w:vAlign w:val="center"/>
          </w:tcPr>
          <w:p w14:paraId="43D4BACF" w14:textId="77777777" w:rsidR="004B5353" w:rsidRDefault="00000000">
            <w:pPr>
              <w:keepNext/>
              <w:keepLines/>
              <w:spacing w:after="0" w:line="240" w:lineRule="auto"/>
              <w:jc w:val="center"/>
            </w:pPr>
            <w:r>
              <w:rPr>
                <w:rFonts w:ascii="Calibri" w:eastAsia="Calibri" w:hAnsi="Calibri" w:cs="Calibri"/>
                <w:color w:val="000000"/>
                <w:sz w:val="20"/>
              </w:rPr>
              <w:t>383</w:t>
            </w:r>
          </w:p>
        </w:tc>
        <w:tc>
          <w:tcPr>
            <w:tcW w:w="1368" w:type="dxa"/>
            <w:vAlign w:val="center"/>
          </w:tcPr>
          <w:p w14:paraId="530F6067" w14:textId="77777777" w:rsidR="004B5353" w:rsidRDefault="00000000">
            <w:pPr>
              <w:keepNext/>
              <w:keepLines/>
              <w:spacing w:after="0" w:line="240" w:lineRule="auto"/>
              <w:jc w:val="center"/>
            </w:pPr>
            <w:r>
              <w:rPr>
                <w:rFonts w:ascii="Calibri" w:eastAsia="Calibri" w:hAnsi="Calibri" w:cs="Calibri"/>
                <w:color w:val="000000"/>
                <w:sz w:val="20"/>
              </w:rPr>
              <w:t>80 (20.9)</w:t>
            </w:r>
          </w:p>
        </w:tc>
        <w:tc>
          <w:tcPr>
            <w:tcW w:w="1656" w:type="dxa"/>
            <w:vAlign w:val="center"/>
          </w:tcPr>
          <w:p w14:paraId="0FF23B05" w14:textId="77777777" w:rsidR="004B5353" w:rsidRDefault="00000000">
            <w:pPr>
              <w:keepNext/>
              <w:keepLines/>
              <w:spacing w:after="0" w:line="240" w:lineRule="auto"/>
              <w:jc w:val="center"/>
            </w:pPr>
            <w:r>
              <w:rPr>
                <w:rFonts w:ascii="Calibri" w:eastAsia="Calibri" w:hAnsi="Calibri" w:cs="Calibri"/>
                <w:color w:val="000000"/>
                <w:sz w:val="20"/>
              </w:rPr>
              <w:t>303 (79.1)</w:t>
            </w:r>
          </w:p>
        </w:tc>
        <w:tc>
          <w:tcPr>
            <w:tcW w:w="1728" w:type="dxa"/>
            <w:gridSpan w:val="3"/>
            <w:vAlign w:val="center"/>
          </w:tcPr>
          <w:p w14:paraId="5ACEDBFF" w14:textId="77777777" w:rsidR="004B5353" w:rsidRDefault="00000000">
            <w:pPr>
              <w:keepNext/>
              <w:keepLines/>
              <w:spacing w:after="0" w:line="240" w:lineRule="auto"/>
              <w:jc w:val="center"/>
            </w:pPr>
            <w:r>
              <w:rPr>
                <w:rFonts w:ascii="Calibri" w:eastAsia="Calibri" w:hAnsi="Calibri" w:cs="Calibri"/>
                <w:color w:val="000000"/>
                <w:sz w:val="20"/>
              </w:rPr>
              <w:t>9 [5–19]</w:t>
            </w:r>
          </w:p>
        </w:tc>
        <w:tc>
          <w:tcPr>
            <w:tcW w:w="2664" w:type="dxa"/>
            <w:gridSpan w:val="3"/>
            <w:vAlign w:val="center"/>
          </w:tcPr>
          <w:p w14:paraId="4CDAB3C8" w14:textId="77777777" w:rsidR="004B5353" w:rsidRDefault="00000000">
            <w:pPr>
              <w:keepNext/>
              <w:keepLines/>
              <w:spacing w:after="0" w:line="240" w:lineRule="auto"/>
              <w:jc w:val="center"/>
            </w:pPr>
            <w:r>
              <w:rPr>
                <w:rFonts w:ascii="Calibri" w:eastAsia="Calibri" w:hAnsi="Calibri" w:cs="Calibri"/>
                <w:color w:val="000000"/>
                <w:sz w:val="20"/>
              </w:rPr>
              <w:t>7.3 (5.0–10.1)</w:t>
            </w:r>
          </w:p>
        </w:tc>
        <w:tc>
          <w:tcPr>
            <w:tcW w:w="2664" w:type="dxa"/>
            <w:gridSpan w:val="3"/>
            <w:vAlign w:val="center"/>
          </w:tcPr>
          <w:p w14:paraId="7D2FD9F1" w14:textId="77777777" w:rsidR="004B5353" w:rsidRDefault="00000000">
            <w:pPr>
              <w:keepNext/>
              <w:keepLines/>
              <w:spacing w:after="0" w:line="240" w:lineRule="auto"/>
              <w:jc w:val="center"/>
            </w:pPr>
            <w:r>
              <w:rPr>
                <w:rFonts w:ascii="Calibri" w:eastAsia="Calibri" w:hAnsi="Calibri" w:cs="Calibri"/>
                <w:color w:val="000000"/>
                <w:sz w:val="20"/>
              </w:rPr>
              <w:t>13.1 (10.0–16.6)</w:t>
            </w:r>
          </w:p>
        </w:tc>
      </w:tr>
      <w:tr w:rsidR="004B5353" w14:paraId="541B91E8" w14:textId="77777777">
        <w:trPr>
          <w:cantSplit/>
          <w:jc w:val="center"/>
        </w:trPr>
        <w:tc>
          <w:tcPr>
            <w:tcW w:w="2880" w:type="dxa"/>
            <w:vAlign w:val="center"/>
          </w:tcPr>
          <w:p w14:paraId="4A608FEF" w14:textId="77777777" w:rsidR="004B5353" w:rsidRDefault="00000000">
            <w:pPr>
              <w:keepLines/>
              <w:spacing w:after="0" w:line="240" w:lineRule="auto"/>
            </w:pPr>
            <w:r>
              <w:rPr>
                <w:rFonts w:ascii="Calibri" w:eastAsia="Calibri" w:hAnsi="Calibri" w:cs="Calibri"/>
                <w:color w:val="000000"/>
                <w:sz w:val="20"/>
              </w:rPr>
              <w:t>Subclavian</w:t>
            </w:r>
          </w:p>
        </w:tc>
        <w:tc>
          <w:tcPr>
            <w:tcW w:w="720" w:type="dxa"/>
            <w:vAlign w:val="center"/>
          </w:tcPr>
          <w:p w14:paraId="757E944B" w14:textId="77777777" w:rsidR="004B5353" w:rsidRDefault="00000000">
            <w:pPr>
              <w:keepLines/>
              <w:spacing w:after="0" w:line="240" w:lineRule="auto"/>
              <w:jc w:val="center"/>
            </w:pPr>
            <w:r>
              <w:rPr>
                <w:rFonts w:ascii="Calibri" w:eastAsia="Calibri" w:hAnsi="Calibri" w:cs="Calibri"/>
                <w:color w:val="000000"/>
                <w:sz w:val="20"/>
              </w:rPr>
              <w:t>30</w:t>
            </w:r>
          </w:p>
        </w:tc>
        <w:tc>
          <w:tcPr>
            <w:tcW w:w="1368" w:type="dxa"/>
            <w:vAlign w:val="center"/>
          </w:tcPr>
          <w:p w14:paraId="140C0499" w14:textId="77777777" w:rsidR="004B5353" w:rsidRDefault="00000000">
            <w:pPr>
              <w:keepLines/>
              <w:spacing w:after="0" w:line="240" w:lineRule="auto"/>
              <w:jc w:val="center"/>
            </w:pPr>
            <w:r>
              <w:rPr>
                <w:rFonts w:ascii="Calibri" w:eastAsia="Calibri" w:hAnsi="Calibri" w:cs="Calibri"/>
                <w:color w:val="000000"/>
                <w:sz w:val="20"/>
              </w:rPr>
              <w:t>12 (40.0)</w:t>
            </w:r>
          </w:p>
        </w:tc>
        <w:tc>
          <w:tcPr>
            <w:tcW w:w="1656" w:type="dxa"/>
            <w:vAlign w:val="center"/>
          </w:tcPr>
          <w:p w14:paraId="2C192518" w14:textId="77777777" w:rsidR="004B5353" w:rsidRDefault="00000000">
            <w:pPr>
              <w:keepLines/>
              <w:spacing w:after="0" w:line="240" w:lineRule="auto"/>
              <w:jc w:val="center"/>
            </w:pPr>
            <w:r>
              <w:rPr>
                <w:rFonts w:ascii="Calibri" w:eastAsia="Calibri" w:hAnsi="Calibri" w:cs="Calibri"/>
                <w:color w:val="000000"/>
                <w:sz w:val="20"/>
              </w:rPr>
              <w:t>18 (60.0)</w:t>
            </w:r>
          </w:p>
        </w:tc>
        <w:tc>
          <w:tcPr>
            <w:tcW w:w="1728" w:type="dxa"/>
            <w:gridSpan w:val="3"/>
            <w:vAlign w:val="center"/>
          </w:tcPr>
          <w:p w14:paraId="5BB0D672" w14:textId="77777777" w:rsidR="004B5353" w:rsidRDefault="00000000">
            <w:pPr>
              <w:keepLines/>
              <w:spacing w:after="0" w:line="240" w:lineRule="auto"/>
              <w:jc w:val="center"/>
            </w:pPr>
            <w:r>
              <w:rPr>
                <w:rFonts w:ascii="Calibri" w:eastAsia="Calibri" w:hAnsi="Calibri" w:cs="Calibri"/>
                <w:color w:val="000000"/>
                <w:sz w:val="20"/>
              </w:rPr>
              <w:t>16.0 [5.5–33.2]</w:t>
            </w:r>
          </w:p>
        </w:tc>
        <w:tc>
          <w:tcPr>
            <w:tcW w:w="2664" w:type="dxa"/>
            <w:gridSpan w:val="3"/>
            <w:vAlign w:val="center"/>
          </w:tcPr>
          <w:p w14:paraId="2A1FAD41" w14:textId="77777777" w:rsidR="004B5353" w:rsidRDefault="00000000">
            <w:pPr>
              <w:keepLines/>
              <w:spacing w:after="0" w:line="240" w:lineRule="auto"/>
              <w:jc w:val="center"/>
            </w:pPr>
            <w:r>
              <w:rPr>
                <w:rFonts w:ascii="Calibri" w:eastAsia="Calibri" w:hAnsi="Calibri" w:cs="Calibri"/>
                <w:color w:val="000000"/>
                <w:sz w:val="20"/>
              </w:rPr>
              <w:t>6.7 (1.2–19.2)</w:t>
            </w:r>
          </w:p>
        </w:tc>
        <w:tc>
          <w:tcPr>
            <w:tcW w:w="2664" w:type="dxa"/>
            <w:gridSpan w:val="3"/>
            <w:vAlign w:val="center"/>
          </w:tcPr>
          <w:p w14:paraId="1C46684A" w14:textId="77777777" w:rsidR="004B5353" w:rsidRDefault="00000000">
            <w:pPr>
              <w:keepLines/>
              <w:spacing w:after="0" w:line="240" w:lineRule="auto"/>
              <w:jc w:val="center"/>
            </w:pPr>
            <w:r>
              <w:rPr>
                <w:rFonts w:ascii="Calibri" w:eastAsia="Calibri" w:hAnsi="Calibri" w:cs="Calibri"/>
                <w:color w:val="000000"/>
                <w:sz w:val="20"/>
              </w:rPr>
              <w:t>13.3 (4.2–27.8)</w:t>
            </w:r>
          </w:p>
        </w:tc>
      </w:tr>
      <w:tr w:rsidR="004B5353" w14:paraId="2385E7C4" w14:textId="77777777">
        <w:trPr>
          <w:cantSplit/>
          <w:jc w:val="center"/>
        </w:trPr>
        <w:tc>
          <w:tcPr>
            <w:tcW w:w="13680" w:type="dxa"/>
            <w:gridSpan w:val="13"/>
            <w:shd w:val="clear" w:color="auto" w:fill="EDF3F7"/>
            <w:vAlign w:val="center"/>
          </w:tcPr>
          <w:p w14:paraId="40B965DF" w14:textId="77777777" w:rsidR="004B5353" w:rsidRDefault="00000000">
            <w:pPr>
              <w:keepNext/>
              <w:keepLines/>
              <w:spacing w:after="0" w:line="240" w:lineRule="auto"/>
            </w:pPr>
            <w:r>
              <w:rPr>
                <w:rFonts w:ascii="Calibri" w:eastAsia="Calibri" w:hAnsi="Calibri" w:cs="Calibri"/>
                <w:b/>
                <w:color w:val="000000"/>
                <w:sz w:val="20"/>
              </w:rPr>
              <w:t>B. Adjusted cause-specific Cox and conventional Fine–Gray models</w:t>
            </w:r>
          </w:p>
        </w:tc>
      </w:tr>
      <w:tr w:rsidR="004B5353" w14:paraId="0AAE0D80" w14:textId="77777777">
        <w:trPr>
          <w:cantSplit/>
          <w:jc w:val="center"/>
        </w:trPr>
        <w:tc>
          <w:tcPr>
            <w:tcW w:w="3600" w:type="dxa"/>
            <w:gridSpan w:val="2"/>
            <w:shd w:val="clear" w:color="auto" w:fill="D9EAF7"/>
            <w:vAlign w:val="center"/>
          </w:tcPr>
          <w:p w14:paraId="6319162E" w14:textId="77777777" w:rsidR="004B5353" w:rsidRDefault="00000000">
            <w:pPr>
              <w:keepNext/>
              <w:keepLines/>
              <w:spacing w:after="0" w:line="240" w:lineRule="auto"/>
              <w:jc w:val="center"/>
            </w:pPr>
            <w:r>
              <w:rPr>
                <w:rFonts w:ascii="Calibri" w:eastAsia="Calibri" w:hAnsi="Calibri" w:cs="Calibri"/>
                <w:b/>
                <w:color w:val="000000"/>
                <w:sz w:val="19"/>
              </w:rPr>
              <w:t>Comparison</w:t>
            </w:r>
          </w:p>
        </w:tc>
        <w:tc>
          <w:tcPr>
            <w:tcW w:w="3744" w:type="dxa"/>
            <w:gridSpan w:val="3"/>
            <w:shd w:val="clear" w:color="auto" w:fill="D9EAF7"/>
            <w:vAlign w:val="center"/>
          </w:tcPr>
          <w:p w14:paraId="5474C398" w14:textId="77777777" w:rsidR="004B5353" w:rsidRDefault="00000000">
            <w:pPr>
              <w:keepNext/>
              <w:keepLines/>
              <w:spacing w:after="0" w:line="240" w:lineRule="auto"/>
              <w:jc w:val="center"/>
            </w:pPr>
            <w:r>
              <w:rPr>
                <w:rFonts w:ascii="Calibri" w:eastAsia="Calibri" w:hAnsi="Calibri" w:cs="Calibri"/>
                <w:b/>
                <w:color w:val="000000"/>
                <w:sz w:val="19"/>
              </w:rPr>
              <w:t>Cause-specific HR (95% CI)</w:t>
            </w:r>
          </w:p>
        </w:tc>
        <w:tc>
          <w:tcPr>
            <w:tcW w:w="1296" w:type="dxa"/>
            <w:gridSpan w:val="3"/>
            <w:shd w:val="clear" w:color="auto" w:fill="D9EAF7"/>
            <w:vAlign w:val="center"/>
          </w:tcPr>
          <w:p w14:paraId="1E8072BD" w14:textId="77777777" w:rsidR="004B5353" w:rsidRDefault="00000000">
            <w:pPr>
              <w:keepNext/>
              <w:keepLines/>
              <w:spacing w:after="0" w:line="240" w:lineRule="auto"/>
              <w:jc w:val="center"/>
            </w:pPr>
            <w:r>
              <w:rPr>
                <w:rFonts w:ascii="Calibri" w:eastAsia="Calibri" w:hAnsi="Calibri" w:cs="Calibri"/>
                <w:b/>
                <w:color w:val="000000"/>
                <w:sz w:val="19"/>
              </w:rPr>
              <w:t>P</w:t>
            </w:r>
          </w:p>
        </w:tc>
        <w:tc>
          <w:tcPr>
            <w:tcW w:w="3744" w:type="dxa"/>
            <w:gridSpan w:val="4"/>
            <w:shd w:val="clear" w:color="auto" w:fill="D9EAF7"/>
            <w:vAlign w:val="center"/>
          </w:tcPr>
          <w:p w14:paraId="40BE924E" w14:textId="77777777" w:rsidR="004B5353" w:rsidRDefault="00000000">
            <w:pPr>
              <w:keepNext/>
              <w:keepLines/>
              <w:spacing w:after="0" w:line="240" w:lineRule="auto"/>
              <w:jc w:val="center"/>
            </w:pPr>
            <w:r>
              <w:rPr>
                <w:rFonts w:ascii="Calibri" w:eastAsia="Calibri" w:hAnsi="Calibri" w:cs="Calibri"/>
                <w:b/>
                <w:color w:val="000000"/>
                <w:sz w:val="19"/>
              </w:rPr>
              <w:t>Fine–Gray sHR (95% CI)</w:t>
            </w:r>
          </w:p>
        </w:tc>
        <w:tc>
          <w:tcPr>
            <w:tcW w:w="1296" w:type="dxa"/>
            <w:shd w:val="clear" w:color="auto" w:fill="D9EAF7"/>
            <w:vAlign w:val="center"/>
          </w:tcPr>
          <w:p w14:paraId="69FF8569" w14:textId="77777777" w:rsidR="004B5353" w:rsidRDefault="00000000">
            <w:pPr>
              <w:keepNext/>
              <w:keepLines/>
              <w:spacing w:after="0" w:line="240" w:lineRule="auto"/>
              <w:jc w:val="center"/>
            </w:pPr>
            <w:r>
              <w:rPr>
                <w:rFonts w:ascii="Calibri" w:eastAsia="Calibri" w:hAnsi="Calibri" w:cs="Calibri"/>
                <w:b/>
                <w:color w:val="000000"/>
                <w:sz w:val="19"/>
              </w:rPr>
              <w:t>P</w:t>
            </w:r>
          </w:p>
        </w:tc>
      </w:tr>
      <w:tr w:rsidR="004B5353" w14:paraId="7311263E" w14:textId="77777777">
        <w:trPr>
          <w:cantSplit/>
          <w:jc w:val="center"/>
        </w:trPr>
        <w:tc>
          <w:tcPr>
            <w:tcW w:w="3600" w:type="dxa"/>
            <w:gridSpan w:val="2"/>
            <w:vAlign w:val="center"/>
          </w:tcPr>
          <w:p w14:paraId="5248A0BF" w14:textId="77777777" w:rsidR="004B5353" w:rsidRDefault="00000000">
            <w:pPr>
              <w:keepNext/>
              <w:keepLines/>
              <w:spacing w:after="0" w:line="240" w:lineRule="auto"/>
            </w:pPr>
            <w:r>
              <w:rPr>
                <w:rFonts w:ascii="Calibri" w:eastAsia="Calibri" w:hAnsi="Calibri" w:cs="Calibri"/>
                <w:color w:val="000000"/>
                <w:sz w:val="20"/>
              </w:rPr>
              <w:t>Standard CVC vs dialysis</w:t>
            </w:r>
          </w:p>
        </w:tc>
        <w:tc>
          <w:tcPr>
            <w:tcW w:w="3744" w:type="dxa"/>
            <w:gridSpan w:val="3"/>
            <w:vAlign w:val="center"/>
          </w:tcPr>
          <w:p w14:paraId="474B9089" w14:textId="77777777" w:rsidR="004B5353" w:rsidRDefault="00000000">
            <w:pPr>
              <w:keepNext/>
              <w:keepLines/>
              <w:spacing w:after="0" w:line="240" w:lineRule="auto"/>
              <w:jc w:val="center"/>
            </w:pPr>
            <w:r>
              <w:rPr>
                <w:rFonts w:ascii="Calibri" w:eastAsia="Calibri" w:hAnsi="Calibri" w:cs="Calibri"/>
                <w:color w:val="000000"/>
                <w:sz w:val="20"/>
              </w:rPr>
              <w:t>1.47 (0.76–2.84)</w:t>
            </w:r>
          </w:p>
        </w:tc>
        <w:tc>
          <w:tcPr>
            <w:tcW w:w="1296" w:type="dxa"/>
            <w:gridSpan w:val="3"/>
            <w:vAlign w:val="center"/>
          </w:tcPr>
          <w:p w14:paraId="38F4A6BF" w14:textId="77777777" w:rsidR="004B5353" w:rsidRDefault="00000000">
            <w:pPr>
              <w:keepNext/>
              <w:keepLines/>
              <w:spacing w:after="0" w:line="240" w:lineRule="auto"/>
              <w:jc w:val="center"/>
            </w:pPr>
            <w:r>
              <w:rPr>
                <w:rFonts w:ascii="Calibri" w:eastAsia="Calibri" w:hAnsi="Calibri" w:cs="Calibri"/>
                <w:color w:val="000000"/>
                <w:sz w:val="20"/>
              </w:rPr>
              <w:t>0.256</w:t>
            </w:r>
          </w:p>
        </w:tc>
        <w:tc>
          <w:tcPr>
            <w:tcW w:w="3744" w:type="dxa"/>
            <w:gridSpan w:val="4"/>
            <w:vAlign w:val="center"/>
          </w:tcPr>
          <w:p w14:paraId="1CADB219" w14:textId="77777777" w:rsidR="004B5353" w:rsidRDefault="00000000">
            <w:pPr>
              <w:keepNext/>
              <w:keepLines/>
              <w:spacing w:after="0" w:line="240" w:lineRule="auto"/>
              <w:jc w:val="center"/>
            </w:pPr>
            <w:r>
              <w:rPr>
                <w:rFonts w:ascii="Calibri" w:eastAsia="Calibri" w:hAnsi="Calibri" w:cs="Calibri"/>
                <w:color w:val="000000"/>
                <w:sz w:val="20"/>
              </w:rPr>
              <w:t>3.76 (1.89–7.49)</w:t>
            </w:r>
          </w:p>
        </w:tc>
        <w:tc>
          <w:tcPr>
            <w:tcW w:w="1296" w:type="dxa"/>
            <w:vAlign w:val="center"/>
          </w:tcPr>
          <w:p w14:paraId="4E963236" w14:textId="77777777" w:rsidR="004B5353" w:rsidRDefault="00000000">
            <w:pPr>
              <w:keepNext/>
              <w:keepLines/>
              <w:spacing w:after="0" w:line="240" w:lineRule="auto"/>
              <w:jc w:val="center"/>
            </w:pPr>
            <w:r>
              <w:rPr>
                <w:rFonts w:ascii="Calibri" w:eastAsia="Calibri" w:hAnsi="Calibri" w:cs="Calibri"/>
                <w:color w:val="000000"/>
                <w:sz w:val="20"/>
              </w:rPr>
              <w:t>&lt;0.001</w:t>
            </w:r>
          </w:p>
        </w:tc>
      </w:tr>
      <w:tr w:rsidR="004B5353" w14:paraId="0D8F2D1F" w14:textId="77777777">
        <w:trPr>
          <w:cantSplit/>
          <w:jc w:val="center"/>
        </w:trPr>
        <w:tc>
          <w:tcPr>
            <w:tcW w:w="3600" w:type="dxa"/>
            <w:gridSpan w:val="2"/>
            <w:vAlign w:val="center"/>
          </w:tcPr>
          <w:p w14:paraId="73F5168D" w14:textId="77777777" w:rsidR="004B5353" w:rsidRDefault="00000000">
            <w:pPr>
              <w:keepNext/>
              <w:keepLines/>
              <w:spacing w:after="0" w:line="240" w:lineRule="auto"/>
            </w:pPr>
            <w:r>
              <w:rPr>
                <w:rFonts w:ascii="Calibri" w:eastAsia="Calibri" w:hAnsi="Calibri" w:cs="Calibri"/>
                <w:color w:val="000000"/>
                <w:sz w:val="20"/>
              </w:rPr>
              <w:t>Femoral vs jugular</w:t>
            </w:r>
          </w:p>
        </w:tc>
        <w:tc>
          <w:tcPr>
            <w:tcW w:w="3744" w:type="dxa"/>
            <w:gridSpan w:val="3"/>
            <w:vAlign w:val="center"/>
          </w:tcPr>
          <w:p w14:paraId="1C6F0CFF" w14:textId="77777777" w:rsidR="004B5353" w:rsidRDefault="00000000">
            <w:pPr>
              <w:keepNext/>
              <w:keepLines/>
              <w:spacing w:after="0" w:line="240" w:lineRule="auto"/>
              <w:jc w:val="center"/>
            </w:pPr>
            <w:r>
              <w:rPr>
                <w:rFonts w:ascii="Calibri" w:eastAsia="Calibri" w:hAnsi="Calibri" w:cs="Calibri"/>
                <w:color w:val="000000"/>
                <w:sz w:val="20"/>
              </w:rPr>
              <w:t>1.43 (0.86–2.37)</w:t>
            </w:r>
          </w:p>
        </w:tc>
        <w:tc>
          <w:tcPr>
            <w:tcW w:w="1296" w:type="dxa"/>
            <w:gridSpan w:val="3"/>
            <w:vAlign w:val="center"/>
          </w:tcPr>
          <w:p w14:paraId="6B524A28" w14:textId="77777777" w:rsidR="004B5353" w:rsidRDefault="00000000">
            <w:pPr>
              <w:keepNext/>
              <w:keepLines/>
              <w:spacing w:after="0" w:line="240" w:lineRule="auto"/>
              <w:jc w:val="center"/>
            </w:pPr>
            <w:r>
              <w:rPr>
                <w:rFonts w:ascii="Calibri" w:eastAsia="Calibri" w:hAnsi="Calibri" w:cs="Calibri"/>
                <w:color w:val="000000"/>
                <w:sz w:val="20"/>
              </w:rPr>
              <w:t>0.173</w:t>
            </w:r>
          </w:p>
        </w:tc>
        <w:tc>
          <w:tcPr>
            <w:tcW w:w="3744" w:type="dxa"/>
            <w:gridSpan w:val="4"/>
            <w:vAlign w:val="center"/>
          </w:tcPr>
          <w:p w14:paraId="4EF3D139" w14:textId="77777777" w:rsidR="004B5353" w:rsidRDefault="00000000">
            <w:pPr>
              <w:keepNext/>
              <w:keepLines/>
              <w:spacing w:after="0" w:line="240" w:lineRule="auto"/>
              <w:jc w:val="center"/>
            </w:pPr>
            <w:r>
              <w:rPr>
                <w:rFonts w:ascii="Calibri" w:eastAsia="Calibri" w:hAnsi="Calibri" w:cs="Calibri"/>
                <w:color w:val="000000"/>
                <w:sz w:val="20"/>
              </w:rPr>
              <w:t>1.75 (1.07–2.86)</w:t>
            </w:r>
          </w:p>
        </w:tc>
        <w:tc>
          <w:tcPr>
            <w:tcW w:w="1296" w:type="dxa"/>
            <w:vAlign w:val="center"/>
          </w:tcPr>
          <w:p w14:paraId="7AAE58BC" w14:textId="77777777" w:rsidR="004B5353" w:rsidRDefault="00000000">
            <w:pPr>
              <w:keepNext/>
              <w:keepLines/>
              <w:spacing w:after="0" w:line="240" w:lineRule="auto"/>
              <w:jc w:val="center"/>
            </w:pPr>
            <w:r>
              <w:rPr>
                <w:rFonts w:ascii="Calibri" w:eastAsia="Calibri" w:hAnsi="Calibri" w:cs="Calibri"/>
                <w:color w:val="000000"/>
                <w:sz w:val="20"/>
              </w:rPr>
              <w:t>0.027</w:t>
            </w:r>
          </w:p>
        </w:tc>
      </w:tr>
      <w:tr w:rsidR="004B5353" w14:paraId="7B913444" w14:textId="77777777">
        <w:trPr>
          <w:cantSplit/>
          <w:jc w:val="center"/>
        </w:trPr>
        <w:tc>
          <w:tcPr>
            <w:tcW w:w="3600" w:type="dxa"/>
            <w:gridSpan w:val="2"/>
            <w:vAlign w:val="center"/>
          </w:tcPr>
          <w:p w14:paraId="48C2A54D" w14:textId="77777777" w:rsidR="004B5353" w:rsidRDefault="00000000">
            <w:pPr>
              <w:keepLines/>
              <w:spacing w:after="0" w:line="240" w:lineRule="auto"/>
            </w:pPr>
            <w:r>
              <w:rPr>
                <w:rFonts w:ascii="Calibri" w:eastAsia="Calibri" w:hAnsi="Calibri" w:cs="Calibri"/>
                <w:color w:val="000000"/>
                <w:sz w:val="20"/>
              </w:rPr>
              <w:t>Subclavian vs jugular</w:t>
            </w:r>
          </w:p>
        </w:tc>
        <w:tc>
          <w:tcPr>
            <w:tcW w:w="3744" w:type="dxa"/>
            <w:gridSpan w:val="3"/>
            <w:vAlign w:val="center"/>
          </w:tcPr>
          <w:p w14:paraId="6E4C46CC" w14:textId="77777777" w:rsidR="004B5353" w:rsidRDefault="00000000">
            <w:pPr>
              <w:keepLines/>
              <w:spacing w:after="0" w:line="240" w:lineRule="auto"/>
              <w:jc w:val="center"/>
            </w:pPr>
            <w:r>
              <w:rPr>
                <w:rFonts w:ascii="Calibri" w:eastAsia="Calibri" w:hAnsi="Calibri" w:cs="Calibri"/>
                <w:color w:val="000000"/>
                <w:sz w:val="20"/>
              </w:rPr>
              <w:t>1.67 (0.69–4.04)</w:t>
            </w:r>
          </w:p>
        </w:tc>
        <w:tc>
          <w:tcPr>
            <w:tcW w:w="1296" w:type="dxa"/>
            <w:gridSpan w:val="3"/>
            <w:vAlign w:val="center"/>
          </w:tcPr>
          <w:p w14:paraId="7F44F96A" w14:textId="77777777" w:rsidR="004B5353" w:rsidRDefault="00000000">
            <w:pPr>
              <w:keepLines/>
              <w:spacing w:after="0" w:line="240" w:lineRule="auto"/>
              <w:jc w:val="center"/>
            </w:pPr>
            <w:r>
              <w:rPr>
                <w:rFonts w:ascii="Calibri" w:eastAsia="Calibri" w:hAnsi="Calibri" w:cs="Calibri"/>
                <w:color w:val="000000"/>
                <w:sz w:val="20"/>
              </w:rPr>
              <w:t>0.256</w:t>
            </w:r>
          </w:p>
        </w:tc>
        <w:tc>
          <w:tcPr>
            <w:tcW w:w="3744" w:type="dxa"/>
            <w:gridSpan w:val="4"/>
            <w:vAlign w:val="center"/>
          </w:tcPr>
          <w:p w14:paraId="14215AB6" w14:textId="77777777" w:rsidR="004B5353" w:rsidRDefault="00000000">
            <w:pPr>
              <w:keepLines/>
              <w:spacing w:after="0" w:line="240" w:lineRule="auto"/>
              <w:jc w:val="center"/>
            </w:pPr>
            <w:r>
              <w:rPr>
                <w:rFonts w:ascii="Calibri" w:eastAsia="Calibri" w:hAnsi="Calibri" w:cs="Calibri"/>
                <w:color w:val="000000"/>
                <w:sz w:val="20"/>
              </w:rPr>
              <w:t>2.46 (0.91–6.66)</w:t>
            </w:r>
          </w:p>
        </w:tc>
        <w:tc>
          <w:tcPr>
            <w:tcW w:w="1296" w:type="dxa"/>
            <w:vAlign w:val="center"/>
          </w:tcPr>
          <w:p w14:paraId="5EA1ADB0" w14:textId="77777777" w:rsidR="004B5353" w:rsidRDefault="00000000">
            <w:pPr>
              <w:keepLines/>
              <w:spacing w:after="0" w:line="240" w:lineRule="auto"/>
              <w:jc w:val="center"/>
            </w:pPr>
            <w:r>
              <w:rPr>
                <w:rFonts w:ascii="Calibri" w:eastAsia="Calibri" w:hAnsi="Calibri" w:cs="Calibri"/>
                <w:color w:val="000000"/>
                <w:sz w:val="20"/>
              </w:rPr>
              <w:t>0.077</w:t>
            </w:r>
          </w:p>
        </w:tc>
      </w:tr>
      <w:tr w:rsidR="004B5353" w14:paraId="68051B52" w14:textId="77777777">
        <w:trPr>
          <w:cantSplit/>
          <w:jc w:val="center"/>
        </w:trPr>
        <w:tc>
          <w:tcPr>
            <w:tcW w:w="13680" w:type="dxa"/>
            <w:gridSpan w:val="13"/>
            <w:shd w:val="clear" w:color="auto" w:fill="EDF3F7"/>
            <w:vAlign w:val="center"/>
          </w:tcPr>
          <w:p w14:paraId="0C8F1429" w14:textId="77777777" w:rsidR="004B5353" w:rsidRDefault="00000000">
            <w:pPr>
              <w:keepNext/>
              <w:keepLines/>
              <w:spacing w:after="0" w:line="240" w:lineRule="auto"/>
            </w:pPr>
            <w:r>
              <w:rPr>
                <w:rFonts w:ascii="Calibri" w:eastAsia="Calibri" w:hAnsi="Calibri" w:cs="Calibri"/>
                <w:b/>
                <w:color w:val="000000"/>
                <w:sz w:val="20"/>
              </w:rPr>
              <w:t>C. Adjusted time-varying Fine–Gray model</w:t>
            </w:r>
          </w:p>
        </w:tc>
      </w:tr>
      <w:tr w:rsidR="004B5353" w14:paraId="31987B5D" w14:textId="77777777">
        <w:trPr>
          <w:cantSplit/>
          <w:jc w:val="center"/>
        </w:trPr>
        <w:tc>
          <w:tcPr>
            <w:tcW w:w="3600" w:type="dxa"/>
            <w:gridSpan w:val="2"/>
            <w:shd w:val="clear" w:color="auto" w:fill="D9EAF7"/>
            <w:vAlign w:val="center"/>
          </w:tcPr>
          <w:p w14:paraId="26F5FBFF" w14:textId="77777777" w:rsidR="004B5353" w:rsidRDefault="00000000">
            <w:pPr>
              <w:keepNext/>
              <w:keepLines/>
              <w:spacing w:after="0" w:line="240" w:lineRule="auto"/>
              <w:jc w:val="center"/>
            </w:pPr>
            <w:r>
              <w:rPr>
                <w:rFonts w:ascii="Calibri" w:eastAsia="Calibri" w:hAnsi="Calibri" w:cs="Calibri"/>
                <w:b/>
                <w:color w:val="000000"/>
                <w:sz w:val="19"/>
              </w:rPr>
              <w:t>Comparison</w:t>
            </w:r>
          </w:p>
        </w:tc>
        <w:tc>
          <w:tcPr>
            <w:tcW w:w="3744" w:type="dxa"/>
            <w:gridSpan w:val="3"/>
            <w:shd w:val="clear" w:color="auto" w:fill="D9EAF7"/>
            <w:vAlign w:val="center"/>
          </w:tcPr>
          <w:p w14:paraId="45D12BFF" w14:textId="77777777" w:rsidR="004B5353" w:rsidRDefault="00000000">
            <w:pPr>
              <w:keepNext/>
              <w:keepLines/>
              <w:spacing w:after="0" w:line="240" w:lineRule="auto"/>
              <w:jc w:val="center"/>
            </w:pPr>
            <w:r>
              <w:rPr>
                <w:rFonts w:ascii="Calibri" w:eastAsia="Calibri" w:hAnsi="Calibri" w:cs="Calibri"/>
                <w:b/>
                <w:color w:val="000000"/>
                <w:sz w:val="19"/>
              </w:rPr>
              <w:t>Day-14 sHR (95% CI)</w:t>
            </w:r>
          </w:p>
        </w:tc>
        <w:tc>
          <w:tcPr>
            <w:tcW w:w="1296" w:type="dxa"/>
            <w:gridSpan w:val="3"/>
            <w:shd w:val="clear" w:color="auto" w:fill="D9EAF7"/>
            <w:vAlign w:val="center"/>
          </w:tcPr>
          <w:p w14:paraId="04919E9F" w14:textId="77777777" w:rsidR="004B5353" w:rsidRDefault="00000000">
            <w:pPr>
              <w:keepNext/>
              <w:keepLines/>
              <w:spacing w:after="0" w:line="240" w:lineRule="auto"/>
              <w:jc w:val="center"/>
            </w:pPr>
            <w:r>
              <w:rPr>
                <w:rFonts w:ascii="Calibri" w:eastAsia="Calibri" w:hAnsi="Calibri" w:cs="Calibri"/>
                <w:b/>
                <w:color w:val="000000"/>
                <w:sz w:val="19"/>
              </w:rPr>
              <w:t>P</w:t>
            </w:r>
          </w:p>
        </w:tc>
        <w:tc>
          <w:tcPr>
            <w:tcW w:w="3744" w:type="dxa"/>
            <w:gridSpan w:val="4"/>
            <w:shd w:val="clear" w:color="auto" w:fill="D9EAF7"/>
            <w:vAlign w:val="center"/>
          </w:tcPr>
          <w:p w14:paraId="617EEA17" w14:textId="77777777" w:rsidR="004B5353" w:rsidRDefault="00000000">
            <w:pPr>
              <w:keepNext/>
              <w:keepLines/>
              <w:spacing w:after="0" w:line="240" w:lineRule="auto"/>
              <w:jc w:val="center"/>
            </w:pPr>
            <w:r>
              <w:rPr>
                <w:rFonts w:ascii="Calibri" w:eastAsia="Calibri" w:hAnsi="Calibri" w:cs="Calibri"/>
                <w:b/>
                <w:color w:val="000000"/>
                <w:sz w:val="19"/>
              </w:rPr>
              <w:t>Day-28 sHR (95% CI)</w:t>
            </w:r>
          </w:p>
        </w:tc>
        <w:tc>
          <w:tcPr>
            <w:tcW w:w="1296" w:type="dxa"/>
            <w:shd w:val="clear" w:color="auto" w:fill="D9EAF7"/>
            <w:vAlign w:val="center"/>
          </w:tcPr>
          <w:p w14:paraId="5CE75443" w14:textId="77777777" w:rsidR="004B5353" w:rsidRDefault="00000000">
            <w:pPr>
              <w:keepNext/>
              <w:keepLines/>
              <w:spacing w:after="0" w:line="240" w:lineRule="auto"/>
              <w:jc w:val="center"/>
            </w:pPr>
            <w:r>
              <w:rPr>
                <w:rFonts w:ascii="Calibri" w:eastAsia="Calibri" w:hAnsi="Calibri" w:cs="Calibri"/>
                <w:b/>
                <w:color w:val="000000"/>
                <w:sz w:val="19"/>
              </w:rPr>
              <w:t>P</w:t>
            </w:r>
          </w:p>
        </w:tc>
      </w:tr>
      <w:tr w:rsidR="004B5353" w14:paraId="3500BC48" w14:textId="77777777">
        <w:trPr>
          <w:cantSplit/>
          <w:jc w:val="center"/>
        </w:trPr>
        <w:tc>
          <w:tcPr>
            <w:tcW w:w="3600" w:type="dxa"/>
            <w:gridSpan w:val="2"/>
            <w:vAlign w:val="center"/>
          </w:tcPr>
          <w:p w14:paraId="41C15D47" w14:textId="77777777" w:rsidR="004B5353" w:rsidRDefault="00000000">
            <w:pPr>
              <w:keepNext/>
              <w:keepLines/>
              <w:spacing w:after="0" w:line="240" w:lineRule="auto"/>
            </w:pPr>
            <w:r>
              <w:rPr>
                <w:rFonts w:ascii="Calibri" w:eastAsia="Calibri" w:hAnsi="Calibri" w:cs="Calibri"/>
                <w:color w:val="000000"/>
                <w:sz w:val="20"/>
              </w:rPr>
              <w:t>Standard CVC vs dialysis</w:t>
            </w:r>
          </w:p>
        </w:tc>
        <w:tc>
          <w:tcPr>
            <w:tcW w:w="3744" w:type="dxa"/>
            <w:gridSpan w:val="3"/>
            <w:vAlign w:val="center"/>
          </w:tcPr>
          <w:p w14:paraId="32243300" w14:textId="77777777" w:rsidR="004B5353" w:rsidRDefault="00000000">
            <w:pPr>
              <w:keepNext/>
              <w:keepLines/>
              <w:spacing w:after="0" w:line="240" w:lineRule="auto"/>
              <w:jc w:val="center"/>
            </w:pPr>
            <w:r>
              <w:rPr>
                <w:rFonts w:ascii="Calibri" w:eastAsia="Calibri" w:hAnsi="Calibri" w:cs="Calibri"/>
                <w:color w:val="000000"/>
                <w:sz w:val="20"/>
              </w:rPr>
              <w:t>2.48 (1.22–5.04)</w:t>
            </w:r>
          </w:p>
        </w:tc>
        <w:tc>
          <w:tcPr>
            <w:tcW w:w="1296" w:type="dxa"/>
            <w:gridSpan w:val="3"/>
            <w:vAlign w:val="center"/>
          </w:tcPr>
          <w:p w14:paraId="31C56868" w14:textId="77777777" w:rsidR="004B5353" w:rsidRDefault="00000000">
            <w:pPr>
              <w:keepNext/>
              <w:keepLines/>
              <w:spacing w:after="0" w:line="240" w:lineRule="auto"/>
              <w:jc w:val="center"/>
            </w:pPr>
            <w:r>
              <w:rPr>
                <w:rFonts w:ascii="Calibri" w:eastAsia="Calibri" w:hAnsi="Calibri" w:cs="Calibri"/>
                <w:color w:val="000000"/>
                <w:sz w:val="20"/>
              </w:rPr>
              <w:t>0.012</w:t>
            </w:r>
          </w:p>
        </w:tc>
        <w:tc>
          <w:tcPr>
            <w:tcW w:w="3744" w:type="dxa"/>
            <w:gridSpan w:val="4"/>
            <w:vAlign w:val="center"/>
          </w:tcPr>
          <w:p w14:paraId="7D433CB6" w14:textId="77777777" w:rsidR="004B5353" w:rsidRDefault="00000000">
            <w:pPr>
              <w:keepNext/>
              <w:keepLines/>
              <w:spacing w:after="0" w:line="240" w:lineRule="auto"/>
              <w:jc w:val="center"/>
            </w:pPr>
            <w:r>
              <w:rPr>
                <w:rFonts w:ascii="Calibri" w:eastAsia="Calibri" w:hAnsi="Calibri" w:cs="Calibri"/>
                <w:color w:val="000000"/>
                <w:sz w:val="20"/>
              </w:rPr>
              <w:t>8.47 (3.46–20.71)</w:t>
            </w:r>
          </w:p>
        </w:tc>
        <w:tc>
          <w:tcPr>
            <w:tcW w:w="1296" w:type="dxa"/>
            <w:vAlign w:val="center"/>
          </w:tcPr>
          <w:p w14:paraId="177D17A4" w14:textId="77777777" w:rsidR="004B5353" w:rsidRDefault="00000000">
            <w:pPr>
              <w:keepNext/>
              <w:keepLines/>
              <w:spacing w:after="0" w:line="240" w:lineRule="auto"/>
              <w:jc w:val="center"/>
            </w:pPr>
            <w:r>
              <w:rPr>
                <w:rFonts w:ascii="Calibri" w:eastAsia="Calibri" w:hAnsi="Calibri" w:cs="Calibri"/>
                <w:color w:val="000000"/>
                <w:sz w:val="20"/>
              </w:rPr>
              <w:t>&lt;0.001</w:t>
            </w:r>
          </w:p>
        </w:tc>
      </w:tr>
      <w:tr w:rsidR="004B5353" w14:paraId="7F7F41DF" w14:textId="77777777">
        <w:trPr>
          <w:cantSplit/>
          <w:jc w:val="center"/>
        </w:trPr>
        <w:tc>
          <w:tcPr>
            <w:tcW w:w="3600" w:type="dxa"/>
            <w:gridSpan w:val="2"/>
            <w:vAlign w:val="center"/>
          </w:tcPr>
          <w:p w14:paraId="7843D77E" w14:textId="77777777" w:rsidR="004B5353" w:rsidRDefault="00000000">
            <w:pPr>
              <w:keepNext/>
              <w:keepLines/>
              <w:spacing w:after="0" w:line="240" w:lineRule="auto"/>
            </w:pPr>
            <w:r>
              <w:rPr>
                <w:rFonts w:ascii="Calibri" w:eastAsia="Calibri" w:hAnsi="Calibri" w:cs="Calibri"/>
                <w:color w:val="000000"/>
                <w:sz w:val="20"/>
              </w:rPr>
              <w:t>Femoral vs jugular</w:t>
            </w:r>
          </w:p>
        </w:tc>
        <w:tc>
          <w:tcPr>
            <w:tcW w:w="3744" w:type="dxa"/>
            <w:gridSpan w:val="3"/>
            <w:vAlign w:val="center"/>
          </w:tcPr>
          <w:p w14:paraId="5DAEE599" w14:textId="77777777" w:rsidR="004B5353" w:rsidRDefault="00000000">
            <w:pPr>
              <w:keepNext/>
              <w:keepLines/>
              <w:spacing w:after="0" w:line="240" w:lineRule="auto"/>
              <w:jc w:val="center"/>
            </w:pPr>
            <w:r>
              <w:rPr>
                <w:rFonts w:ascii="Calibri" w:eastAsia="Calibri" w:hAnsi="Calibri" w:cs="Calibri"/>
                <w:color w:val="000000"/>
                <w:sz w:val="20"/>
              </w:rPr>
              <w:t>1.93 (1.04–3.57)</w:t>
            </w:r>
          </w:p>
        </w:tc>
        <w:tc>
          <w:tcPr>
            <w:tcW w:w="1296" w:type="dxa"/>
            <w:gridSpan w:val="3"/>
            <w:vAlign w:val="center"/>
          </w:tcPr>
          <w:p w14:paraId="19AAFCEB" w14:textId="77777777" w:rsidR="004B5353" w:rsidRDefault="00000000">
            <w:pPr>
              <w:keepNext/>
              <w:keepLines/>
              <w:spacing w:after="0" w:line="240" w:lineRule="auto"/>
              <w:jc w:val="center"/>
            </w:pPr>
            <w:r>
              <w:rPr>
                <w:rFonts w:ascii="Calibri" w:eastAsia="Calibri" w:hAnsi="Calibri" w:cs="Calibri"/>
                <w:color w:val="000000"/>
                <w:sz w:val="20"/>
              </w:rPr>
              <w:t>0.036</w:t>
            </w:r>
          </w:p>
        </w:tc>
        <w:tc>
          <w:tcPr>
            <w:tcW w:w="3744" w:type="dxa"/>
            <w:gridSpan w:val="4"/>
            <w:vAlign w:val="center"/>
          </w:tcPr>
          <w:p w14:paraId="4FB59125" w14:textId="77777777" w:rsidR="004B5353" w:rsidRDefault="00000000">
            <w:pPr>
              <w:keepNext/>
              <w:keepLines/>
              <w:spacing w:after="0" w:line="240" w:lineRule="auto"/>
              <w:jc w:val="center"/>
            </w:pPr>
            <w:r>
              <w:rPr>
                <w:rFonts w:ascii="Calibri" w:eastAsia="Calibri" w:hAnsi="Calibri" w:cs="Calibri"/>
                <w:color w:val="000000"/>
                <w:sz w:val="20"/>
              </w:rPr>
              <w:t>1.67 (0.99–2.83)</w:t>
            </w:r>
          </w:p>
        </w:tc>
        <w:tc>
          <w:tcPr>
            <w:tcW w:w="1296" w:type="dxa"/>
            <w:vAlign w:val="center"/>
          </w:tcPr>
          <w:p w14:paraId="038E271D" w14:textId="77777777" w:rsidR="004B5353" w:rsidRDefault="00000000">
            <w:pPr>
              <w:keepNext/>
              <w:keepLines/>
              <w:spacing w:after="0" w:line="240" w:lineRule="auto"/>
              <w:jc w:val="center"/>
            </w:pPr>
            <w:r>
              <w:rPr>
                <w:rFonts w:ascii="Calibri" w:eastAsia="Calibri" w:hAnsi="Calibri" w:cs="Calibri"/>
                <w:color w:val="000000"/>
                <w:sz w:val="20"/>
              </w:rPr>
              <w:t>0.055</w:t>
            </w:r>
          </w:p>
        </w:tc>
      </w:tr>
      <w:tr w:rsidR="004B5353" w14:paraId="31E2854E" w14:textId="77777777">
        <w:trPr>
          <w:cantSplit/>
          <w:jc w:val="center"/>
        </w:trPr>
        <w:tc>
          <w:tcPr>
            <w:tcW w:w="3600" w:type="dxa"/>
            <w:gridSpan w:val="2"/>
            <w:vAlign w:val="center"/>
          </w:tcPr>
          <w:p w14:paraId="500F0D02" w14:textId="77777777" w:rsidR="004B5353" w:rsidRDefault="00000000">
            <w:pPr>
              <w:keepNext/>
              <w:keepLines/>
              <w:spacing w:after="0" w:line="240" w:lineRule="auto"/>
            </w:pPr>
            <w:r>
              <w:rPr>
                <w:rFonts w:ascii="Calibri" w:eastAsia="Calibri" w:hAnsi="Calibri" w:cs="Calibri"/>
                <w:color w:val="000000"/>
                <w:sz w:val="20"/>
              </w:rPr>
              <w:t>Subclavian vs jugular</w:t>
            </w:r>
          </w:p>
        </w:tc>
        <w:tc>
          <w:tcPr>
            <w:tcW w:w="3744" w:type="dxa"/>
            <w:gridSpan w:val="3"/>
            <w:vAlign w:val="center"/>
          </w:tcPr>
          <w:p w14:paraId="6C72EF73" w14:textId="77777777" w:rsidR="004B5353" w:rsidRDefault="00000000">
            <w:pPr>
              <w:keepNext/>
              <w:keepLines/>
              <w:spacing w:after="0" w:line="240" w:lineRule="auto"/>
              <w:jc w:val="center"/>
            </w:pPr>
            <w:r>
              <w:rPr>
                <w:rFonts w:ascii="Calibri" w:eastAsia="Calibri" w:hAnsi="Calibri" w:cs="Calibri"/>
                <w:color w:val="000000"/>
                <w:sz w:val="20"/>
              </w:rPr>
              <w:t>1.85 (0.47–7.33)</w:t>
            </w:r>
          </w:p>
        </w:tc>
        <w:tc>
          <w:tcPr>
            <w:tcW w:w="1296" w:type="dxa"/>
            <w:gridSpan w:val="3"/>
            <w:vAlign w:val="center"/>
          </w:tcPr>
          <w:p w14:paraId="1058F3EF" w14:textId="77777777" w:rsidR="004B5353" w:rsidRDefault="00000000">
            <w:pPr>
              <w:keepNext/>
              <w:keepLines/>
              <w:spacing w:after="0" w:line="240" w:lineRule="auto"/>
              <w:jc w:val="center"/>
            </w:pPr>
            <w:r>
              <w:rPr>
                <w:rFonts w:ascii="Calibri" w:eastAsia="Calibri" w:hAnsi="Calibri" w:cs="Calibri"/>
                <w:color w:val="000000"/>
                <w:sz w:val="20"/>
              </w:rPr>
              <w:t>0.379</w:t>
            </w:r>
          </w:p>
        </w:tc>
        <w:tc>
          <w:tcPr>
            <w:tcW w:w="3744" w:type="dxa"/>
            <w:gridSpan w:val="4"/>
            <w:vAlign w:val="center"/>
          </w:tcPr>
          <w:p w14:paraId="3F92D38B" w14:textId="77777777" w:rsidR="004B5353" w:rsidRDefault="00000000">
            <w:pPr>
              <w:keepNext/>
              <w:keepLines/>
              <w:spacing w:after="0" w:line="240" w:lineRule="auto"/>
              <w:jc w:val="center"/>
            </w:pPr>
            <w:r>
              <w:rPr>
                <w:rFonts w:ascii="Calibri" w:eastAsia="Calibri" w:hAnsi="Calibri" w:cs="Calibri"/>
                <w:color w:val="000000"/>
                <w:sz w:val="20"/>
              </w:rPr>
              <w:t>2.77 (0.93–8.25)</w:t>
            </w:r>
          </w:p>
        </w:tc>
        <w:tc>
          <w:tcPr>
            <w:tcW w:w="1296" w:type="dxa"/>
            <w:vAlign w:val="center"/>
          </w:tcPr>
          <w:p w14:paraId="7ECA4C6A" w14:textId="77777777" w:rsidR="004B5353" w:rsidRDefault="00000000">
            <w:pPr>
              <w:keepNext/>
              <w:keepLines/>
              <w:spacing w:after="0" w:line="240" w:lineRule="auto"/>
              <w:jc w:val="center"/>
            </w:pPr>
            <w:r>
              <w:rPr>
                <w:rFonts w:ascii="Calibri" w:eastAsia="Calibri" w:hAnsi="Calibri" w:cs="Calibri"/>
                <w:color w:val="000000"/>
                <w:sz w:val="20"/>
              </w:rPr>
              <w:t>0.068</w:t>
            </w:r>
          </w:p>
        </w:tc>
      </w:tr>
      <w:tr w:rsidR="004B5353" w14:paraId="3837AE06" w14:textId="77777777">
        <w:trPr>
          <w:cantSplit/>
          <w:jc w:val="center"/>
        </w:trPr>
        <w:tc>
          <w:tcPr>
            <w:tcW w:w="13680" w:type="dxa"/>
            <w:gridSpan w:val="13"/>
            <w:shd w:val="clear" w:color="auto" w:fill="EDF3F7"/>
            <w:vAlign w:val="center"/>
          </w:tcPr>
          <w:p w14:paraId="5A20D27B" w14:textId="77777777" w:rsidR="004B5353" w:rsidRDefault="00000000">
            <w:pPr>
              <w:keepNext/>
              <w:keepLines/>
              <w:spacing w:after="0" w:line="240" w:lineRule="auto"/>
            </w:pPr>
            <w:r>
              <w:rPr>
                <w:rFonts w:ascii="Calibri" w:eastAsia="Calibri" w:hAnsi="Calibri" w:cs="Calibri"/>
                <w:b/>
                <w:color w:val="000000"/>
                <w:sz w:val="20"/>
              </w:rPr>
              <w:t>D. Fine–Gray proportionality diagnostics: interactions with log time</w:t>
            </w:r>
          </w:p>
        </w:tc>
      </w:tr>
      <w:tr w:rsidR="004B5353" w14:paraId="2016EDBA" w14:textId="77777777">
        <w:trPr>
          <w:cantSplit/>
          <w:jc w:val="center"/>
        </w:trPr>
        <w:tc>
          <w:tcPr>
            <w:tcW w:w="7920" w:type="dxa"/>
            <w:gridSpan w:val="6"/>
            <w:shd w:val="clear" w:color="auto" w:fill="D9EAF7"/>
            <w:vAlign w:val="center"/>
          </w:tcPr>
          <w:p w14:paraId="4B1BE0E3" w14:textId="77777777" w:rsidR="004B5353" w:rsidRDefault="00000000">
            <w:pPr>
              <w:keepNext/>
              <w:keepLines/>
              <w:spacing w:after="0" w:line="240" w:lineRule="auto"/>
              <w:jc w:val="center"/>
            </w:pPr>
            <w:r>
              <w:rPr>
                <w:rFonts w:ascii="Calibri" w:eastAsia="Calibri" w:hAnsi="Calibri" w:cs="Calibri"/>
                <w:b/>
                <w:color w:val="000000"/>
                <w:sz w:val="19"/>
              </w:rPr>
              <w:t>Interaction tested</w:t>
            </w:r>
          </w:p>
        </w:tc>
        <w:tc>
          <w:tcPr>
            <w:tcW w:w="2448" w:type="dxa"/>
            <w:gridSpan w:val="3"/>
            <w:shd w:val="clear" w:color="auto" w:fill="D9EAF7"/>
            <w:vAlign w:val="center"/>
          </w:tcPr>
          <w:p w14:paraId="078F53F6" w14:textId="77777777" w:rsidR="004B5353" w:rsidRDefault="00000000">
            <w:pPr>
              <w:keepNext/>
              <w:keepLines/>
              <w:spacing w:after="0" w:line="240" w:lineRule="auto"/>
              <w:jc w:val="center"/>
            </w:pPr>
            <w:r>
              <w:rPr>
                <w:rFonts w:ascii="Calibri" w:eastAsia="Calibri" w:hAnsi="Calibri" w:cs="Calibri"/>
                <w:b/>
                <w:color w:val="000000"/>
                <w:sz w:val="19"/>
              </w:rPr>
              <w:t>Wald χ²</w:t>
            </w:r>
          </w:p>
        </w:tc>
        <w:tc>
          <w:tcPr>
            <w:tcW w:w="1440" w:type="dxa"/>
            <w:gridSpan w:val="2"/>
            <w:shd w:val="clear" w:color="auto" w:fill="D9EAF7"/>
            <w:vAlign w:val="center"/>
          </w:tcPr>
          <w:p w14:paraId="2094C2A3" w14:textId="77777777" w:rsidR="004B5353" w:rsidRDefault="00000000">
            <w:pPr>
              <w:keepNext/>
              <w:keepLines/>
              <w:spacing w:after="0" w:line="240" w:lineRule="auto"/>
              <w:jc w:val="center"/>
            </w:pPr>
            <w:r>
              <w:rPr>
                <w:rFonts w:ascii="Calibri" w:eastAsia="Calibri" w:hAnsi="Calibri" w:cs="Calibri"/>
                <w:b/>
                <w:color w:val="000000"/>
                <w:sz w:val="19"/>
              </w:rPr>
              <w:t>df</w:t>
            </w:r>
          </w:p>
        </w:tc>
        <w:tc>
          <w:tcPr>
            <w:tcW w:w="1872" w:type="dxa"/>
            <w:gridSpan w:val="2"/>
            <w:shd w:val="clear" w:color="auto" w:fill="D9EAF7"/>
            <w:vAlign w:val="center"/>
          </w:tcPr>
          <w:p w14:paraId="05FB9886" w14:textId="77777777" w:rsidR="004B5353" w:rsidRDefault="00000000">
            <w:pPr>
              <w:keepNext/>
              <w:keepLines/>
              <w:spacing w:after="0" w:line="240" w:lineRule="auto"/>
              <w:jc w:val="center"/>
            </w:pPr>
            <w:r>
              <w:rPr>
                <w:rFonts w:ascii="Calibri" w:eastAsia="Calibri" w:hAnsi="Calibri" w:cs="Calibri"/>
                <w:b/>
                <w:color w:val="000000"/>
                <w:sz w:val="19"/>
              </w:rPr>
              <w:t>P</w:t>
            </w:r>
          </w:p>
        </w:tc>
      </w:tr>
      <w:tr w:rsidR="004B5353" w14:paraId="27B02F0E" w14:textId="77777777">
        <w:trPr>
          <w:cantSplit/>
          <w:jc w:val="center"/>
        </w:trPr>
        <w:tc>
          <w:tcPr>
            <w:tcW w:w="7920" w:type="dxa"/>
            <w:gridSpan w:val="6"/>
            <w:vAlign w:val="center"/>
          </w:tcPr>
          <w:p w14:paraId="2AAAB005" w14:textId="77777777" w:rsidR="004B5353" w:rsidRDefault="00000000">
            <w:pPr>
              <w:keepNext/>
              <w:keepLines/>
              <w:spacing w:after="0" w:line="240" w:lineRule="auto"/>
            </w:pPr>
            <w:r>
              <w:rPr>
                <w:rFonts w:ascii="Calibri" w:eastAsia="Calibri" w:hAnsi="Calibri" w:cs="Calibri"/>
                <w:color w:val="000000"/>
                <w:sz w:val="20"/>
              </w:rPr>
              <w:t>Joint: catheter type and insertion site</w:t>
            </w:r>
          </w:p>
        </w:tc>
        <w:tc>
          <w:tcPr>
            <w:tcW w:w="2448" w:type="dxa"/>
            <w:gridSpan w:val="3"/>
            <w:vAlign w:val="center"/>
          </w:tcPr>
          <w:p w14:paraId="712F732D" w14:textId="77777777" w:rsidR="004B5353" w:rsidRDefault="00000000">
            <w:pPr>
              <w:keepNext/>
              <w:keepLines/>
              <w:spacing w:after="0" w:line="240" w:lineRule="auto"/>
              <w:jc w:val="center"/>
            </w:pPr>
            <w:r>
              <w:rPr>
                <w:rFonts w:ascii="Calibri" w:eastAsia="Calibri" w:hAnsi="Calibri" w:cs="Calibri"/>
                <w:color w:val="000000"/>
                <w:sz w:val="20"/>
              </w:rPr>
              <w:t>17.56</w:t>
            </w:r>
          </w:p>
        </w:tc>
        <w:tc>
          <w:tcPr>
            <w:tcW w:w="1440" w:type="dxa"/>
            <w:gridSpan w:val="2"/>
            <w:vAlign w:val="center"/>
          </w:tcPr>
          <w:p w14:paraId="44626A80" w14:textId="77777777" w:rsidR="004B5353" w:rsidRDefault="00000000">
            <w:pPr>
              <w:keepNext/>
              <w:keepLines/>
              <w:spacing w:after="0" w:line="240" w:lineRule="auto"/>
              <w:jc w:val="center"/>
            </w:pPr>
            <w:r>
              <w:rPr>
                <w:rFonts w:ascii="Calibri" w:eastAsia="Calibri" w:hAnsi="Calibri" w:cs="Calibri"/>
                <w:color w:val="000000"/>
                <w:sz w:val="20"/>
              </w:rPr>
              <w:t>3</w:t>
            </w:r>
          </w:p>
        </w:tc>
        <w:tc>
          <w:tcPr>
            <w:tcW w:w="1872" w:type="dxa"/>
            <w:gridSpan w:val="2"/>
            <w:vAlign w:val="center"/>
          </w:tcPr>
          <w:p w14:paraId="0E9C9296" w14:textId="77777777" w:rsidR="004B5353" w:rsidRDefault="00000000">
            <w:pPr>
              <w:keepNext/>
              <w:keepLines/>
              <w:spacing w:after="0" w:line="240" w:lineRule="auto"/>
              <w:jc w:val="center"/>
            </w:pPr>
            <w:r>
              <w:rPr>
                <w:rFonts w:ascii="Calibri" w:eastAsia="Calibri" w:hAnsi="Calibri" w:cs="Calibri"/>
                <w:color w:val="000000"/>
                <w:sz w:val="20"/>
              </w:rPr>
              <w:t>&lt;0.001</w:t>
            </w:r>
          </w:p>
        </w:tc>
      </w:tr>
      <w:tr w:rsidR="004B5353" w14:paraId="5FA3AB9A" w14:textId="77777777">
        <w:trPr>
          <w:cantSplit/>
          <w:jc w:val="center"/>
        </w:trPr>
        <w:tc>
          <w:tcPr>
            <w:tcW w:w="7920" w:type="dxa"/>
            <w:gridSpan w:val="6"/>
            <w:vAlign w:val="center"/>
          </w:tcPr>
          <w:p w14:paraId="2D09E628" w14:textId="77777777" w:rsidR="004B5353" w:rsidRDefault="00000000">
            <w:pPr>
              <w:keepNext/>
              <w:keepLines/>
              <w:spacing w:after="0" w:line="240" w:lineRule="auto"/>
            </w:pPr>
            <w:r>
              <w:rPr>
                <w:rFonts w:ascii="Calibri" w:eastAsia="Calibri" w:hAnsi="Calibri" w:cs="Calibri"/>
                <w:color w:val="000000"/>
                <w:sz w:val="20"/>
              </w:rPr>
              <w:t>Catheter type</w:t>
            </w:r>
          </w:p>
        </w:tc>
        <w:tc>
          <w:tcPr>
            <w:tcW w:w="2448" w:type="dxa"/>
            <w:gridSpan w:val="3"/>
            <w:vAlign w:val="center"/>
          </w:tcPr>
          <w:p w14:paraId="6FCF5D9A" w14:textId="77777777" w:rsidR="004B5353" w:rsidRDefault="00000000">
            <w:pPr>
              <w:keepNext/>
              <w:keepLines/>
              <w:spacing w:after="0" w:line="240" w:lineRule="auto"/>
              <w:jc w:val="center"/>
            </w:pPr>
            <w:r>
              <w:rPr>
                <w:rFonts w:ascii="Calibri" w:eastAsia="Calibri" w:hAnsi="Calibri" w:cs="Calibri"/>
                <w:color w:val="000000"/>
                <w:sz w:val="20"/>
              </w:rPr>
              <w:t>14.61</w:t>
            </w:r>
          </w:p>
        </w:tc>
        <w:tc>
          <w:tcPr>
            <w:tcW w:w="1440" w:type="dxa"/>
            <w:gridSpan w:val="2"/>
            <w:vAlign w:val="center"/>
          </w:tcPr>
          <w:p w14:paraId="0146CB52" w14:textId="77777777" w:rsidR="004B5353" w:rsidRDefault="00000000">
            <w:pPr>
              <w:keepNext/>
              <w:keepLines/>
              <w:spacing w:after="0" w:line="240" w:lineRule="auto"/>
              <w:jc w:val="center"/>
            </w:pPr>
            <w:r>
              <w:rPr>
                <w:rFonts w:ascii="Calibri" w:eastAsia="Calibri" w:hAnsi="Calibri" w:cs="Calibri"/>
                <w:color w:val="000000"/>
                <w:sz w:val="20"/>
              </w:rPr>
              <w:t>1</w:t>
            </w:r>
          </w:p>
        </w:tc>
        <w:tc>
          <w:tcPr>
            <w:tcW w:w="1872" w:type="dxa"/>
            <w:gridSpan w:val="2"/>
            <w:vAlign w:val="center"/>
          </w:tcPr>
          <w:p w14:paraId="13F2AB56" w14:textId="77777777" w:rsidR="004B5353" w:rsidRDefault="00000000">
            <w:pPr>
              <w:keepNext/>
              <w:keepLines/>
              <w:spacing w:after="0" w:line="240" w:lineRule="auto"/>
              <w:jc w:val="center"/>
            </w:pPr>
            <w:r>
              <w:rPr>
                <w:rFonts w:ascii="Calibri" w:eastAsia="Calibri" w:hAnsi="Calibri" w:cs="Calibri"/>
                <w:color w:val="000000"/>
                <w:sz w:val="20"/>
              </w:rPr>
              <w:t>&lt;0.001</w:t>
            </w:r>
          </w:p>
        </w:tc>
      </w:tr>
      <w:tr w:rsidR="004B5353" w14:paraId="69985338" w14:textId="77777777">
        <w:trPr>
          <w:cantSplit/>
          <w:jc w:val="center"/>
        </w:trPr>
        <w:tc>
          <w:tcPr>
            <w:tcW w:w="7920" w:type="dxa"/>
            <w:gridSpan w:val="6"/>
            <w:vAlign w:val="center"/>
          </w:tcPr>
          <w:p w14:paraId="24FB227A" w14:textId="77777777" w:rsidR="004B5353" w:rsidRDefault="00000000">
            <w:pPr>
              <w:keepNext/>
              <w:keepLines/>
              <w:spacing w:after="0" w:line="240" w:lineRule="auto"/>
            </w:pPr>
            <w:r>
              <w:rPr>
                <w:rFonts w:ascii="Calibri" w:eastAsia="Calibri" w:hAnsi="Calibri" w:cs="Calibri"/>
                <w:color w:val="000000"/>
                <w:sz w:val="20"/>
              </w:rPr>
              <w:t>Femoral vs jugular</w:t>
            </w:r>
          </w:p>
        </w:tc>
        <w:tc>
          <w:tcPr>
            <w:tcW w:w="2448" w:type="dxa"/>
            <w:gridSpan w:val="3"/>
            <w:vAlign w:val="center"/>
          </w:tcPr>
          <w:p w14:paraId="5166774A" w14:textId="77777777" w:rsidR="004B5353" w:rsidRDefault="00000000">
            <w:pPr>
              <w:keepNext/>
              <w:keepLines/>
              <w:spacing w:after="0" w:line="240" w:lineRule="auto"/>
              <w:jc w:val="center"/>
            </w:pPr>
            <w:r>
              <w:rPr>
                <w:rFonts w:ascii="Calibri" w:eastAsia="Calibri" w:hAnsi="Calibri" w:cs="Calibri"/>
                <w:color w:val="000000"/>
                <w:sz w:val="20"/>
              </w:rPr>
              <w:t>0.30</w:t>
            </w:r>
          </w:p>
        </w:tc>
        <w:tc>
          <w:tcPr>
            <w:tcW w:w="1440" w:type="dxa"/>
            <w:gridSpan w:val="2"/>
            <w:vAlign w:val="center"/>
          </w:tcPr>
          <w:p w14:paraId="62FB2AF9" w14:textId="77777777" w:rsidR="004B5353" w:rsidRDefault="00000000">
            <w:pPr>
              <w:keepNext/>
              <w:keepLines/>
              <w:spacing w:after="0" w:line="240" w:lineRule="auto"/>
              <w:jc w:val="center"/>
            </w:pPr>
            <w:r>
              <w:rPr>
                <w:rFonts w:ascii="Calibri" w:eastAsia="Calibri" w:hAnsi="Calibri" w:cs="Calibri"/>
                <w:color w:val="000000"/>
                <w:sz w:val="20"/>
              </w:rPr>
              <w:t>1</w:t>
            </w:r>
          </w:p>
        </w:tc>
        <w:tc>
          <w:tcPr>
            <w:tcW w:w="1872" w:type="dxa"/>
            <w:gridSpan w:val="2"/>
            <w:vAlign w:val="center"/>
          </w:tcPr>
          <w:p w14:paraId="58AC6B2C" w14:textId="77777777" w:rsidR="004B5353" w:rsidRDefault="00000000">
            <w:pPr>
              <w:keepNext/>
              <w:keepLines/>
              <w:spacing w:after="0" w:line="240" w:lineRule="auto"/>
              <w:jc w:val="center"/>
            </w:pPr>
            <w:r>
              <w:rPr>
                <w:rFonts w:ascii="Calibri" w:eastAsia="Calibri" w:hAnsi="Calibri" w:cs="Calibri"/>
                <w:color w:val="000000"/>
                <w:sz w:val="20"/>
              </w:rPr>
              <w:t>0.583</w:t>
            </w:r>
          </w:p>
        </w:tc>
      </w:tr>
      <w:tr w:rsidR="004B5353" w14:paraId="09EC195B" w14:textId="77777777">
        <w:trPr>
          <w:cantSplit/>
          <w:jc w:val="center"/>
        </w:trPr>
        <w:tc>
          <w:tcPr>
            <w:tcW w:w="7920" w:type="dxa"/>
            <w:gridSpan w:val="6"/>
            <w:vAlign w:val="center"/>
          </w:tcPr>
          <w:p w14:paraId="13BD7C30" w14:textId="77777777" w:rsidR="004B5353" w:rsidRDefault="00000000">
            <w:pPr>
              <w:keepNext/>
              <w:keepLines/>
              <w:spacing w:after="0" w:line="240" w:lineRule="auto"/>
            </w:pPr>
            <w:r>
              <w:rPr>
                <w:rFonts w:ascii="Calibri" w:eastAsia="Calibri" w:hAnsi="Calibri" w:cs="Calibri"/>
                <w:color w:val="000000"/>
                <w:sz w:val="20"/>
              </w:rPr>
              <w:t>Subclavian vs jugular</w:t>
            </w:r>
          </w:p>
        </w:tc>
        <w:tc>
          <w:tcPr>
            <w:tcW w:w="2448" w:type="dxa"/>
            <w:gridSpan w:val="3"/>
            <w:vAlign w:val="center"/>
          </w:tcPr>
          <w:p w14:paraId="6752060A" w14:textId="77777777" w:rsidR="004B5353" w:rsidRDefault="00000000">
            <w:pPr>
              <w:keepNext/>
              <w:keepLines/>
              <w:spacing w:after="0" w:line="240" w:lineRule="auto"/>
              <w:jc w:val="center"/>
            </w:pPr>
            <w:r>
              <w:rPr>
                <w:rFonts w:ascii="Calibri" w:eastAsia="Calibri" w:hAnsi="Calibri" w:cs="Calibri"/>
                <w:color w:val="000000"/>
                <w:sz w:val="20"/>
              </w:rPr>
              <w:t>0.68</w:t>
            </w:r>
          </w:p>
        </w:tc>
        <w:tc>
          <w:tcPr>
            <w:tcW w:w="1440" w:type="dxa"/>
            <w:gridSpan w:val="2"/>
            <w:vAlign w:val="center"/>
          </w:tcPr>
          <w:p w14:paraId="50BEAE36" w14:textId="77777777" w:rsidR="004B5353" w:rsidRDefault="00000000">
            <w:pPr>
              <w:keepNext/>
              <w:keepLines/>
              <w:spacing w:after="0" w:line="240" w:lineRule="auto"/>
              <w:jc w:val="center"/>
            </w:pPr>
            <w:r>
              <w:rPr>
                <w:rFonts w:ascii="Calibri" w:eastAsia="Calibri" w:hAnsi="Calibri" w:cs="Calibri"/>
                <w:color w:val="000000"/>
                <w:sz w:val="20"/>
              </w:rPr>
              <w:t>1</w:t>
            </w:r>
          </w:p>
        </w:tc>
        <w:tc>
          <w:tcPr>
            <w:tcW w:w="1872" w:type="dxa"/>
            <w:gridSpan w:val="2"/>
            <w:vAlign w:val="center"/>
          </w:tcPr>
          <w:p w14:paraId="3E2E1BC5" w14:textId="77777777" w:rsidR="004B5353" w:rsidRDefault="00000000">
            <w:pPr>
              <w:keepNext/>
              <w:keepLines/>
              <w:spacing w:after="0" w:line="240" w:lineRule="auto"/>
              <w:jc w:val="center"/>
            </w:pPr>
            <w:r>
              <w:rPr>
                <w:rFonts w:ascii="Calibri" w:eastAsia="Calibri" w:hAnsi="Calibri" w:cs="Calibri"/>
                <w:color w:val="000000"/>
                <w:sz w:val="20"/>
              </w:rPr>
              <w:t>0.409</w:t>
            </w:r>
          </w:p>
        </w:tc>
      </w:tr>
    </w:tbl>
    <w:p w14:paraId="419561CB" w14:textId="77777777" w:rsidR="004B5353" w:rsidRDefault="00000000">
      <w:pPr>
        <w:keepNext/>
        <w:keepLines/>
        <w:spacing w:before="160" w:after="100" w:line="240" w:lineRule="auto"/>
      </w:pPr>
      <w:r>
        <w:rPr>
          <w:rFonts w:ascii="Calibri" w:eastAsia="Calibri" w:hAnsi="Calibri" w:cs="Calibri"/>
          <w:color w:val="000000"/>
          <w:sz w:val="19"/>
        </w:rPr>
        <w:lastRenderedPageBreak/>
        <w:t>Population and endpoint. Full cohort: 601 catheter episodes from 455 patients. Time is measured from catheter insertion to the first recorded episode outcome. Death and all other non-CRBSI terminal first outcomes, including discharge and catheter removal, are competing events; N denotes episodes.</w:t>
      </w:r>
    </w:p>
    <w:p w14:paraId="1AD58942" w14:textId="77777777" w:rsidR="004B5353" w:rsidRDefault="00000000">
      <w:pPr>
        <w:keepNext/>
        <w:keepLines/>
        <w:spacing w:after="100" w:line="240" w:lineRule="auto"/>
      </w:pPr>
      <w:r>
        <w:rPr>
          <w:rFonts w:ascii="Calibri" w:eastAsia="Calibri" w:hAnsi="Calibri" w:cs="Calibri"/>
          <w:color w:val="000000"/>
          <w:sz w:val="19"/>
        </w:rPr>
        <w:t>Panel A. Aalen–Johansen CIFs use patient-clustered infinitesimal-jackknife standard errors and log-log 95% CIs. With no administratively censored records, point estimates equal the observed cumulative first-CRBSI proportions. Non-CRBSI first-event counts include deaths.</w:t>
      </w:r>
    </w:p>
    <w:p w14:paraId="0CFF5AA8" w14:textId="77777777" w:rsidR="004B5353" w:rsidRDefault="00000000">
      <w:pPr>
        <w:keepNext/>
        <w:keepLines/>
        <w:spacing w:after="100" w:line="240" w:lineRule="auto"/>
      </w:pPr>
      <w:r>
        <w:rPr>
          <w:rFonts w:ascii="Calibri" w:eastAsia="Calibri" w:hAnsi="Calibri" w:cs="Calibri"/>
          <w:color w:val="000000"/>
          <w:sz w:val="19"/>
        </w:rPr>
        <w:t>Panels B–D. The same 473 complete episodes from 367 patients included 94 CRBSI events, 204 deaths and 175 other first outcomes; 128 episodes were excluded for missing covariates, with no imputation. All models simultaneously adjusted for catheter type, insertion site, age, sex, ICU, APACHE II score, intubation, TPN, diabetes mellitus and CKD/ESRD.</w:t>
      </w:r>
    </w:p>
    <w:p w14:paraId="3B45A2EB" w14:textId="77777777" w:rsidR="004B5353" w:rsidRDefault="00000000">
      <w:pPr>
        <w:keepNext/>
        <w:keepLines/>
        <w:spacing w:after="100" w:line="240" w:lineRule="auto"/>
      </w:pPr>
      <w:r>
        <w:rPr>
          <w:rFonts w:ascii="Calibri" w:eastAsia="Calibri" w:hAnsi="Calibri" w:cs="Calibri"/>
          <w:color w:val="000000"/>
          <w:sz w:val="19"/>
        </w:rPr>
        <w:t>Estimation. Both regression approaches used patient-clustered sandwich covariance. Cause-specific Cox models used Efron ties and censored non-CRBSI outcomes at their event time. Fine–Gray models used Breslow ties and retained competing events in the subdistribution risk sets.</w:t>
      </w:r>
    </w:p>
    <w:p w14:paraId="7987DA93" w14:textId="77777777" w:rsidR="004B5353" w:rsidRDefault="00000000">
      <w:pPr>
        <w:keepNext/>
        <w:keepLines/>
        <w:spacing w:after="100" w:line="240" w:lineRule="auto"/>
      </w:pPr>
      <w:r>
        <w:rPr>
          <w:rFonts w:ascii="Calibri" w:eastAsia="Calibri" w:hAnsi="Calibri" w:cs="Calibri"/>
          <w:color w:val="000000"/>
          <w:sz w:val="19"/>
        </w:rPr>
        <w:t>Panels C–D. All three catheter-type/site interactions with log(t/14), with t in days, were fitted jointly while retaining all adjustment covariates. Panel D reports robust Wald tests of these interactions. Catheter-type proportionality was not supported; the conventional sHR in panel B should be interpreted alongside the time-specific estimates in panel C. An sHR is not a cumulative risk ratio.</w:t>
      </w:r>
    </w:p>
    <w:p w14:paraId="6BD924FF" w14:textId="77777777" w:rsidR="004B5353" w:rsidRDefault="00000000">
      <w:pPr>
        <w:keepNext/>
        <w:keepLines/>
        <w:spacing w:after="100" w:line="240" w:lineRule="auto"/>
      </w:pPr>
      <w:r>
        <w:rPr>
          <w:rFonts w:ascii="Calibri" w:eastAsia="Calibri" w:hAnsi="Calibri" w:cs="Calibri"/>
          <w:color w:val="000000"/>
          <w:sz w:val="19"/>
        </w:rPr>
        <w:t>Fine–Gray analyses were post hoc and exploratory; no multiplicity adjustment was applied. CIs are nominal. Cause-specific HRs and sHRs address different estimands.</w:t>
      </w:r>
    </w:p>
    <w:p w14:paraId="046D448D" w14:textId="66C99230" w:rsidR="004B5353" w:rsidRDefault="00000000">
      <w:pPr>
        <w:keepLines/>
        <w:spacing w:after="100" w:line="240" w:lineRule="auto"/>
      </w:pPr>
      <w:r>
        <w:rPr>
          <w:rFonts w:ascii="Calibri" w:eastAsia="Calibri" w:hAnsi="Calibri" w:cs="Calibri"/>
          <w:color w:val="000000"/>
          <w:sz w:val="19"/>
        </w:rPr>
        <w:t xml:space="preserve">APACHE II, Acute Physiology and Chronic Health Evaluation II; CI, confidence interval; CIF, cumulative incidence function; CKD, chronic kidney </w:t>
      </w:r>
      <w:proofErr w:type="spellStart"/>
      <w:r>
        <w:rPr>
          <w:rFonts w:ascii="Calibri" w:eastAsia="Calibri" w:hAnsi="Calibri" w:cs="Calibri"/>
          <w:color w:val="000000"/>
          <w:sz w:val="19"/>
        </w:rPr>
        <w:t>disease</w:t>
      </w:r>
      <w:proofErr w:type="spellEnd"/>
      <w:r>
        <w:rPr>
          <w:rFonts w:ascii="Calibri" w:eastAsia="Calibri" w:hAnsi="Calibri" w:cs="Calibri"/>
          <w:color w:val="000000"/>
          <w:sz w:val="19"/>
        </w:rPr>
        <w:t xml:space="preserve">; CRBSI, </w:t>
      </w:r>
      <w:proofErr w:type="spellStart"/>
      <w:r>
        <w:rPr>
          <w:rFonts w:ascii="Calibri" w:eastAsia="Calibri" w:hAnsi="Calibri" w:cs="Calibri"/>
          <w:color w:val="000000"/>
          <w:sz w:val="19"/>
        </w:rPr>
        <w:t>catheter-related</w:t>
      </w:r>
      <w:proofErr w:type="spellEnd"/>
      <w:r>
        <w:rPr>
          <w:rFonts w:ascii="Calibri" w:eastAsia="Calibri" w:hAnsi="Calibri" w:cs="Calibri"/>
          <w:color w:val="000000"/>
          <w:sz w:val="19"/>
        </w:rPr>
        <w:t xml:space="preserve"> </w:t>
      </w:r>
      <w:proofErr w:type="spellStart"/>
      <w:r>
        <w:rPr>
          <w:rFonts w:ascii="Calibri" w:eastAsia="Calibri" w:hAnsi="Calibri" w:cs="Calibri"/>
          <w:color w:val="000000"/>
          <w:sz w:val="19"/>
        </w:rPr>
        <w:t>bloodstream</w:t>
      </w:r>
      <w:proofErr w:type="spellEnd"/>
      <w:r>
        <w:rPr>
          <w:rFonts w:ascii="Calibri" w:eastAsia="Calibri" w:hAnsi="Calibri" w:cs="Calibri"/>
          <w:color w:val="000000"/>
          <w:sz w:val="19"/>
        </w:rPr>
        <w:t xml:space="preserve"> </w:t>
      </w:r>
      <w:proofErr w:type="spellStart"/>
      <w:r>
        <w:rPr>
          <w:rFonts w:ascii="Calibri" w:eastAsia="Calibri" w:hAnsi="Calibri" w:cs="Calibri"/>
          <w:color w:val="000000"/>
          <w:sz w:val="19"/>
        </w:rPr>
        <w:t>infection</w:t>
      </w:r>
      <w:proofErr w:type="spellEnd"/>
      <w:r>
        <w:rPr>
          <w:rFonts w:ascii="Calibri" w:eastAsia="Calibri" w:hAnsi="Calibri" w:cs="Calibri"/>
          <w:color w:val="000000"/>
          <w:sz w:val="19"/>
        </w:rPr>
        <w:t xml:space="preserve">; CVC, </w:t>
      </w:r>
      <w:proofErr w:type="spellStart"/>
      <w:r>
        <w:rPr>
          <w:rFonts w:ascii="Calibri" w:eastAsia="Calibri" w:hAnsi="Calibri" w:cs="Calibri"/>
          <w:color w:val="000000"/>
          <w:sz w:val="19"/>
        </w:rPr>
        <w:t>central</w:t>
      </w:r>
      <w:proofErr w:type="spellEnd"/>
      <w:r>
        <w:rPr>
          <w:rFonts w:ascii="Calibri" w:eastAsia="Calibri" w:hAnsi="Calibri" w:cs="Calibri"/>
          <w:color w:val="000000"/>
          <w:sz w:val="19"/>
        </w:rPr>
        <w:t xml:space="preserve"> </w:t>
      </w:r>
      <w:proofErr w:type="spellStart"/>
      <w:r>
        <w:rPr>
          <w:rFonts w:ascii="Calibri" w:eastAsia="Calibri" w:hAnsi="Calibri" w:cs="Calibri"/>
          <w:color w:val="000000"/>
          <w:sz w:val="19"/>
        </w:rPr>
        <w:t>venous</w:t>
      </w:r>
      <w:proofErr w:type="spellEnd"/>
      <w:r>
        <w:rPr>
          <w:rFonts w:ascii="Calibri" w:eastAsia="Calibri" w:hAnsi="Calibri" w:cs="Calibri"/>
          <w:color w:val="000000"/>
          <w:sz w:val="19"/>
        </w:rPr>
        <w:t xml:space="preserve"> </w:t>
      </w:r>
      <w:proofErr w:type="spellStart"/>
      <w:r>
        <w:rPr>
          <w:rFonts w:ascii="Calibri" w:eastAsia="Calibri" w:hAnsi="Calibri" w:cs="Calibri"/>
          <w:color w:val="000000"/>
          <w:sz w:val="19"/>
        </w:rPr>
        <w:t>catheter</w:t>
      </w:r>
      <w:proofErr w:type="spellEnd"/>
      <w:r>
        <w:rPr>
          <w:rFonts w:ascii="Calibri" w:eastAsia="Calibri" w:hAnsi="Calibri" w:cs="Calibri"/>
          <w:color w:val="000000"/>
          <w:sz w:val="19"/>
        </w:rPr>
        <w:t xml:space="preserve">; </w:t>
      </w:r>
      <w:proofErr w:type="spellStart"/>
      <w:r w:rsidR="004600E8" w:rsidRPr="004600E8">
        <w:rPr>
          <w:rFonts w:ascii="Calibri" w:eastAsia="Calibri" w:hAnsi="Calibri" w:cs="Calibri"/>
          <w:color w:val="000000"/>
          <w:sz w:val="19"/>
        </w:rPr>
        <w:t>df</w:t>
      </w:r>
      <w:proofErr w:type="spellEnd"/>
      <w:r w:rsidR="004600E8" w:rsidRPr="004600E8">
        <w:rPr>
          <w:rFonts w:ascii="Calibri" w:eastAsia="Calibri" w:hAnsi="Calibri" w:cs="Calibri"/>
          <w:color w:val="000000"/>
          <w:sz w:val="19"/>
        </w:rPr>
        <w:t xml:space="preserve">, </w:t>
      </w:r>
      <w:proofErr w:type="spellStart"/>
      <w:r w:rsidR="004600E8" w:rsidRPr="004600E8">
        <w:rPr>
          <w:rFonts w:ascii="Calibri" w:eastAsia="Calibri" w:hAnsi="Calibri" w:cs="Calibri"/>
          <w:color w:val="000000"/>
          <w:sz w:val="19"/>
        </w:rPr>
        <w:t>degrees</w:t>
      </w:r>
      <w:proofErr w:type="spellEnd"/>
      <w:r w:rsidR="004600E8" w:rsidRPr="004600E8">
        <w:rPr>
          <w:rFonts w:ascii="Calibri" w:eastAsia="Calibri" w:hAnsi="Calibri" w:cs="Calibri"/>
          <w:color w:val="000000"/>
          <w:sz w:val="19"/>
        </w:rPr>
        <w:t xml:space="preserve"> of </w:t>
      </w:r>
      <w:proofErr w:type="spellStart"/>
      <w:r w:rsidR="004600E8" w:rsidRPr="004600E8">
        <w:rPr>
          <w:rFonts w:ascii="Calibri" w:eastAsia="Calibri" w:hAnsi="Calibri" w:cs="Calibri"/>
          <w:color w:val="000000"/>
          <w:sz w:val="19"/>
        </w:rPr>
        <w:t>freedom</w:t>
      </w:r>
      <w:proofErr w:type="spellEnd"/>
      <w:r w:rsidR="004600E8">
        <w:rPr>
          <w:rFonts w:ascii="Calibri" w:eastAsia="Calibri" w:hAnsi="Calibri" w:cs="Calibri"/>
          <w:color w:val="000000"/>
          <w:sz w:val="19"/>
        </w:rPr>
        <w:t xml:space="preserve">; </w:t>
      </w:r>
      <w:r>
        <w:rPr>
          <w:rFonts w:ascii="Calibri" w:eastAsia="Calibri" w:hAnsi="Calibri" w:cs="Calibri"/>
          <w:color w:val="000000"/>
          <w:sz w:val="19"/>
        </w:rPr>
        <w:t xml:space="preserve">ESRD, </w:t>
      </w:r>
      <w:proofErr w:type="spellStart"/>
      <w:r>
        <w:rPr>
          <w:rFonts w:ascii="Calibri" w:eastAsia="Calibri" w:hAnsi="Calibri" w:cs="Calibri"/>
          <w:color w:val="000000"/>
          <w:sz w:val="19"/>
        </w:rPr>
        <w:t>end-stage</w:t>
      </w:r>
      <w:proofErr w:type="spellEnd"/>
      <w:r>
        <w:rPr>
          <w:rFonts w:ascii="Calibri" w:eastAsia="Calibri" w:hAnsi="Calibri" w:cs="Calibri"/>
          <w:color w:val="000000"/>
          <w:sz w:val="19"/>
        </w:rPr>
        <w:t xml:space="preserve"> renal </w:t>
      </w:r>
      <w:proofErr w:type="spellStart"/>
      <w:r>
        <w:rPr>
          <w:rFonts w:ascii="Calibri" w:eastAsia="Calibri" w:hAnsi="Calibri" w:cs="Calibri"/>
          <w:color w:val="000000"/>
          <w:sz w:val="19"/>
        </w:rPr>
        <w:t>disease</w:t>
      </w:r>
      <w:proofErr w:type="spellEnd"/>
      <w:r>
        <w:rPr>
          <w:rFonts w:ascii="Calibri" w:eastAsia="Calibri" w:hAnsi="Calibri" w:cs="Calibri"/>
          <w:color w:val="000000"/>
          <w:sz w:val="19"/>
        </w:rPr>
        <w:t xml:space="preserve">; HR, </w:t>
      </w:r>
      <w:proofErr w:type="spellStart"/>
      <w:r>
        <w:rPr>
          <w:rFonts w:ascii="Calibri" w:eastAsia="Calibri" w:hAnsi="Calibri" w:cs="Calibri"/>
          <w:color w:val="000000"/>
          <w:sz w:val="19"/>
        </w:rPr>
        <w:t>hazard</w:t>
      </w:r>
      <w:proofErr w:type="spellEnd"/>
      <w:r>
        <w:rPr>
          <w:rFonts w:ascii="Calibri" w:eastAsia="Calibri" w:hAnsi="Calibri" w:cs="Calibri"/>
          <w:color w:val="000000"/>
          <w:sz w:val="19"/>
        </w:rPr>
        <w:t xml:space="preserve"> </w:t>
      </w:r>
      <w:proofErr w:type="spellStart"/>
      <w:r>
        <w:rPr>
          <w:rFonts w:ascii="Calibri" w:eastAsia="Calibri" w:hAnsi="Calibri" w:cs="Calibri"/>
          <w:color w:val="000000"/>
          <w:sz w:val="19"/>
        </w:rPr>
        <w:t>ratio</w:t>
      </w:r>
      <w:proofErr w:type="spellEnd"/>
      <w:r>
        <w:rPr>
          <w:rFonts w:ascii="Calibri" w:eastAsia="Calibri" w:hAnsi="Calibri" w:cs="Calibri"/>
          <w:color w:val="000000"/>
          <w:sz w:val="19"/>
        </w:rPr>
        <w:t>; ICU, intensive care unit; IQR, interquartile range; sHR, subdistribution hazard ratio; TPN, total parenteral nutrition.</w:t>
      </w:r>
    </w:p>
    <w:p w14:paraId="6EEB76B7" w14:textId="5A3A26E7" w:rsidR="003A78C2" w:rsidRPr="0042579F" w:rsidRDefault="00000000">
      <w:pPr>
        <w:pStyle w:val="Caption"/>
        <w:keepNext/>
        <w:keepLines/>
        <w:pageBreakBefore/>
        <w:spacing w:after="160"/>
        <w:rPr>
          <w:lang w:val="en-US"/>
        </w:rPr>
      </w:pPr>
      <w:r w:rsidRPr="0042579F">
        <w:rPr>
          <w:rFonts w:ascii="Calibri" w:eastAsia="Calibri" w:hAnsi="Calibri" w:cs="Calibri"/>
          <w:b/>
          <w:bCs/>
          <w:i w:val="0"/>
          <w:color w:val="000000"/>
          <w:sz w:val="24"/>
          <w:lang w:val="en-US"/>
        </w:rPr>
        <w:lastRenderedPageBreak/>
        <w:t>Supplementary Table S</w:t>
      </w:r>
      <w:r w:rsidR="00254B13">
        <w:rPr>
          <w:rFonts w:ascii="Calibri" w:eastAsia="Calibri" w:hAnsi="Calibri" w:cs="Calibri"/>
          <w:b/>
          <w:bCs/>
          <w:i w:val="0"/>
          <w:color w:val="000000"/>
          <w:sz w:val="24"/>
          <w:lang w:val="en-US"/>
        </w:rPr>
        <w:t>4</w:t>
      </w:r>
      <w:r w:rsidRPr="0042579F">
        <w:rPr>
          <w:rFonts w:ascii="Calibri" w:eastAsia="Calibri" w:hAnsi="Calibri" w:cs="Calibri"/>
          <w:i w:val="0"/>
          <w:color w:val="000000"/>
          <w:sz w:val="24"/>
          <w:lang w:val="en-US"/>
        </w:rPr>
        <w:t>. Paired catheter-drawn and blood-culture results among CRBSI-positive catheter episodes.</w:t>
      </w:r>
    </w:p>
    <w:tbl>
      <w:tblPr>
        <w:tblW w:w="1368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48" w:type="dxa"/>
          <w:left w:w="75" w:type="dxa"/>
          <w:bottom w:w="48" w:type="dxa"/>
          <w:right w:w="75" w:type="dxa"/>
        </w:tblCellMar>
        <w:tblLook w:val="04A0" w:firstRow="1" w:lastRow="0" w:firstColumn="1" w:lastColumn="0" w:noHBand="0" w:noVBand="1"/>
      </w:tblPr>
      <w:tblGrid>
        <w:gridCol w:w="2088"/>
        <w:gridCol w:w="3384"/>
        <w:gridCol w:w="1584"/>
        <w:gridCol w:w="1800"/>
        <w:gridCol w:w="1800"/>
        <w:gridCol w:w="3024"/>
      </w:tblGrid>
      <w:tr w:rsidR="003A78C2" w:rsidRPr="0042579F" w14:paraId="3688CD4F" w14:textId="77777777">
        <w:trPr>
          <w:cantSplit/>
          <w:tblHeader/>
          <w:jc w:val="center"/>
        </w:trPr>
        <w:tc>
          <w:tcPr>
            <w:tcW w:w="2088" w:type="dxa"/>
            <w:shd w:val="clear" w:color="auto" w:fill="D9EAF7"/>
            <w:vAlign w:val="center"/>
          </w:tcPr>
          <w:p w14:paraId="5A362BBC" w14:textId="77777777" w:rsidR="003A78C2" w:rsidRPr="0042579F" w:rsidRDefault="00000000">
            <w:pPr>
              <w:keepLines/>
              <w:spacing w:after="0" w:line="240" w:lineRule="auto"/>
              <w:rPr>
                <w:lang w:val="en-US"/>
              </w:rPr>
            </w:pPr>
            <w:r w:rsidRPr="0042579F">
              <w:rPr>
                <w:rFonts w:ascii="Calibri" w:eastAsia="Calibri" w:hAnsi="Calibri" w:cs="Calibri"/>
                <w:b/>
                <w:color w:val="000000"/>
                <w:sz w:val="20"/>
                <w:lang w:val="en-US"/>
              </w:rPr>
              <w:t>Pathogen group</w:t>
            </w:r>
          </w:p>
        </w:tc>
        <w:tc>
          <w:tcPr>
            <w:tcW w:w="3384" w:type="dxa"/>
            <w:shd w:val="clear" w:color="auto" w:fill="D9EAF7"/>
            <w:vAlign w:val="center"/>
          </w:tcPr>
          <w:p w14:paraId="6B38C2A8" w14:textId="77777777" w:rsidR="003A78C2" w:rsidRPr="0042579F" w:rsidRDefault="00000000">
            <w:pPr>
              <w:keepLines/>
              <w:spacing w:after="0" w:line="240" w:lineRule="auto"/>
              <w:rPr>
                <w:lang w:val="en-US"/>
              </w:rPr>
            </w:pPr>
            <w:r w:rsidRPr="0042579F">
              <w:rPr>
                <w:rFonts w:ascii="Calibri" w:eastAsia="Calibri" w:hAnsi="Calibri" w:cs="Calibri"/>
                <w:b/>
                <w:color w:val="000000"/>
                <w:sz w:val="20"/>
                <w:lang w:val="en-US"/>
              </w:rPr>
              <w:t>Blood-culture isolate</w:t>
            </w:r>
          </w:p>
        </w:tc>
        <w:tc>
          <w:tcPr>
            <w:tcW w:w="1584" w:type="dxa"/>
            <w:shd w:val="clear" w:color="auto" w:fill="D9EAF7"/>
            <w:vAlign w:val="center"/>
          </w:tcPr>
          <w:p w14:paraId="7B908E6E"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Blood culture n (% CRBSI)</w:t>
            </w:r>
          </w:p>
        </w:tc>
        <w:tc>
          <w:tcPr>
            <w:tcW w:w="1800" w:type="dxa"/>
            <w:shd w:val="clear" w:color="auto" w:fill="D9EAF7"/>
            <w:vAlign w:val="center"/>
          </w:tcPr>
          <w:p w14:paraId="73B50546"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Catheter-drawn same n (% row)</w:t>
            </w:r>
          </w:p>
        </w:tc>
        <w:tc>
          <w:tcPr>
            <w:tcW w:w="1800" w:type="dxa"/>
            <w:shd w:val="clear" w:color="auto" w:fill="D9EAF7"/>
            <w:vAlign w:val="center"/>
          </w:tcPr>
          <w:p w14:paraId="02983D41" w14:textId="77777777" w:rsidR="003A78C2" w:rsidRPr="0042579F" w:rsidRDefault="00000000">
            <w:pPr>
              <w:keepLines/>
              <w:spacing w:after="0" w:line="240" w:lineRule="auto"/>
              <w:jc w:val="center"/>
              <w:rPr>
                <w:lang w:val="en-US"/>
              </w:rPr>
            </w:pPr>
            <w:r w:rsidRPr="0042579F">
              <w:rPr>
                <w:rFonts w:ascii="Calibri" w:eastAsia="Calibri" w:hAnsi="Calibri" w:cs="Calibri"/>
                <w:b/>
                <w:color w:val="000000"/>
                <w:sz w:val="20"/>
                <w:lang w:val="en-US"/>
              </w:rPr>
              <w:t>Catheter-drawn discordant n (% row)</w:t>
            </w:r>
          </w:p>
        </w:tc>
        <w:tc>
          <w:tcPr>
            <w:tcW w:w="3024" w:type="dxa"/>
            <w:shd w:val="clear" w:color="auto" w:fill="D9EAF7"/>
            <w:vAlign w:val="center"/>
          </w:tcPr>
          <w:p w14:paraId="25728C9B" w14:textId="77777777" w:rsidR="003A78C2" w:rsidRPr="0042579F" w:rsidRDefault="00000000">
            <w:pPr>
              <w:keepLines/>
              <w:spacing w:after="0" w:line="240" w:lineRule="auto"/>
              <w:rPr>
                <w:lang w:val="en-US"/>
              </w:rPr>
            </w:pPr>
            <w:r w:rsidRPr="0042579F">
              <w:rPr>
                <w:rFonts w:ascii="Calibri" w:eastAsia="Calibri" w:hAnsi="Calibri" w:cs="Calibri"/>
                <w:b/>
                <w:color w:val="000000"/>
                <w:sz w:val="20"/>
                <w:lang w:val="en-US"/>
              </w:rPr>
              <w:t>Discordant catheter-drawn result(s)</w:t>
            </w:r>
          </w:p>
        </w:tc>
      </w:tr>
      <w:tr w:rsidR="003A78C2" w:rsidRPr="0042579F" w14:paraId="00B0F0B4" w14:textId="77777777">
        <w:trPr>
          <w:cantSplit/>
          <w:jc w:val="center"/>
        </w:trPr>
        <w:tc>
          <w:tcPr>
            <w:tcW w:w="2088" w:type="dxa"/>
            <w:shd w:val="clear" w:color="auto" w:fill="F4F7F9"/>
            <w:vAlign w:val="center"/>
          </w:tcPr>
          <w:p w14:paraId="3939269E"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Gram-negative bacteria</w:t>
            </w:r>
          </w:p>
        </w:tc>
        <w:tc>
          <w:tcPr>
            <w:tcW w:w="3384" w:type="dxa"/>
            <w:shd w:val="clear" w:color="auto" w:fill="F4F7F9"/>
            <w:vAlign w:val="center"/>
          </w:tcPr>
          <w:p w14:paraId="608B49D9"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Total</w:t>
            </w:r>
          </w:p>
        </w:tc>
        <w:tc>
          <w:tcPr>
            <w:tcW w:w="1584" w:type="dxa"/>
            <w:shd w:val="clear" w:color="auto" w:fill="F4F7F9"/>
            <w:vAlign w:val="center"/>
          </w:tcPr>
          <w:p w14:paraId="5A9CEA7D"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69 (57.0)</w:t>
            </w:r>
          </w:p>
        </w:tc>
        <w:tc>
          <w:tcPr>
            <w:tcW w:w="1800" w:type="dxa"/>
            <w:shd w:val="clear" w:color="auto" w:fill="F4F7F9"/>
            <w:vAlign w:val="center"/>
          </w:tcPr>
          <w:p w14:paraId="50DCA363"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69 (100.0)</w:t>
            </w:r>
          </w:p>
        </w:tc>
        <w:tc>
          <w:tcPr>
            <w:tcW w:w="1800" w:type="dxa"/>
            <w:shd w:val="clear" w:color="auto" w:fill="F4F7F9"/>
            <w:vAlign w:val="center"/>
          </w:tcPr>
          <w:p w14:paraId="3B74EEF9"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shd w:val="clear" w:color="auto" w:fill="F4F7F9"/>
            <w:vAlign w:val="center"/>
          </w:tcPr>
          <w:p w14:paraId="1000906A" w14:textId="77777777" w:rsidR="003A78C2" w:rsidRPr="0042579F" w:rsidRDefault="003A78C2">
            <w:pPr>
              <w:keepNext/>
              <w:keepLines/>
              <w:spacing w:after="0" w:line="240" w:lineRule="auto"/>
              <w:rPr>
                <w:lang w:val="en-US"/>
              </w:rPr>
            </w:pPr>
          </w:p>
        </w:tc>
      </w:tr>
      <w:tr w:rsidR="003A78C2" w:rsidRPr="0042579F" w14:paraId="77C49F09" w14:textId="77777777">
        <w:trPr>
          <w:cantSplit/>
          <w:jc w:val="center"/>
        </w:trPr>
        <w:tc>
          <w:tcPr>
            <w:tcW w:w="2088" w:type="dxa"/>
            <w:vAlign w:val="center"/>
          </w:tcPr>
          <w:p w14:paraId="1F0ED3BA" w14:textId="77777777" w:rsidR="003A78C2" w:rsidRPr="0042579F" w:rsidRDefault="003A78C2">
            <w:pPr>
              <w:keepLines/>
              <w:spacing w:after="0" w:line="240" w:lineRule="auto"/>
              <w:rPr>
                <w:lang w:val="en-US"/>
              </w:rPr>
            </w:pPr>
          </w:p>
        </w:tc>
        <w:tc>
          <w:tcPr>
            <w:tcW w:w="3384" w:type="dxa"/>
            <w:vAlign w:val="center"/>
          </w:tcPr>
          <w:p w14:paraId="16DD521A"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Klebsiella pneumoniae</w:t>
            </w:r>
          </w:p>
        </w:tc>
        <w:tc>
          <w:tcPr>
            <w:tcW w:w="1584" w:type="dxa"/>
            <w:vAlign w:val="center"/>
          </w:tcPr>
          <w:p w14:paraId="43A37205"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30 (24.8)</w:t>
            </w:r>
          </w:p>
        </w:tc>
        <w:tc>
          <w:tcPr>
            <w:tcW w:w="1800" w:type="dxa"/>
            <w:vAlign w:val="center"/>
          </w:tcPr>
          <w:p w14:paraId="7059FF5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30 (100.0)</w:t>
            </w:r>
          </w:p>
        </w:tc>
        <w:tc>
          <w:tcPr>
            <w:tcW w:w="1800" w:type="dxa"/>
            <w:vAlign w:val="center"/>
          </w:tcPr>
          <w:p w14:paraId="47A5CD2D"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3EBD1B14" w14:textId="77777777" w:rsidR="003A78C2" w:rsidRPr="0042579F" w:rsidRDefault="003A78C2">
            <w:pPr>
              <w:keepLines/>
              <w:spacing w:after="0" w:line="240" w:lineRule="auto"/>
              <w:rPr>
                <w:lang w:val="en-US"/>
              </w:rPr>
            </w:pPr>
          </w:p>
        </w:tc>
      </w:tr>
      <w:tr w:rsidR="003A78C2" w:rsidRPr="0042579F" w14:paraId="0B6FD3D6" w14:textId="77777777">
        <w:trPr>
          <w:cantSplit/>
          <w:jc w:val="center"/>
        </w:trPr>
        <w:tc>
          <w:tcPr>
            <w:tcW w:w="2088" w:type="dxa"/>
            <w:vAlign w:val="center"/>
          </w:tcPr>
          <w:p w14:paraId="4D161521" w14:textId="77777777" w:rsidR="003A78C2" w:rsidRPr="0042579F" w:rsidRDefault="003A78C2">
            <w:pPr>
              <w:keepLines/>
              <w:spacing w:after="0" w:line="240" w:lineRule="auto"/>
              <w:rPr>
                <w:lang w:val="en-US"/>
              </w:rPr>
            </w:pPr>
          </w:p>
        </w:tc>
        <w:tc>
          <w:tcPr>
            <w:tcW w:w="3384" w:type="dxa"/>
            <w:vAlign w:val="center"/>
          </w:tcPr>
          <w:p w14:paraId="63356C60"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Acinetobacter baumannii</w:t>
            </w:r>
          </w:p>
        </w:tc>
        <w:tc>
          <w:tcPr>
            <w:tcW w:w="1584" w:type="dxa"/>
            <w:vAlign w:val="center"/>
          </w:tcPr>
          <w:p w14:paraId="138B9377"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22 (18.2)</w:t>
            </w:r>
          </w:p>
        </w:tc>
        <w:tc>
          <w:tcPr>
            <w:tcW w:w="1800" w:type="dxa"/>
            <w:vAlign w:val="center"/>
          </w:tcPr>
          <w:p w14:paraId="6CA507FB"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22 (100.0)</w:t>
            </w:r>
          </w:p>
        </w:tc>
        <w:tc>
          <w:tcPr>
            <w:tcW w:w="1800" w:type="dxa"/>
            <w:vAlign w:val="center"/>
          </w:tcPr>
          <w:p w14:paraId="12301A87"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5A766790" w14:textId="77777777" w:rsidR="003A78C2" w:rsidRPr="0042579F" w:rsidRDefault="003A78C2">
            <w:pPr>
              <w:keepLines/>
              <w:spacing w:after="0" w:line="240" w:lineRule="auto"/>
              <w:rPr>
                <w:lang w:val="en-US"/>
              </w:rPr>
            </w:pPr>
          </w:p>
        </w:tc>
      </w:tr>
      <w:tr w:rsidR="003A78C2" w:rsidRPr="0042579F" w14:paraId="4F471C90" w14:textId="77777777">
        <w:trPr>
          <w:cantSplit/>
          <w:jc w:val="center"/>
        </w:trPr>
        <w:tc>
          <w:tcPr>
            <w:tcW w:w="2088" w:type="dxa"/>
            <w:vAlign w:val="center"/>
          </w:tcPr>
          <w:p w14:paraId="5C1E6805" w14:textId="77777777" w:rsidR="003A78C2" w:rsidRPr="0042579F" w:rsidRDefault="003A78C2">
            <w:pPr>
              <w:keepLines/>
              <w:spacing w:after="0" w:line="240" w:lineRule="auto"/>
              <w:rPr>
                <w:lang w:val="en-US"/>
              </w:rPr>
            </w:pPr>
          </w:p>
        </w:tc>
        <w:tc>
          <w:tcPr>
            <w:tcW w:w="3384" w:type="dxa"/>
            <w:vAlign w:val="center"/>
          </w:tcPr>
          <w:p w14:paraId="15897943"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Escherichia coli</w:t>
            </w:r>
          </w:p>
        </w:tc>
        <w:tc>
          <w:tcPr>
            <w:tcW w:w="1584" w:type="dxa"/>
            <w:vAlign w:val="center"/>
          </w:tcPr>
          <w:p w14:paraId="55FDB2F7"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(3.3)</w:t>
            </w:r>
          </w:p>
        </w:tc>
        <w:tc>
          <w:tcPr>
            <w:tcW w:w="1800" w:type="dxa"/>
            <w:vAlign w:val="center"/>
          </w:tcPr>
          <w:p w14:paraId="00C78D5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(100.0)</w:t>
            </w:r>
          </w:p>
        </w:tc>
        <w:tc>
          <w:tcPr>
            <w:tcW w:w="1800" w:type="dxa"/>
            <w:vAlign w:val="center"/>
          </w:tcPr>
          <w:p w14:paraId="028613C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6CB0A216" w14:textId="77777777" w:rsidR="003A78C2" w:rsidRPr="0042579F" w:rsidRDefault="003A78C2">
            <w:pPr>
              <w:keepLines/>
              <w:spacing w:after="0" w:line="240" w:lineRule="auto"/>
              <w:rPr>
                <w:lang w:val="en-US"/>
              </w:rPr>
            </w:pPr>
          </w:p>
        </w:tc>
      </w:tr>
      <w:tr w:rsidR="003A78C2" w:rsidRPr="0042579F" w14:paraId="20D9788D" w14:textId="77777777">
        <w:trPr>
          <w:cantSplit/>
          <w:jc w:val="center"/>
        </w:trPr>
        <w:tc>
          <w:tcPr>
            <w:tcW w:w="2088" w:type="dxa"/>
            <w:vAlign w:val="center"/>
          </w:tcPr>
          <w:p w14:paraId="761FA77C" w14:textId="77777777" w:rsidR="003A78C2" w:rsidRPr="0042579F" w:rsidRDefault="003A78C2">
            <w:pPr>
              <w:keepLines/>
              <w:spacing w:after="0" w:line="240" w:lineRule="auto"/>
              <w:rPr>
                <w:lang w:val="en-US"/>
              </w:rPr>
            </w:pPr>
          </w:p>
        </w:tc>
        <w:tc>
          <w:tcPr>
            <w:tcW w:w="3384" w:type="dxa"/>
            <w:vAlign w:val="center"/>
          </w:tcPr>
          <w:p w14:paraId="376944D2"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Pseudomonas aeruginosa</w:t>
            </w:r>
          </w:p>
        </w:tc>
        <w:tc>
          <w:tcPr>
            <w:tcW w:w="1584" w:type="dxa"/>
            <w:vAlign w:val="center"/>
          </w:tcPr>
          <w:p w14:paraId="5C82010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(3.3)</w:t>
            </w:r>
          </w:p>
        </w:tc>
        <w:tc>
          <w:tcPr>
            <w:tcW w:w="1800" w:type="dxa"/>
            <w:vAlign w:val="center"/>
          </w:tcPr>
          <w:p w14:paraId="026E7A75"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(100.0)</w:t>
            </w:r>
          </w:p>
        </w:tc>
        <w:tc>
          <w:tcPr>
            <w:tcW w:w="1800" w:type="dxa"/>
            <w:vAlign w:val="center"/>
          </w:tcPr>
          <w:p w14:paraId="635C993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726ED475" w14:textId="77777777" w:rsidR="003A78C2" w:rsidRPr="0042579F" w:rsidRDefault="003A78C2">
            <w:pPr>
              <w:keepLines/>
              <w:spacing w:after="0" w:line="240" w:lineRule="auto"/>
              <w:rPr>
                <w:lang w:val="en-US"/>
              </w:rPr>
            </w:pPr>
          </w:p>
        </w:tc>
      </w:tr>
      <w:tr w:rsidR="003A78C2" w:rsidRPr="0042579F" w14:paraId="263EBED0" w14:textId="77777777">
        <w:trPr>
          <w:cantSplit/>
          <w:jc w:val="center"/>
        </w:trPr>
        <w:tc>
          <w:tcPr>
            <w:tcW w:w="2088" w:type="dxa"/>
            <w:vAlign w:val="center"/>
          </w:tcPr>
          <w:p w14:paraId="51F29037" w14:textId="77777777" w:rsidR="003A78C2" w:rsidRPr="0042579F" w:rsidRDefault="003A78C2">
            <w:pPr>
              <w:keepLines/>
              <w:spacing w:after="0" w:line="240" w:lineRule="auto"/>
              <w:rPr>
                <w:lang w:val="en-US"/>
              </w:rPr>
            </w:pPr>
          </w:p>
        </w:tc>
        <w:tc>
          <w:tcPr>
            <w:tcW w:w="3384" w:type="dxa"/>
            <w:vAlign w:val="center"/>
          </w:tcPr>
          <w:p w14:paraId="61936366"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Proteus mirabilis</w:t>
            </w:r>
          </w:p>
        </w:tc>
        <w:tc>
          <w:tcPr>
            <w:tcW w:w="1584" w:type="dxa"/>
            <w:vAlign w:val="center"/>
          </w:tcPr>
          <w:p w14:paraId="6E591C97"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3 (2.5)</w:t>
            </w:r>
          </w:p>
        </w:tc>
        <w:tc>
          <w:tcPr>
            <w:tcW w:w="1800" w:type="dxa"/>
            <w:vAlign w:val="center"/>
          </w:tcPr>
          <w:p w14:paraId="6BAAB335"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3 (100.0)</w:t>
            </w:r>
          </w:p>
        </w:tc>
        <w:tc>
          <w:tcPr>
            <w:tcW w:w="1800" w:type="dxa"/>
            <w:vAlign w:val="center"/>
          </w:tcPr>
          <w:p w14:paraId="0EA9D6BE"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249FEC73" w14:textId="77777777" w:rsidR="003A78C2" w:rsidRPr="0042579F" w:rsidRDefault="003A78C2">
            <w:pPr>
              <w:keepLines/>
              <w:spacing w:after="0" w:line="240" w:lineRule="auto"/>
              <w:rPr>
                <w:lang w:val="en-US"/>
              </w:rPr>
            </w:pPr>
          </w:p>
        </w:tc>
      </w:tr>
      <w:tr w:rsidR="003A78C2" w:rsidRPr="0042579F" w14:paraId="646B758A" w14:textId="77777777">
        <w:trPr>
          <w:cantSplit/>
          <w:jc w:val="center"/>
        </w:trPr>
        <w:tc>
          <w:tcPr>
            <w:tcW w:w="2088" w:type="dxa"/>
            <w:vAlign w:val="center"/>
          </w:tcPr>
          <w:p w14:paraId="502AEC88" w14:textId="77777777" w:rsidR="003A78C2" w:rsidRPr="0042579F" w:rsidRDefault="003A78C2">
            <w:pPr>
              <w:keepLines/>
              <w:spacing w:after="0" w:line="240" w:lineRule="auto"/>
              <w:rPr>
                <w:lang w:val="en-US"/>
              </w:rPr>
            </w:pPr>
          </w:p>
        </w:tc>
        <w:tc>
          <w:tcPr>
            <w:tcW w:w="3384" w:type="dxa"/>
            <w:vAlign w:val="center"/>
          </w:tcPr>
          <w:p w14:paraId="19C0F560"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Providencia </w:t>
            </w:r>
            <w:proofErr w:type="spellStart"/>
            <w:r w:rsidRPr="0042579F">
              <w:rPr>
                <w:rFonts w:ascii="Calibri" w:eastAsia="Calibri" w:hAnsi="Calibri" w:cs="Calibri"/>
                <w:color w:val="000000"/>
                <w:sz w:val="21"/>
                <w:lang w:val="en-US"/>
              </w:rPr>
              <w:t>stuartii</w:t>
            </w:r>
            <w:proofErr w:type="spellEnd"/>
          </w:p>
        </w:tc>
        <w:tc>
          <w:tcPr>
            <w:tcW w:w="1584" w:type="dxa"/>
            <w:vAlign w:val="center"/>
          </w:tcPr>
          <w:p w14:paraId="1A9220CB"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vAlign w:val="center"/>
          </w:tcPr>
          <w:p w14:paraId="7300D91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(100.0)</w:t>
            </w:r>
          </w:p>
        </w:tc>
        <w:tc>
          <w:tcPr>
            <w:tcW w:w="1800" w:type="dxa"/>
            <w:vAlign w:val="center"/>
          </w:tcPr>
          <w:p w14:paraId="029472C4"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140379FC" w14:textId="77777777" w:rsidR="003A78C2" w:rsidRPr="0042579F" w:rsidRDefault="003A78C2">
            <w:pPr>
              <w:keepLines/>
              <w:spacing w:after="0" w:line="240" w:lineRule="auto"/>
              <w:rPr>
                <w:lang w:val="en-US"/>
              </w:rPr>
            </w:pPr>
          </w:p>
        </w:tc>
      </w:tr>
      <w:tr w:rsidR="003A78C2" w:rsidRPr="0042579F" w14:paraId="7B058670" w14:textId="77777777">
        <w:trPr>
          <w:cantSplit/>
          <w:jc w:val="center"/>
        </w:trPr>
        <w:tc>
          <w:tcPr>
            <w:tcW w:w="2088" w:type="dxa"/>
            <w:vAlign w:val="center"/>
          </w:tcPr>
          <w:p w14:paraId="09891A6F" w14:textId="77777777" w:rsidR="003A78C2" w:rsidRPr="0042579F" w:rsidRDefault="003A78C2">
            <w:pPr>
              <w:keepLines/>
              <w:spacing w:after="0" w:line="240" w:lineRule="auto"/>
              <w:rPr>
                <w:lang w:val="en-US"/>
              </w:rPr>
            </w:pPr>
          </w:p>
        </w:tc>
        <w:tc>
          <w:tcPr>
            <w:tcW w:w="3384" w:type="dxa"/>
            <w:vAlign w:val="center"/>
          </w:tcPr>
          <w:p w14:paraId="6BC7CBFE"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Serratia marcescens</w:t>
            </w:r>
          </w:p>
        </w:tc>
        <w:tc>
          <w:tcPr>
            <w:tcW w:w="1584" w:type="dxa"/>
            <w:vAlign w:val="center"/>
          </w:tcPr>
          <w:p w14:paraId="6AE9CDE6"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vAlign w:val="center"/>
          </w:tcPr>
          <w:p w14:paraId="268CEFB6"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(100.0)</w:t>
            </w:r>
          </w:p>
        </w:tc>
        <w:tc>
          <w:tcPr>
            <w:tcW w:w="1800" w:type="dxa"/>
            <w:vAlign w:val="center"/>
          </w:tcPr>
          <w:p w14:paraId="07D4D60A"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0B23E499" w14:textId="77777777" w:rsidR="003A78C2" w:rsidRPr="0042579F" w:rsidRDefault="003A78C2">
            <w:pPr>
              <w:keepLines/>
              <w:spacing w:after="0" w:line="240" w:lineRule="auto"/>
              <w:rPr>
                <w:lang w:val="en-US"/>
              </w:rPr>
            </w:pPr>
          </w:p>
        </w:tc>
      </w:tr>
      <w:tr w:rsidR="003A78C2" w:rsidRPr="0042579F" w14:paraId="15371ECD" w14:textId="77777777">
        <w:trPr>
          <w:cantSplit/>
          <w:jc w:val="center"/>
        </w:trPr>
        <w:tc>
          <w:tcPr>
            <w:tcW w:w="2088" w:type="dxa"/>
            <w:vAlign w:val="center"/>
          </w:tcPr>
          <w:p w14:paraId="1E03741F" w14:textId="77777777" w:rsidR="003A78C2" w:rsidRPr="0042579F" w:rsidRDefault="003A78C2">
            <w:pPr>
              <w:keepLines/>
              <w:spacing w:after="0" w:line="240" w:lineRule="auto"/>
              <w:rPr>
                <w:lang w:val="en-US"/>
              </w:rPr>
            </w:pPr>
          </w:p>
        </w:tc>
        <w:tc>
          <w:tcPr>
            <w:tcW w:w="3384" w:type="dxa"/>
            <w:vAlign w:val="center"/>
          </w:tcPr>
          <w:p w14:paraId="058A7F4A"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Enterobacter aerogenes</w:t>
            </w:r>
          </w:p>
        </w:tc>
        <w:tc>
          <w:tcPr>
            <w:tcW w:w="1584" w:type="dxa"/>
            <w:vAlign w:val="center"/>
          </w:tcPr>
          <w:p w14:paraId="2D41EBF0"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(0.8)</w:t>
            </w:r>
          </w:p>
        </w:tc>
        <w:tc>
          <w:tcPr>
            <w:tcW w:w="1800" w:type="dxa"/>
            <w:vAlign w:val="center"/>
          </w:tcPr>
          <w:p w14:paraId="5505168D"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(100.0)</w:t>
            </w:r>
          </w:p>
        </w:tc>
        <w:tc>
          <w:tcPr>
            <w:tcW w:w="1800" w:type="dxa"/>
            <w:vAlign w:val="center"/>
          </w:tcPr>
          <w:p w14:paraId="3F3EFA30"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6E10CA8B" w14:textId="77777777" w:rsidR="003A78C2" w:rsidRPr="0042579F" w:rsidRDefault="003A78C2">
            <w:pPr>
              <w:keepLines/>
              <w:spacing w:after="0" w:line="240" w:lineRule="auto"/>
              <w:rPr>
                <w:lang w:val="en-US"/>
              </w:rPr>
            </w:pPr>
          </w:p>
        </w:tc>
      </w:tr>
      <w:tr w:rsidR="003A78C2" w:rsidRPr="0042579F" w14:paraId="1D506C9F" w14:textId="77777777">
        <w:trPr>
          <w:cantSplit/>
          <w:jc w:val="center"/>
        </w:trPr>
        <w:tc>
          <w:tcPr>
            <w:tcW w:w="2088" w:type="dxa"/>
            <w:vAlign w:val="center"/>
          </w:tcPr>
          <w:p w14:paraId="7EA54BF3" w14:textId="77777777" w:rsidR="003A78C2" w:rsidRPr="0042579F" w:rsidRDefault="003A78C2">
            <w:pPr>
              <w:keepLines/>
              <w:spacing w:after="0" w:line="240" w:lineRule="auto"/>
              <w:rPr>
                <w:lang w:val="en-US"/>
              </w:rPr>
            </w:pPr>
          </w:p>
        </w:tc>
        <w:tc>
          <w:tcPr>
            <w:tcW w:w="3384" w:type="dxa"/>
            <w:vAlign w:val="center"/>
          </w:tcPr>
          <w:p w14:paraId="265FB34C"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Stenotrophomonas maltophilia</w:t>
            </w:r>
          </w:p>
        </w:tc>
        <w:tc>
          <w:tcPr>
            <w:tcW w:w="1584" w:type="dxa"/>
            <w:vAlign w:val="center"/>
          </w:tcPr>
          <w:p w14:paraId="406E346A"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(0.8)</w:t>
            </w:r>
          </w:p>
        </w:tc>
        <w:tc>
          <w:tcPr>
            <w:tcW w:w="1800" w:type="dxa"/>
            <w:vAlign w:val="center"/>
          </w:tcPr>
          <w:p w14:paraId="5EDD9D20"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(100.0)</w:t>
            </w:r>
          </w:p>
        </w:tc>
        <w:tc>
          <w:tcPr>
            <w:tcW w:w="1800" w:type="dxa"/>
            <w:vAlign w:val="center"/>
          </w:tcPr>
          <w:p w14:paraId="76E1AD90"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4ACC5E74" w14:textId="77777777" w:rsidR="003A78C2" w:rsidRPr="0042579F" w:rsidRDefault="003A78C2">
            <w:pPr>
              <w:keepLines/>
              <w:spacing w:after="0" w:line="240" w:lineRule="auto"/>
              <w:rPr>
                <w:lang w:val="en-US"/>
              </w:rPr>
            </w:pPr>
          </w:p>
        </w:tc>
      </w:tr>
      <w:tr w:rsidR="003A78C2" w:rsidRPr="0042579F" w14:paraId="62F69713" w14:textId="77777777">
        <w:trPr>
          <w:cantSplit/>
          <w:jc w:val="center"/>
        </w:trPr>
        <w:tc>
          <w:tcPr>
            <w:tcW w:w="2088" w:type="dxa"/>
            <w:shd w:val="clear" w:color="auto" w:fill="F4F7F9"/>
            <w:vAlign w:val="center"/>
          </w:tcPr>
          <w:p w14:paraId="3163D97E"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Gram-positive bacteria</w:t>
            </w:r>
          </w:p>
        </w:tc>
        <w:tc>
          <w:tcPr>
            <w:tcW w:w="3384" w:type="dxa"/>
            <w:shd w:val="clear" w:color="auto" w:fill="F4F7F9"/>
            <w:vAlign w:val="center"/>
          </w:tcPr>
          <w:p w14:paraId="5E9B866C"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Total</w:t>
            </w:r>
          </w:p>
        </w:tc>
        <w:tc>
          <w:tcPr>
            <w:tcW w:w="1584" w:type="dxa"/>
            <w:shd w:val="clear" w:color="auto" w:fill="F4F7F9"/>
            <w:vAlign w:val="center"/>
          </w:tcPr>
          <w:p w14:paraId="0F80BA4C"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29 (24.0)</w:t>
            </w:r>
          </w:p>
        </w:tc>
        <w:tc>
          <w:tcPr>
            <w:tcW w:w="1800" w:type="dxa"/>
            <w:shd w:val="clear" w:color="auto" w:fill="F4F7F9"/>
            <w:vAlign w:val="center"/>
          </w:tcPr>
          <w:p w14:paraId="5877C003"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27 (93.1)</w:t>
            </w:r>
          </w:p>
        </w:tc>
        <w:tc>
          <w:tcPr>
            <w:tcW w:w="1800" w:type="dxa"/>
            <w:shd w:val="clear" w:color="auto" w:fill="F4F7F9"/>
            <w:vAlign w:val="center"/>
          </w:tcPr>
          <w:p w14:paraId="050E1B18"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2 (6.9)</w:t>
            </w:r>
          </w:p>
        </w:tc>
        <w:tc>
          <w:tcPr>
            <w:tcW w:w="3024" w:type="dxa"/>
            <w:shd w:val="clear" w:color="auto" w:fill="F4F7F9"/>
            <w:vAlign w:val="center"/>
          </w:tcPr>
          <w:p w14:paraId="09321FB2"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See organism rows</w:t>
            </w:r>
          </w:p>
        </w:tc>
      </w:tr>
      <w:tr w:rsidR="003A78C2" w:rsidRPr="0042579F" w14:paraId="35A7EABE" w14:textId="77777777">
        <w:trPr>
          <w:cantSplit/>
          <w:jc w:val="center"/>
        </w:trPr>
        <w:tc>
          <w:tcPr>
            <w:tcW w:w="2088" w:type="dxa"/>
            <w:vAlign w:val="center"/>
          </w:tcPr>
          <w:p w14:paraId="290EA293" w14:textId="77777777" w:rsidR="003A78C2" w:rsidRPr="0042579F" w:rsidRDefault="003A78C2">
            <w:pPr>
              <w:keepLines/>
              <w:spacing w:after="0" w:line="240" w:lineRule="auto"/>
              <w:rPr>
                <w:lang w:val="en-US"/>
              </w:rPr>
            </w:pPr>
          </w:p>
        </w:tc>
        <w:tc>
          <w:tcPr>
            <w:tcW w:w="3384" w:type="dxa"/>
            <w:vAlign w:val="center"/>
          </w:tcPr>
          <w:p w14:paraId="317F9FBE"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Staphylococcus epidermidis</w:t>
            </w:r>
          </w:p>
        </w:tc>
        <w:tc>
          <w:tcPr>
            <w:tcW w:w="1584" w:type="dxa"/>
            <w:vAlign w:val="center"/>
          </w:tcPr>
          <w:p w14:paraId="08201AA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9 (7.4)</w:t>
            </w:r>
          </w:p>
        </w:tc>
        <w:tc>
          <w:tcPr>
            <w:tcW w:w="1800" w:type="dxa"/>
            <w:vAlign w:val="center"/>
          </w:tcPr>
          <w:p w14:paraId="52AB88AE"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8 (88.9)</w:t>
            </w:r>
          </w:p>
        </w:tc>
        <w:tc>
          <w:tcPr>
            <w:tcW w:w="1800" w:type="dxa"/>
            <w:vAlign w:val="center"/>
          </w:tcPr>
          <w:p w14:paraId="19A75966"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(11.1)</w:t>
            </w:r>
          </w:p>
        </w:tc>
        <w:tc>
          <w:tcPr>
            <w:tcW w:w="3024" w:type="dxa"/>
            <w:vAlign w:val="center"/>
          </w:tcPr>
          <w:p w14:paraId="441D5DE5"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Pseudomonas aeruginosa (n=1)</w:t>
            </w:r>
          </w:p>
        </w:tc>
      </w:tr>
      <w:tr w:rsidR="003A78C2" w:rsidRPr="0042579F" w14:paraId="08E05FE6" w14:textId="77777777">
        <w:trPr>
          <w:cantSplit/>
          <w:jc w:val="center"/>
        </w:trPr>
        <w:tc>
          <w:tcPr>
            <w:tcW w:w="2088" w:type="dxa"/>
            <w:vAlign w:val="center"/>
          </w:tcPr>
          <w:p w14:paraId="05E5389E" w14:textId="77777777" w:rsidR="003A78C2" w:rsidRPr="0042579F" w:rsidRDefault="003A78C2">
            <w:pPr>
              <w:keepLines/>
              <w:spacing w:after="0" w:line="240" w:lineRule="auto"/>
              <w:rPr>
                <w:lang w:val="en-US"/>
              </w:rPr>
            </w:pPr>
          </w:p>
        </w:tc>
        <w:tc>
          <w:tcPr>
            <w:tcW w:w="3384" w:type="dxa"/>
            <w:vAlign w:val="center"/>
          </w:tcPr>
          <w:p w14:paraId="45B9C4B6"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Staphylococcus aureus</w:t>
            </w:r>
          </w:p>
        </w:tc>
        <w:tc>
          <w:tcPr>
            <w:tcW w:w="1584" w:type="dxa"/>
            <w:vAlign w:val="center"/>
          </w:tcPr>
          <w:p w14:paraId="02BC669E"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7 (5.8)</w:t>
            </w:r>
          </w:p>
        </w:tc>
        <w:tc>
          <w:tcPr>
            <w:tcW w:w="1800" w:type="dxa"/>
            <w:vAlign w:val="center"/>
          </w:tcPr>
          <w:p w14:paraId="10B96F7A"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7 (100.0)</w:t>
            </w:r>
          </w:p>
        </w:tc>
        <w:tc>
          <w:tcPr>
            <w:tcW w:w="1800" w:type="dxa"/>
            <w:vAlign w:val="center"/>
          </w:tcPr>
          <w:p w14:paraId="34F65804"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699B60E0" w14:textId="77777777" w:rsidR="003A78C2" w:rsidRPr="0042579F" w:rsidRDefault="003A78C2">
            <w:pPr>
              <w:keepLines/>
              <w:spacing w:after="0" w:line="240" w:lineRule="auto"/>
              <w:rPr>
                <w:lang w:val="en-US"/>
              </w:rPr>
            </w:pPr>
          </w:p>
        </w:tc>
      </w:tr>
      <w:tr w:rsidR="003A78C2" w:rsidRPr="0042579F" w14:paraId="22F2C0C5" w14:textId="77777777">
        <w:trPr>
          <w:cantSplit/>
          <w:jc w:val="center"/>
        </w:trPr>
        <w:tc>
          <w:tcPr>
            <w:tcW w:w="2088" w:type="dxa"/>
            <w:vAlign w:val="center"/>
          </w:tcPr>
          <w:p w14:paraId="22CBAAF6" w14:textId="77777777" w:rsidR="003A78C2" w:rsidRPr="0042579F" w:rsidRDefault="003A78C2">
            <w:pPr>
              <w:keepLines/>
              <w:spacing w:after="0" w:line="240" w:lineRule="auto"/>
              <w:rPr>
                <w:lang w:val="en-US"/>
              </w:rPr>
            </w:pPr>
          </w:p>
        </w:tc>
        <w:tc>
          <w:tcPr>
            <w:tcW w:w="3384" w:type="dxa"/>
            <w:vAlign w:val="center"/>
          </w:tcPr>
          <w:p w14:paraId="7A6A5FE1"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Enterococcus faecalis</w:t>
            </w:r>
          </w:p>
        </w:tc>
        <w:tc>
          <w:tcPr>
            <w:tcW w:w="1584" w:type="dxa"/>
            <w:vAlign w:val="center"/>
          </w:tcPr>
          <w:p w14:paraId="5DED23A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(3.3)</w:t>
            </w:r>
          </w:p>
        </w:tc>
        <w:tc>
          <w:tcPr>
            <w:tcW w:w="1800" w:type="dxa"/>
            <w:vAlign w:val="center"/>
          </w:tcPr>
          <w:p w14:paraId="6D7D0971"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(100.0)</w:t>
            </w:r>
          </w:p>
        </w:tc>
        <w:tc>
          <w:tcPr>
            <w:tcW w:w="1800" w:type="dxa"/>
            <w:vAlign w:val="center"/>
          </w:tcPr>
          <w:p w14:paraId="70E01D1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60C93B3F" w14:textId="77777777" w:rsidR="003A78C2" w:rsidRPr="0042579F" w:rsidRDefault="003A78C2">
            <w:pPr>
              <w:keepLines/>
              <w:spacing w:after="0" w:line="240" w:lineRule="auto"/>
              <w:rPr>
                <w:lang w:val="en-US"/>
              </w:rPr>
            </w:pPr>
          </w:p>
        </w:tc>
      </w:tr>
      <w:tr w:rsidR="003A78C2" w:rsidRPr="0042579F" w14:paraId="55EB4E6F" w14:textId="77777777">
        <w:trPr>
          <w:cantSplit/>
          <w:jc w:val="center"/>
        </w:trPr>
        <w:tc>
          <w:tcPr>
            <w:tcW w:w="2088" w:type="dxa"/>
            <w:vAlign w:val="center"/>
          </w:tcPr>
          <w:p w14:paraId="55DA1A16" w14:textId="77777777" w:rsidR="003A78C2" w:rsidRPr="0042579F" w:rsidRDefault="003A78C2">
            <w:pPr>
              <w:keepLines/>
              <w:spacing w:after="0" w:line="240" w:lineRule="auto"/>
              <w:rPr>
                <w:lang w:val="en-US"/>
              </w:rPr>
            </w:pPr>
          </w:p>
        </w:tc>
        <w:tc>
          <w:tcPr>
            <w:tcW w:w="3384" w:type="dxa"/>
            <w:vAlign w:val="center"/>
          </w:tcPr>
          <w:p w14:paraId="2B2793A3"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Coagulase-negative staphylococci</w:t>
            </w:r>
          </w:p>
        </w:tc>
        <w:tc>
          <w:tcPr>
            <w:tcW w:w="1584" w:type="dxa"/>
            <w:vAlign w:val="center"/>
          </w:tcPr>
          <w:p w14:paraId="28579F4B"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vAlign w:val="center"/>
          </w:tcPr>
          <w:p w14:paraId="4486DA3C"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(50.0)</w:t>
            </w:r>
          </w:p>
        </w:tc>
        <w:tc>
          <w:tcPr>
            <w:tcW w:w="1800" w:type="dxa"/>
            <w:vAlign w:val="center"/>
          </w:tcPr>
          <w:p w14:paraId="046F0F6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(50.0)</w:t>
            </w:r>
          </w:p>
        </w:tc>
        <w:tc>
          <w:tcPr>
            <w:tcW w:w="3024" w:type="dxa"/>
            <w:vAlign w:val="center"/>
          </w:tcPr>
          <w:p w14:paraId="33AED9EE"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Acinetobacter baumannii (n=1)</w:t>
            </w:r>
          </w:p>
        </w:tc>
      </w:tr>
      <w:tr w:rsidR="003A78C2" w:rsidRPr="0042579F" w14:paraId="7E6C51DE" w14:textId="77777777">
        <w:trPr>
          <w:cantSplit/>
          <w:jc w:val="center"/>
        </w:trPr>
        <w:tc>
          <w:tcPr>
            <w:tcW w:w="2088" w:type="dxa"/>
            <w:vAlign w:val="center"/>
          </w:tcPr>
          <w:p w14:paraId="3F2CE366" w14:textId="77777777" w:rsidR="003A78C2" w:rsidRPr="0042579F" w:rsidRDefault="003A78C2">
            <w:pPr>
              <w:keepLines/>
              <w:spacing w:after="0" w:line="240" w:lineRule="auto"/>
              <w:rPr>
                <w:lang w:val="en-US"/>
              </w:rPr>
            </w:pPr>
          </w:p>
        </w:tc>
        <w:tc>
          <w:tcPr>
            <w:tcW w:w="3384" w:type="dxa"/>
            <w:vAlign w:val="center"/>
          </w:tcPr>
          <w:p w14:paraId="381C892F"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Enterococcus faecium</w:t>
            </w:r>
          </w:p>
        </w:tc>
        <w:tc>
          <w:tcPr>
            <w:tcW w:w="1584" w:type="dxa"/>
            <w:vAlign w:val="center"/>
          </w:tcPr>
          <w:p w14:paraId="39C7B4B4"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vAlign w:val="center"/>
          </w:tcPr>
          <w:p w14:paraId="3D6C350F"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(100.0)</w:t>
            </w:r>
          </w:p>
        </w:tc>
        <w:tc>
          <w:tcPr>
            <w:tcW w:w="1800" w:type="dxa"/>
            <w:vAlign w:val="center"/>
          </w:tcPr>
          <w:p w14:paraId="7B3C47DA"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529D7A5E" w14:textId="77777777" w:rsidR="003A78C2" w:rsidRPr="0042579F" w:rsidRDefault="003A78C2">
            <w:pPr>
              <w:keepLines/>
              <w:spacing w:after="0" w:line="240" w:lineRule="auto"/>
              <w:rPr>
                <w:lang w:val="en-US"/>
              </w:rPr>
            </w:pPr>
          </w:p>
        </w:tc>
      </w:tr>
      <w:tr w:rsidR="003A78C2" w:rsidRPr="0042579F" w14:paraId="4DA9DDEF" w14:textId="77777777">
        <w:trPr>
          <w:cantSplit/>
          <w:jc w:val="center"/>
        </w:trPr>
        <w:tc>
          <w:tcPr>
            <w:tcW w:w="2088" w:type="dxa"/>
            <w:vAlign w:val="center"/>
          </w:tcPr>
          <w:p w14:paraId="1C8DBD2B" w14:textId="77777777" w:rsidR="003A78C2" w:rsidRPr="0042579F" w:rsidRDefault="003A78C2">
            <w:pPr>
              <w:keepLines/>
              <w:spacing w:after="0" w:line="240" w:lineRule="auto"/>
              <w:rPr>
                <w:lang w:val="en-US"/>
              </w:rPr>
            </w:pPr>
          </w:p>
        </w:tc>
        <w:tc>
          <w:tcPr>
            <w:tcW w:w="3384" w:type="dxa"/>
            <w:vAlign w:val="center"/>
          </w:tcPr>
          <w:p w14:paraId="049ED658"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Staphylococcus </w:t>
            </w:r>
            <w:proofErr w:type="spellStart"/>
            <w:r w:rsidRPr="0042579F">
              <w:rPr>
                <w:rFonts w:ascii="Calibri" w:eastAsia="Calibri" w:hAnsi="Calibri" w:cs="Calibri"/>
                <w:color w:val="000000"/>
                <w:sz w:val="21"/>
                <w:lang w:val="en-US"/>
              </w:rPr>
              <w:t>haemolyticus</w:t>
            </w:r>
            <w:proofErr w:type="spellEnd"/>
          </w:p>
        </w:tc>
        <w:tc>
          <w:tcPr>
            <w:tcW w:w="1584" w:type="dxa"/>
            <w:vAlign w:val="center"/>
          </w:tcPr>
          <w:p w14:paraId="5C919887"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vAlign w:val="center"/>
          </w:tcPr>
          <w:p w14:paraId="5895537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(100.0)</w:t>
            </w:r>
          </w:p>
        </w:tc>
        <w:tc>
          <w:tcPr>
            <w:tcW w:w="1800" w:type="dxa"/>
            <w:vAlign w:val="center"/>
          </w:tcPr>
          <w:p w14:paraId="73B04064"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4BA32AB2" w14:textId="77777777" w:rsidR="003A78C2" w:rsidRPr="0042579F" w:rsidRDefault="003A78C2">
            <w:pPr>
              <w:keepLines/>
              <w:spacing w:after="0" w:line="240" w:lineRule="auto"/>
              <w:rPr>
                <w:lang w:val="en-US"/>
              </w:rPr>
            </w:pPr>
          </w:p>
        </w:tc>
      </w:tr>
      <w:tr w:rsidR="003A78C2" w:rsidRPr="0042579F" w14:paraId="510708E3" w14:textId="77777777">
        <w:trPr>
          <w:cantSplit/>
          <w:jc w:val="center"/>
        </w:trPr>
        <w:tc>
          <w:tcPr>
            <w:tcW w:w="2088" w:type="dxa"/>
            <w:vAlign w:val="center"/>
          </w:tcPr>
          <w:p w14:paraId="08B3E98D" w14:textId="77777777" w:rsidR="003A78C2" w:rsidRPr="0042579F" w:rsidRDefault="003A78C2">
            <w:pPr>
              <w:keepLines/>
              <w:spacing w:after="0" w:line="240" w:lineRule="auto"/>
              <w:rPr>
                <w:lang w:val="en-US"/>
              </w:rPr>
            </w:pPr>
          </w:p>
        </w:tc>
        <w:tc>
          <w:tcPr>
            <w:tcW w:w="3384" w:type="dxa"/>
            <w:vAlign w:val="center"/>
          </w:tcPr>
          <w:p w14:paraId="791383E3"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Diphtheroid bacillus</w:t>
            </w:r>
          </w:p>
        </w:tc>
        <w:tc>
          <w:tcPr>
            <w:tcW w:w="1584" w:type="dxa"/>
            <w:vAlign w:val="center"/>
          </w:tcPr>
          <w:p w14:paraId="7CB7881C"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(0.8)</w:t>
            </w:r>
          </w:p>
        </w:tc>
        <w:tc>
          <w:tcPr>
            <w:tcW w:w="1800" w:type="dxa"/>
            <w:vAlign w:val="center"/>
          </w:tcPr>
          <w:p w14:paraId="27ED828C"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(100.0)</w:t>
            </w:r>
          </w:p>
        </w:tc>
        <w:tc>
          <w:tcPr>
            <w:tcW w:w="1800" w:type="dxa"/>
            <w:vAlign w:val="center"/>
          </w:tcPr>
          <w:p w14:paraId="5DB60FBF"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2C86F8E4" w14:textId="77777777" w:rsidR="003A78C2" w:rsidRPr="0042579F" w:rsidRDefault="003A78C2">
            <w:pPr>
              <w:keepLines/>
              <w:spacing w:after="0" w:line="240" w:lineRule="auto"/>
              <w:rPr>
                <w:lang w:val="en-US"/>
              </w:rPr>
            </w:pPr>
          </w:p>
        </w:tc>
      </w:tr>
      <w:tr w:rsidR="003A78C2" w:rsidRPr="0042579F" w14:paraId="01B3F8BD" w14:textId="77777777">
        <w:trPr>
          <w:cantSplit/>
          <w:jc w:val="center"/>
        </w:trPr>
        <w:tc>
          <w:tcPr>
            <w:tcW w:w="2088" w:type="dxa"/>
            <w:vAlign w:val="center"/>
          </w:tcPr>
          <w:p w14:paraId="15ECBFF0" w14:textId="77777777" w:rsidR="003A78C2" w:rsidRPr="0042579F" w:rsidRDefault="003A78C2">
            <w:pPr>
              <w:keepLines/>
              <w:spacing w:after="0" w:line="240" w:lineRule="auto"/>
              <w:rPr>
                <w:lang w:val="en-US"/>
              </w:rPr>
            </w:pPr>
          </w:p>
        </w:tc>
        <w:tc>
          <w:tcPr>
            <w:tcW w:w="3384" w:type="dxa"/>
            <w:vAlign w:val="center"/>
          </w:tcPr>
          <w:p w14:paraId="368C1B00"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Staphylococcus capitis</w:t>
            </w:r>
          </w:p>
        </w:tc>
        <w:tc>
          <w:tcPr>
            <w:tcW w:w="1584" w:type="dxa"/>
            <w:vAlign w:val="center"/>
          </w:tcPr>
          <w:p w14:paraId="37F4AD69"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(0.8)</w:t>
            </w:r>
          </w:p>
        </w:tc>
        <w:tc>
          <w:tcPr>
            <w:tcW w:w="1800" w:type="dxa"/>
            <w:vAlign w:val="center"/>
          </w:tcPr>
          <w:p w14:paraId="40AD69E4"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(100.0)</w:t>
            </w:r>
          </w:p>
        </w:tc>
        <w:tc>
          <w:tcPr>
            <w:tcW w:w="1800" w:type="dxa"/>
            <w:vAlign w:val="center"/>
          </w:tcPr>
          <w:p w14:paraId="57C4140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18409C2C" w14:textId="77777777" w:rsidR="003A78C2" w:rsidRPr="0042579F" w:rsidRDefault="003A78C2">
            <w:pPr>
              <w:keepLines/>
              <w:spacing w:after="0" w:line="240" w:lineRule="auto"/>
              <w:rPr>
                <w:lang w:val="en-US"/>
              </w:rPr>
            </w:pPr>
          </w:p>
        </w:tc>
      </w:tr>
      <w:tr w:rsidR="003A78C2" w:rsidRPr="0042579F" w14:paraId="105CCEB2" w14:textId="77777777">
        <w:trPr>
          <w:cantSplit/>
          <w:jc w:val="center"/>
        </w:trPr>
        <w:tc>
          <w:tcPr>
            <w:tcW w:w="2088" w:type="dxa"/>
            <w:vAlign w:val="center"/>
          </w:tcPr>
          <w:p w14:paraId="705A1956" w14:textId="77777777" w:rsidR="003A78C2" w:rsidRPr="0042579F" w:rsidRDefault="003A78C2">
            <w:pPr>
              <w:keepLines/>
              <w:spacing w:after="0" w:line="240" w:lineRule="auto"/>
              <w:rPr>
                <w:lang w:val="en-US"/>
              </w:rPr>
            </w:pPr>
          </w:p>
        </w:tc>
        <w:tc>
          <w:tcPr>
            <w:tcW w:w="3384" w:type="dxa"/>
            <w:vAlign w:val="center"/>
          </w:tcPr>
          <w:p w14:paraId="4B8AFEAA"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Staphylococcus hominis</w:t>
            </w:r>
          </w:p>
        </w:tc>
        <w:tc>
          <w:tcPr>
            <w:tcW w:w="1584" w:type="dxa"/>
            <w:vAlign w:val="center"/>
          </w:tcPr>
          <w:p w14:paraId="2E58AB4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(0.8)</w:t>
            </w:r>
          </w:p>
        </w:tc>
        <w:tc>
          <w:tcPr>
            <w:tcW w:w="1800" w:type="dxa"/>
            <w:vAlign w:val="center"/>
          </w:tcPr>
          <w:p w14:paraId="1AAFB5BC"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(100.0)</w:t>
            </w:r>
          </w:p>
        </w:tc>
        <w:tc>
          <w:tcPr>
            <w:tcW w:w="1800" w:type="dxa"/>
            <w:vAlign w:val="center"/>
          </w:tcPr>
          <w:p w14:paraId="61DBB93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455CB371" w14:textId="77777777" w:rsidR="003A78C2" w:rsidRPr="0042579F" w:rsidRDefault="003A78C2">
            <w:pPr>
              <w:keepLines/>
              <w:spacing w:after="0" w:line="240" w:lineRule="auto"/>
              <w:rPr>
                <w:lang w:val="en-US"/>
              </w:rPr>
            </w:pPr>
          </w:p>
        </w:tc>
      </w:tr>
      <w:tr w:rsidR="003A78C2" w:rsidRPr="0042579F" w14:paraId="0900323C" w14:textId="77777777">
        <w:trPr>
          <w:cantSplit/>
          <w:jc w:val="center"/>
        </w:trPr>
        <w:tc>
          <w:tcPr>
            <w:tcW w:w="2088" w:type="dxa"/>
            <w:shd w:val="clear" w:color="auto" w:fill="F4F7F9"/>
            <w:vAlign w:val="center"/>
          </w:tcPr>
          <w:p w14:paraId="53723191"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lastRenderedPageBreak/>
              <w:t>Fungi</w:t>
            </w:r>
          </w:p>
        </w:tc>
        <w:tc>
          <w:tcPr>
            <w:tcW w:w="3384" w:type="dxa"/>
            <w:shd w:val="clear" w:color="auto" w:fill="F4F7F9"/>
            <w:vAlign w:val="center"/>
          </w:tcPr>
          <w:p w14:paraId="5EE47CA3"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Total</w:t>
            </w:r>
          </w:p>
        </w:tc>
        <w:tc>
          <w:tcPr>
            <w:tcW w:w="1584" w:type="dxa"/>
            <w:shd w:val="clear" w:color="auto" w:fill="F4F7F9"/>
            <w:vAlign w:val="center"/>
          </w:tcPr>
          <w:p w14:paraId="7E8E67CE"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21 (17.4)</w:t>
            </w:r>
          </w:p>
        </w:tc>
        <w:tc>
          <w:tcPr>
            <w:tcW w:w="1800" w:type="dxa"/>
            <w:shd w:val="clear" w:color="auto" w:fill="F4F7F9"/>
            <w:vAlign w:val="center"/>
          </w:tcPr>
          <w:p w14:paraId="38314DEF"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20 (95.2)</w:t>
            </w:r>
          </w:p>
        </w:tc>
        <w:tc>
          <w:tcPr>
            <w:tcW w:w="1800" w:type="dxa"/>
            <w:shd w:val="clear" w:color="auto" w:fill="F4F7F9"/>
            <w:vAlign w:val="center"/>
          </w:tcPr>
          <w:p w14:paraId="5687ACA7"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1 (4.8)</w:t>
            </w:r>
          </w:p>
        </w:tc>
        <w:tc>
          <w:tcPr>
            <w:tcW w:w="3024" w:type="dxa"/>
            <w:shd w:val="clear" w:color="auto" w:fill="F4F7F9"/>
            <w:vAlign w:val="center"/>
          </w:tcPr>
          <w:p w14:paraId="2DF772E9"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See organism rows</w:t>
            </w:r>
          </w:p>
        </w:tc>
      </w:tr>
      <w:tr w:rsidR="003A78C2" w:rsidRPr="0042579F" w14:paraId="56A2719F" w14:textId="77777777">
        <w:trPr>
          <w:cantSplit/>
          <w:jc w:val="center"/>
        </w:trPr>
        <w:tc>
          <w:tcPr>
            <w:tcW w:w="2088" w:type="dxa"/>
            <w:vAlign w:val="center"/>
          </w:tcPr>
          <w:p w14:paraId="6793D640" w14:textId="77777777" w:rsidR="003A78C2" w:rsidRPr="0042579F" w:rsidRDefault="003A78C2">
            <w:pPr>
              <w:keepLines/>
              <w:spacing w:after="0" w:line="240" w:lineRule="auto"/>
              <w:rPr>
                <w:lang w:val="en-US"/>
              </w:rPr>
            </w:pPr>
          </w:p>
        </w:tc>
        <w:tc>
          <w:tcPr>
            <w:tcW w:w="3384" w:type="dxa"/>
            <w:vAlign w:val="center"/>
          </w:tcPr>
          <w:p w14:paraId="2D8F46C5"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Candida tropicalis</w:t>
            </w:r>
          </w:p>
        </w:tc>
        <w:tc>
          <w:tcPr>
            <w:tcW w:w="1584" w:type="dxa"/>
            <w:vAlign w:val="center"/>
          </w:tcPr>
          <w:p w14:paraId="6C9AAE2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8 (6.6)</w:t>
            </w:r>
          </w:p>
        </w:tc>
        <w:tc>
          <w:tcPr>
            <w:tcW w:w="1800" w:type="dxa"/>
            <w:vAlign w:val="center"/>
          </w:tcPr>
          <w:p w14:paraId="0518366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8 (100.0)</w:t>
            </w:r>
          </w:p>
        </w:tc>
        <w:tc>
          <w:tcPr>
            <w:tcW w:w="1800" w:type="dxa"/>
            <w:vAlign w:val="center"/>
          </w:tcPr>
          <w:p w14:paraId="0CEB1F34"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3318B9F3" w14:textId="77777777" w:rsidR="003A78C2" w:rsidRPr="0042579F" w:rsidRDefault="003A78C2">
            <w:pPr>
              <w:keepLines/>
              <w:spacing w:after="0" w:line="240" w:lineRule="auto"/>
              <w:rPr>
                <w:lang w:val="en-US"/>
              </w:rPr>
            </w:pPr>
          </w:p>
        </w:tc>
      </w:tr>
      <w:tr w:rsidR="003A78C2" w:rsidRPr="0042579F" w14:paraId="2384D28F" w14:textId="77777777">
        <w:trPr>
          <w:cantSplit/>
          <w:jc w:val="center"/>
        </w:trPr>
        <w:tc>
          <w:tcPr>
            <w:tcW w:w="2088" w:type="dxa"/>
            <w:vAlign w:val="center"/>
          </w:tcPr>
          <w:p w14:paraId="30EDD281" w14:textId="77777777" w:rsidR="003A78C2" w:rsidRPr="0042579F" w:rsidRDefault="003A78C2">
            <w:pPr>
              <w:keepLines/>
              <w:spacing w:after="0" w:line="240" w:lineRule="auto"/>
              <w:rPr>
                <w:lang w:val="en-US"/>
              </w:rPr>
            </w:pPr>
          </w:p>
        </w:tc>
        <w:tc>
          <w:tcPr>
            <w:tcW w:w="3384" w:type="dxa"/>
            <w:vAlign w:val="center"/>
          </w:tcPr>
          <w:p w14:paraId="2EB16E5D"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Candida albicans</w:t>
            </w:r>
          </w:p>
        </w:tc>
        <w:tc>
          <w:tcPr>
            <w:tcW w:w="1584" w:type="dxa"/>
            <w:vAlign w:val="center"/>
          </w:tcPr>
          <w:p w14:paraId="67E3B4E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6 (5.0)</w:t>
            </w:r>
          </w:p>
        </w:tc>
        <w:tc>
          <w:tcPr>
            <w:tcW w:w="1800" w:type="dxa"/>
            <w:vAlign w:val="center"/>
          </w:tcPr>
          <w:p w14:paraId="25A0214B"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6 (100.0)</w:t>
            </w:r>
          </w:p>
        </w:tc>
        <w:tc>
          <w:tcPr>
            <w:tcW w:w="1800" w:type="dxa"/>
            <w:vAlign w:val="center"/>
          </w:tcPr>
          <w:p w14:paraId="0B29FB23"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64942CBA" w14:textId="77777777" w:rsidR="003A78C2" w:rsidRPr="0042579F" w:rsidRDefault="003A78C2">
            <w:pPr>
              <w:keepLines/>
              <w:spacing w:after="0" w:line="240" w:lineRule="auto"/>
              <w:rPr>
                <w:lang w:val="en-US"/>
              </w:rPr>
            </w:pPr>
          </w:p>
        </w:tc>
      </w:tr>
      <w:tr w:rsidR="003A78C2" w:rsidRPr="0042579F" w14:paraId="4C20391B" w14:textId="77777777">
        <w:trPr>
          <w:cantSplit/>
          <w:jc w:val="center"/>
        </w:trPr>
        <w:tc>
          <w:tcPr>
            <w:tcW w:w="2088" w:type="dxa"/>
            <w:vAlign w:val="center"/>
          </w:tcPr>
          <w:p w14:paraId="398E7C82" w14:textId="77777777" w:rsidR="003A78C2" w:rsidRPr="0042579F" w:rsidRDefault="003A78C2">
            <w:pPr>
              <w:keepLines/>
              <w:spacing w:after="0" w:line="240" w:lineRule="auto"/>
              <w:rPr>
                <w:lang w:val="en-US"/>
              </w:rPr>
            </w:pPr>
          </w:p>
        </w:tc>
        <w:tc>
          <w:tcPr>
            <w:tcW w:w="3384" w:type="dxa"/>
            <w:vAlign w:val="center"/>
          </w:tcPr>
          <w:p w14:paraId="2A4B68C9"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Candida </w:t>
            </w:r>
            <w:proofErr w:type="spellStart"/>
            <w:r w:rsidRPr="0042579F">
              <w:rPr>
                <w:rFonts w:ascii="Calibri" w:eastAsia="Calibri" w:hAnsi="Calibri" w:cs="Calibri"/>
                <w:color w:val="000000"/>
                <w:sz w:val="21"/>
                <w:lang w:val="en-US"/>
              </w:rPr>
              <w:t>parapsilosis</w:t>
            </w:r>
            <w:proofErr w:type="spellEnd"/>
          </w:p>
        </w:tc>
        <w:tc>
          <w:tcPr>
            <w:tcW w:w="1584" w:type="dxa"/>
            <w:vAlign w:val="center"/>
          </w:tcPr>
          <w:p w14:paraId="29FFAD87"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(3.3)</w:t>
            </w:r>
          </w:p>
        </w:tc>
        <w:tc>
          <w:tcPr>
            <w:tcW w:w="1800" w:type="dxa"/>
            <w:vAlign w:val="center"/>
          </w:tcPr>
          <w:p w14:paraId="50B0EAF6"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4 (100.0)</w:t>
            </w:r>
          </w:p>
        </w:tc>
        <w:tc>
          <w:tcPr>
            <w:tcW w:w="1800" w:type="dxa"/>
            <w:vAlign w:val="center"/>
          </w:tcPr>
          <w:p w14:paraId="2E32ADD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69430B95" w14:textId="77777777" w:rsidR="003A78C2" w:rsidRPr="0042579F" w:rsidRDefault="003A78C2">
            <w:pPr>
              <w:keepLines/>
              <w:spacing w:after="0" w:line="240" w:lineRule="auto"/>
              <w:rPr>
                <w:lang w:val="en-US"/>
              </w:rPr>
            </w:pPr>
          </w:p>
        </w:tc>
      </w:tr>
      <w:tr w:rsidR="003A78C2" w:rsidRPr="0042579F" w14:paraId="3A5FD34B" w14:textId="77777777">
        <w:trPr>
          <w:cantSplit/>
          <w:jc w:val="center"/>
        </w:trPr>
        <w:tc>
          <w:tcPr>
            <w:tcW w:w="2088" w:type="dxa"/>
            <w:vAlign w:val="center"/>
          </w:tcPr>
          <w:p w14:paraId="0B3BA2D1" w14:textId="77777777" w:rsidR="003A78C2" w:rsidRPr="0042579F" w:rsidRDefault="003A78C2">
            <w:pPr>
              <w:keepLines/>
              <w:spacing w:after="0" w:line="240" w:lineRule="auto"/>
              <w:rPr>
                <w:lang w:val="en-US"/>
              </w:rPr>
            </w:pPr>
          </w:p>
        </w:tc>
        <w:tc>
          <w:tcPr>
            <w:tcW w:w="3384" w:type="dxa"/>
            <w:vAlign w:val="center"/>
          </w:tcPr>
          <w:p w14:paraId="09E1F5E2"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Candida </w:t>
            </w:r>
            <w:proofErr w:type="spellStart"/>
            <w:r w:rsidRPr="0042579F">
              <w:rPr>
                <w:rFonts w:ascii="Calibri" w:eastAsia="Calibri" w:hAnsi="Calibri" w:cs="Calibri"/>
                <w:color w:val="000000"/>
                <w:sz w:val="21"/>
                <w:lang w:val="en-US"/>
              </w:rPr>
              <w:t>guilliermondii</w:t>
            </w:r>
            <w:proofErr w:type="spellEnd"/>
          </w:p>
        </w:tc>
        <w:tc>
          <w:tcPr>
            <w:tcW w:w="1584" w:type="dxa"/>
            <w:vAlign w:val="center"/>
          </w:tcPr>
          <w:p w14:paraId="3CA29D4B"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vAlign w:val="center"/>
          </w:tcPr>
          <w:p w14:paraId="457916F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(100.0)</w:t>
            </w:r>
          </w:p>
        </w:tc>
        <w:tc>
          <w:tcPr>
            <w:tcW w:w="1800" w:type="dxa"/>
            <w:vAlign w:val="center"/>
          </w:tcPr>
          <w:p w14:paraId="51720D71"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3024" w:type="dxa"/>
            <w:vAlign w:val="center"/>
          </w:tcPr>
          <w:p w14:paraId="1F7A857D" w14:textId="77777777" w:rsidR="003A78C2" w:rsidRPr="0042579F" w:rsidRDefault="003A78C2">
            <w:pPr>
              <w:keepLines/>
              <w:spacing w:after="0" w:line="240" w:lineRule="auto"/>
              <w:rPr>
                <w:lang w:val="en-US"/>
              </w:rPr>
            </w:pPr>
          </w:p>
        </w:tc>
      </w:tr>
      <w:tr w:rsidR="003A78C2" w:rsidRPr="0042579F" w14:paraId="6D5DEB1C" w14:textId="77777777">
        <w:trPr>
          <w:cantSplit/>
          <w:jc w:val="center"/>
        </w:trPr>
        <w:tc>
          <w:tcPr>
            <w:tcW w:w="2088" w:type="dxa"/>
            <w:vAlign w:val="center"/>
          </w:tcPr>
          <w:p w14:paraId="0939B7A5" w14:textId="77777777" w:rsidR="003A78C2" w:rsidRPr="0042579F" w:rsidRDefault="003A78C2">
            <w:pPr>
              <w:keepLines/>
              <w:spacing w:after="0" w:line="240" w:lineRule="auto"/>
              <w:rPr>
                <w:lang w:val="en-US"/>
              </w:rPr>
            </w:pPr>
          </w:p>
        </w:tc>
        <w:tc>
          <w:tcPr>
            <w:tcW w:w="3384" w:type="dxa"/>
            <w:vAlign w:val="center"/>
          </w:tcPr>
          <w:p w14:paraId="0646EECA"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Candida auris</w:t>
            </w:r>
          </w:p>
        </w:tc>
        <w:tc>
          <w:tcPr>
            <w:tcW w:w="1584" w:type="dxa"/>
            <w:vAlign w:val="center"/>
          </w:tcPr>
          <w:p w14:paraId="6A43778C"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(0.8)</w:t>
            </w:r>
          </w:p>
        </w:tc>
        <w:tc>
          <w:tcPr>
            <w:tcW w:w="1800" w:type="dxa"/>
            <w:vAlign w:val="center"/>
          </w:tcPr>
          <w:p w14:paraId="394E3098"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0 (0.0)</w:t>
            </w:r>
          </w:p>
        </w:tc>
        <w:tc>
          <w:tcPr>
            <w:tcW w:w="1800" w:type="dxa"/>
            <w:vAlign w:val="center"/>
          </w:tcPr>
          <w:p w14:paraId="07AAFEEE"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(100.0)</w:t>
            </w:r>
          </w:p>
        </w:tc>
        <w:tc>
          <w:tcPr>
            <w:tcW w:w="3024" w:type="dxa"/>
            <w:vAlign w:val="center"/>
          </w:tcPr>
          <w:p w14:paraId="46029D6B"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Klebsiella pneumoniae (n=1)</w:t>
            </w:r>
          </w:p>
        </w:tc>
      </w:tr>
      <w:tr w:rsidR="003A78C2" w:rsidRPr="0042579F" w14:paraId="76E445F3" w14:textId="77777777">
        <w:trPr>
          <w:cantSplit/>
          <w:jc w:val="center"/>
        </w:trPr>
        <w:tc>
          <w:tcPr>
            <w:tcW w:w="2088" w:type="dxa"/>
            <w:shd w:val="clear" w:color="auto" w:fill="F4F7F9"/>
            <w:vAlign w:val="center"/>
          </w:tcPr>
          <w:p w14:paraId="471177D3"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No growth/discordant code</w:t>
            </w:r>
          </w:p>
        </w:tc>
        <w:tc>
          <w:tcPr>
            <w:tcW w:w="3384" w:type="dxa"/>
            <w:shd w:val="clear" w:color="auto" w:fill="F4F7F9"/>
            <w:vAlign w:val="center"/>
          </w:tcPr>
          <w:p w14:paraId="042EADA7"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Total</w:t>
            </w:r>
          </w:p>
        </w:tc>
        <w:tc>
          <w:tcPr>
            <w:tcW w:w="1584" w:type="dxa"/>
            <w:shd w:val="clear" w:color="auto" w:fill="F4F7F9"/>
            <w:vAlign w:val="center"/>
          </w:tcPr>
          <w:p w14:paraId="0DC88489"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shd w:val="clear" w:color="auto" w:fill="F4F7F9"/>
            <w:vAlign w:val="center"/>
          </w:tcPr>
          <w:p w14:paraId="60913D55"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1 (50.0)</w:t>
            </w:r>
          </w:p>
        </w:tc>
        <w:tc>
          <w:tcPr>
            <w:tcW w:w="1800" w:type="dxa"/>
            <w:shd w:val="clear" w:color="auto" w:fill="F4F7F9"/>
            <w:vAlign w:val="center"/>
          </w:tcPr>
          <w:p w14:paraId="3EEABD3F" w14:textId="77777777" w:rsidR="003A78C2" w:rsidRPr="0042579F" w:rsidRDefault="00000000">
            <w:pPr>
              <w:keepNext/>
              <w:keepLines/>
              <w:spacing w:after="0" w:line="240" w:lineRule="auto"/>
              <w:jc w:val="center"/>
              <w:rPr>
                <w:lang w:val="en-US"/>
              </w:rPr>
            </w:pPr>
            <w:r w:rsidRPr="0042579F">
              <w:rPr>
                <w:rFonts w:ascii="Calibri" w:eastAsia="Calibri" w:hAnsi="Calibri" w:cs="Calibri"/>
                <w:color w:val="000000"/>
                <w:sz w:val="21"/>
                <w:lang w:val="en-US"/>
              </w:rPr>
              <w:t>1 (50.0)</w:t>
            </w:r>
          </w:p>
        </w:tc>
        <w:tc>
          <w:tcPr>
            <w:tcW w:w="3024" w:type="dxa"/>
            <w:shd w:val="clear" w:color="auto" w:fill="F4F7F9"/>
            <w:vAlign w:val="center"/>
          </w:tcPr>
          <w:p w14:paraId="4E6AEBC8" w14:textId="77777777" w:rsidR="003A78C2" w:rsidRPr="0042579F" w:rsidRDefault="00000000">
            <w:pPr>
              <w:keepNext/>
              <w:keepLines/>
              <w:spacing w:after="0" w:line="240" w:lineRule="auto"/>
              <w:rPr>
                <w:lang w:val="en-US"/>
              </w:rPr>
            </w:pPr>
            <w:r w:rsidRPr="0042579F">
              <w:rPr>
                <w:rFonts w:ascii="Calibri" w:eastAsia="Calibri" w:hAnsi="Calibri" w:cs="Calibri"/>
                <w:color w:val="000000"/>
                <w:sz w:val="21"/>
                <w:lang w:val="en-US"/>
              </w:rPr>
              <w:t>See organism rows</w:t>
            </w:r>
          </w:p>
        </w:tc>
      </w:tr>
      <w:tr w:rsidR="003A78C2" w:rsidRPr="0042579F" w14:paraId="708C18BC" w14:textId="77777777">
        <w:trPr>
          <w:cantSplit/>
          <w:jc w:val="center"/>
        </w:trPr>
        <w:tc>
          <w:tcPr>
            <w:tcW w:w="2088" w:type="dxa"/>
            <w:vAlign w:val="center"/>
          </w:tcPr>
          <w:p w14:paraId="2E5C6381" w14:textId="77777777" w:rsidR="003A78C2" w:rsidRPr="0042579F" w:rsidRDefault="003A78C2">
            <w:pPr>
              <w:keepLines/>
              <w:spacing w:after="0" w:line="240" w:lineRule="auto"/>
              <w:rPr>
                <w:lang w:val="en-US"/>
              </w:rPr>
            </w:pPr>
          </w:p>
        </w:tc>
        <w:tc>
          <w:tcPr>
            <w:tcW w:w="3384" w:type="dxa"/>
            <w:vAlign w:val="center"/>
          </w:tcPr>
          <w:p w14:paraId="296218D1"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 xml:space="preserve">  No growth / discordant or different growth code</w:t>
            </w:r>
          </w:p>
        </w:tc>
        <w:tc>
          <w:tcPr>
            <w:tcW w:w="1584" w:type="dxa"/>
            <w:vAlign w:val="center"/>
          </w:tcPr>
          <w:p w14:paraId="335ED24F"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2 (1.7)</w:t>
            </w:r>
          </w:p>
        </w:tc>
        <w:tc>
          <w:tcPr>
            <w:tcW w:w="1800" w:type="dxa"/>
            <w:vAlign w:val="center"/>
          </w:tcPr>
          <w:p w14:paraId="57B6E602"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(50.0)</w:t>
            </w:r>
          </w:p>
        </w:tc>
        <w:tc>
          <w:tcPr>
            <w:tcW w:w="1800" w:type="dxa"/>
            <w:vAlign w:val="center"/>
          </w:tcPr>
          <w:p w14:paraId="1EA2B53E" w14:textId="77777777" w:rsidR="003A78C2" w:rsidRPr="0042579F" w:rsidRDefault="00000000">
            <w:pPr>
              <w:keepLines/>
              <w:spacing w:after="0" w:line="240" w:lineRule="auto"/>
              <w:jc w:val="center"/>
              <w:rPr>
                <w:lang w:val="en-US"/>
              </w:rPr>
            </w:pPr>
            <w:r w:rsidRPr="0042579F">
              <w:rPr>
                <w:rFonts w:ascii="Calibri" w:eastAsia="Calibri" w:hAnsi="Calibri" w:cs="Calibri"/>
                <w:color w:val="000000"/>
                <w:sz w:val="21"/>
                <w:lang w:val="en-US"/>
              </w:rPr>
              <w:t>1 (50.0)</w:t>
            </w:r>
          </w:p>
        </w:tc>
        <w:tc>
          <w:tcPr>
            <w:tcW w:w="3024" w:type="dxa"/>
            <w:vAlign w:val="center"/>
          </w:tcPr>
          <w:p w14:paraId="630FCF2F" w14:textId="77777777" w:rsidR="003A78C2" w:rsidRPr="0042579F" w:rsidRDefault="00000000">
            <w:pPr>
              <w:keepLines/>
              <w:spacing w:after="0" w:line="240" w:lineRule="auto"/>
              <w:rPr>
                <w:lang w:val="en-US"/>
              </w:rPr>
            </w:pPr>
            <w:r w:rsidRPr="0042579F">
              <w:rPr>
                <w:rFonts w:ascii="Calibri" w:eastAsia="Calibri" w:hAnsi="Calibri" w:cs="Calibri"/>
                <w:color w:val="000000"/>
                <w:sz w:val="21"/>
                <w:lang w:val="en-US"/>
              </w:rPr>
              <w:t>Staphylococcus aureus (n=1)</w:t>
            </w:r>
          </w:p>
        </w:tc>
      </w:tr>
    </w:tbl>
    <w:p w14:paraId="499DDC42" w14:textId="77777777" w:rsidR="003A78C2" w:rsidRPr="0042579F" w:rsidRDefault="00000000">
      <w:pPr>
        <w:keepLines/>
        <w:spacing w:before="160" w:after="100" w:line="240" w:lineRule="auto"/>
        <w:rPr>
          <w:lang w:val="en-US"/>
        </w:rPr>
      </w:pPr>
      <w:r w:rsidRPr="0042579F">
        <w:rPr>
          <w:rFonts w:ascii="Calibri" w:eastAsia="Calibri" w:hAnsi="Calibri" w:cs="Calibri"/>
          <w:color w:val="000000"/>
          <w:sz w:val="20"/>
          <w:lang w:val="en-US"/>
        </w:rPr>
        <w:t>Blood-culture percentages use all 121 CRBSI-positive catheter episodes as the denominator; concordant and discordant percentages use the corresponding row total. Exact concordance denotes identical organism coding in the paired culture fields.</w:t>
      </w:r>
    </w:p>
    <w:p w14:paraId="4817A279" w14:textId="77777777" w:rsidR="003A78C2" w:rsidRPr="0042579F" w:rsidRDefault="00000000">
      <w:pPr>
        <w:keepLines/>
        <w:spacing w:after="100" w:line="240" w:lineRule="auto"/>
        <w:rPr>
          <w:lang w:val="en-US"/>
        </w:rPr>
      </w:pPr>
      <w:r w:rsidRPr="0042579F">
        <w:rPr>
          <w:rFonts w:ascii="Calibri" w:eastAsia="Calibri" w:hAnsi="Calibri" w:cs="Calibri"/>
          <w:color w:val="000000"/>
          <w:sz w:val="20"/>
          <w:lang w:val="en-US"/>
        </w:rPr>
        <w:t>This table is a descriptive comparison of recorded culture codes, not a diagnostic-accuracy analysis. The no-growth/discordant-code category is retained as recorded. CRBSI, catheter-related bloodstream infection.</w:t>
      </w:r>
    </w:p>
    <w:sectPr w:rsidR="003A78C2" w:rsidRPr="0042579F">
      <w:headerReference w:type="default" r:id="rId6"/>
      <w:footerReference w:type="default" r:id="rId7"/>
      <w:pgSz w:w="15840" w:h="12240" w:orient="landscape"/>
      <w:pgMar w:top="1080" w:right="1080" w:bottom="10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4F199" w14:textId="77777777" w:rsidR="00C46825" w:rsidRDefault="00C46825">
      <w:pPr>
        <w:spacing w:after="0" w:line="240" w:lineRule="auto"/>
      </w:pPr>
      <w:r>
        <w:separator/>
      </w:r>
    </w:p>
  </w:endnote>
  <w:endnote w:type="continuationSeparator" w:id="0">
    <w:p w14:paraId="79973503" w14:textId="77777777" w:rsidR="00C46825" w:rsidRDefault="00C46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5748FF" w14:textId="77777777" w:rsidR="003A78C2" w:rsidRDefault="003A78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8E9B54" w14:textId="77777777" w:rsidR="00C46825" w:rsidRDefault="00C46825">
      <w:pPr>
        <w:spacing w:after="0" w:line="240" w:lineRule="auto"/>
      </w:pPr>
      <w:r>
        <w:separator/>
      </w:r>
    </w:p>
  </w:footnote>
  <w:footnote w:type="continuationSeparator" w:id="0">
    <w:p w14:paraId="6CE3BFD2" w14:textId="77777777" w:rsidR="00C46825" w:rsidRDefault="00C46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0E30E" w14:textId="77777777" w:rsidR="003A78C2" w:rsidRDefault="003A78C2"/>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007F3"/>
    <w:rsid w:val="00161FFB"/>
    <w:rsid w:val="00183D25"/>
    <w:rsid w:val="00254B13"/>
    <w:rsid w:val="00367CE6"/>
    <w:rsid w:val="00377B42"/>
    <w:rsid w:val="003A78C2"/>
    <w:rsid w:val="0042579F"/>
    <w:rsid w:val="004600E8"/>
    <w:rsid w:val="0049147A"/>
    <w:rsid w:val="004B5353"/>
    <w:rsid w:val="004B7A43"/>
    <w:rsid w:val="00544DC4"/>
    <w:rsid w:val="007D71A1"/>
    <w:rsid w:val="00A007F3"/>
    <w:rsid w:val="00AA4144"/>
    <w:rsid w:val="00B114C5"/>
    <w:rsid w:val="00BF6328"/>
    <w:rsid w:val="00C46825"/>
    <w:rsid w:val="00E157BD"/>
    <w:rsid w:val="00F746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451B5"/>
  <w15:docId w15:val="{802BB341-AFBD-734E-87CF-317D6327D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007F3"/>
    <w:pPr>
      <w:spacing w:line="240" w:lineRule="auto"/>
    </w:pPr>
    <w:rPr>
      <w:rFonts w:eastAsiaTheme="minorHAnsi"/>
      <w:i/>
      <w:iCs/>
      <w:color w:val="1F497D" w:themeColor="text2"/>
      <w:kern w:val="2"/>
      <w:sz w:val="18"/>
      <w:szCs w:val="18"/>
      <w:lang w:eastAsia="en-US"/>
    </w:rPr>
  </w:style>
  <w:style w:type="paragraph" w:styleId="Revision">
    <w:name w:val="Revision"/>
    <w:hidden/>
    <w:uiPriority w:val="99"/>
    <w:semiHidden/>
    <w:rsid w:val="007D71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1939</Words>
  <Characters>11055</Characters>
  <Application>Microsoft Office Word</Application>
  <DocSecurity>0</DocSecurity>
  <Lines>92</Lines>
  <Paragraphs>25</Paragraphs>
  <ScaleCrop>false</ScaleCrop>
  <Company>Suea</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Tuncay Sahutoglu</cp:lastModifiedBy>
  <cp:revision>15</cp:revision>
  <dcterms:created xsi:type="dcterms:W3CDTF">2026-07-09T11:46:00Z</dcterms:created>
  <dcterms:modified xsi:type="dcterms:W3CDTF">2026-09-07T00:05:00Z</dcterms:modified>
</cp:coreProperties>
</file>