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A66B8" w14:textId="7EF956FF" w:rsidR="00BE4DEC" w:rsidRPr="00BE4DEC" w:rsidRDefault="00BE4DEC">
      <w:pPr>
        <w:rPr>
          <w:rFonts w:ascii="Times New Roman" w:hAnsi="Times New Roman" w:cs="Times New Roman"/>
        </w:rPr>
      </w:pPr>
      <w:r w:rsidRPr="00BE4DEC">
        <w:rPr>
          <w:rFonts w:ascii="Times New Roman" w:hAnsi="Times New Roman" w:cs="Times New Roman"/>
        </w:rPr>
        <w:t>Table S6. Pairwise comparison of time-dependent AUCs for GPR, glucose, potassium, and the clinical baseline model</w:t>
      </w:r>
    </w:p>
    <w:tbl>
      <w:tblPr>
        <w:tblW w:w="5000" w:type="pct"/>
        <w:tblLook w:val="04A0" w:firstRow="1" w:lastRow="0" w:firstColumn="1" w:lastColumn="0" w:noHBand="0" w:noVBand="1"/>
      </w:tblPr>
      <w:tblGrid>
        <w:gridCol w:w="1258"/>
        <w:gridCol w:w="2365"/>
        <w:gridCol w:w="1195"/>
        <w:gridCol w:w="1195"/>
        <w:gridCol w:w="1136"/>
        <w:gridCol w:w="1373"/>
      </w:tblGrid>
      <w:tr w:rsidR="006B1086" w:rsidRPr="00BE4DEC" w14:paraId="4FDB470D" w14:textId="77777777" w:rsidTr="00BE4DEC">
        <w:trPr>
          <w:trHeight w:val="288"/>
        </w:trPr>
        <w:tc>
          <w:tcPr>
            <w:tcW w:w="738" w:type="pct"/>
            <w:tcBorders>
              <w:top w:val="single" w:sz="4" w:space="0" w:color="000000"/>
              <w:left w:val="nil"/>
              <w:bottom w:val="single" w:sz="4" w:space="0" w:color="000000"/>
              <w:right w:val="nil"/>
            </w:tcBorders>
            <w:noWrap/>
            <w:vAlign w:val="center"/>
          </w:tcPr>
          <w:p w14:paraId="521142C2" w14:textId="77777777" w:rsidR="006B1086" w:rsidRPr="00BE4DEC" w:rsidRDefault="006B1086">
            <w:pPr>
              <w:jc w:val="center"/>
              <w:rPr>
                <w:rFonts w:ascii="Times New Roman" w:eastAsia="宋体" w:hAnsi="Times New Roman" w:cs="Times New Roman"/>
                <w:color w:val="000000"/>
                <w:sz w:val="22"/>
                <w:szCs w:val="22"/>
              </w:rPr>
            </w:pPr>
          </w:p>
        </w:tc>
        <w:tc>
          <w:tcPr>
            <w:tcW w:w="1388" w:type="pct"/>
            <w:tcBorders>
              <w:top w:val="single" w:sz="4" w:space="0" w:color="000000"/>
              <w:left w:val="nil"/>
              <w:bottom w:val="single" w:sz="4" w:space="0" w:color="000000"/>
              <w:right w:val="nil"/>
            </w:tcBorders>
            <w:noWrap/>
            <w:vAlign w:val="center"/>
          </w:tcPr>
          <w:p w14:paraId="14E8EA00"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Method</w:t>
            </w:r>
          </w:p>
        </w:tc>
        <w:tc>
          <w:tcPr>
            <w:tcW w:w="701" w:type="pct"/>
            <w:tcBorders>
              <w:top w:val="single" w:sz="4" w:space="0" w:color="000000"/>
              <w:left w:val="nil"/>
              <w:bottom w:val="single" w:sz="4" w:space="0" w:color="000000"/>
              <w:right w:val="nil"/>
            </w:tcBorders>
            <w:noWrap/>
            <w:vAlign w:val="center"/>
          </w:tcPr>
          <w:p w14:paraId="32EBBFE0"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AUC1</w:t>
            </w:r>
          </w:p>
        </w:tc>
        <w:tc>
          <w:tcPr>
            <w:tcW w:w="701" w:type="pct"/>
            <w:tcBorders>
              <w:top w:val="single" w:sz="4" w:space="0" w:color="000000"/>
              <w:left w:val="nil"/>
              <w:bottom w:val="single" w:sz="4" w:space="0" w:color="000000"/>
              <w:right w:val="nil"/>
            </w:tcBorders>
            <w:noWrap/>
            <w:vAlign w:val="center"/>
          </w:tcPr>
          <w:p w14:paraId="3A68F9F3"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AUC2</w:t>
            </w:r>
          </w:p>
        </w:tc>
        <w:tc>
          <w:tcPr>
            <w:tcW w:w="667" w:type="pct"/>
            <w:tcBorders>
              <w:top w:val="single" w:sz="4" w:space="0" w:color="000000"/>
              <w:left w:val="nil"/>
              <w:bottom w:val="single" w:sz="4" w:space="0" w:color="000000"/>
              <w:right w:val="nil"/>
            </w:tcBorders>
            <w:noWrap/>
            <w:vAlign w:val="center"/>
          </w:tcPr>
          <w:p w14:paraId="2DFC0B50" w14:textId="77777777" w:rsidR="006B1086" w:rsidRPr="00BE4DEC" w:rsidRDefault="00000000">
            <w:pPr>
              <w:widowControl/>
              <w:jc w:val="center"/>
              <w:textAlignment w:val="center"/>
              <w:rPr>
                <w:rFonts w:ascii="Times New Roman" w:eastAsia="宋体" w:hAnsi="Times New Roman" w:cs="Times New Roman"/>
                <w:color w:val="000000"/>
                <w:sz w:val="22"/>
                <w:szCs w:val="22"/>
              </w:rPr>
            </w:pPr>
            <w:proofErr w:type="spellStart"/>
            <w:r w:rsidRPr="00BE4DEC">
              <w:rPr>
                <w:rFonts w:ascii="Times New Roman" w:eastAsia="宋体" w:hAnsi="Times New Roman" w:cs="Times New Roman"/>
                <w:color w:val="000000"/>
                <w:kern w:val="0"/>
                <w:sz w:val="22"/>
                <w:szCs w:val="22"/>
                <w:lang w:bidi="ar"/>
              </w:rPr>
              <w:t>Statistic_Value</w:t>
            </w:r>
            <w:proofErr w:type="spellEnd"/>
          </w:p>
        </w:tc>
        <w:tc>
          <w:tcPr>
            <w:tcW w:w="806" w:type="pct"/>
            <w:tcBorders>
              <w:top w:val="single" w:sz="4" w:space="0" w:color="000000"/>
              <w:left w:val="nil"/>
              <w:bottom w:val="single" w:sz="4" w:space="0" w:color="000000"/>
              <w:right w:val="nil"/>
            </w:tcBorders>
            <w:noWrap/>
            <w:vAlign w:val="center"/>
          </w:tcPr>
          <w:p w14:paraId="5FD84E21"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P-value</w:t>
            </w:r>
          </w:p>
        </w:tc>
      </w:tr>
      <w:tr w:rsidR="006B1086" w:rsidRPr="00BE4DEC" w14:paraId="62A4806B" w14:textId="77777777" w:rsidTr="00BE4DEC">
        <w:trPr>
          <w:trHeight w:val="288"/>
        </w:trPr>
        <w:tc>
          <w:tcPr>
            <w:tcW w:w="738" w:type="pct"/>
            <w:tcBorders>
              <w:top w:val="nil"/>
              <w:left w:val="nil"/>
              <w:bottom w:val="nil"/>
              <w:right w:val="nil"/>
            </w:tcBorders>
            <w:noWrap/>
            <w:vAlign w:val="center"/>
          </w:tcPr>
          <w:p w14:paraId="17C4EFE7"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GPR vs Glucose</w:t>
            </w:r>
          </w:p>
        </w:tc>
        <w:tc>
          <w:tcPr>
            <w:tcW w:w="1388" w:type="pct"/>
            <w:tcBorders>
              <w:top w:val="nil"/>
              <w:left w:val="nil"/>
              <w:bottom w:val="nil"/>
              <w:right w:val="nil"/>
            </w:tcBorders>
            <w:noWrap/>
            <w:vAlign w:val="center"/>
          </w:tcPr>
          <w:p w14:paraId="1801568A"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Bootstrap test for two correlated ROC curves</w:t>
            </w:r>
          </w:p>
        </w:tc>
        <w:tc>
          <w:tcPr>
            <w:tcW w:w="701" w:type="pct"/>
            <w:tcBorders>
              <w:top w:val="nil"/>
              <w:left w:val="nil"/>
              <w:bottom w:val="nil"/>
              <w:right w:val="nil"/>
            </w:tcBorders>
            <w:noWrap/>
            <w:vAlign w:val="center"/>
          </w:tcPr>
          <w:p w14:paraId="3F40940F"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0.624027711969676</w:t>
            </w:r>
          </w:p>
        </w:tc>
        <w:tc>
          <w:tcPr>
            <w:tcW w:w="701" w:type="pct"/>
            <w:tcBorders>
              <w:top w:val="nil"/>
              <w:left w:val="nil"/>
              <w:bottom w:val="nil"/>
              <w:right w:val="nil"/>
            </w:tcBorders>
            <w:noWrap/>
            <w:vAlign w:val="center"/>
          </w:tcPr>
          <w:p w14:paraId="42F8A402"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0.640004354006326</w:t>
            </w:r>
          </w:p>
        </w:tc>
        <w:tc>
          <w:tcPr>
            <w:tcW w:w="667" w:type="pct"/>
            <w:tcBorders>
              <w:top w:val="nil"/>
              <w:left w:val="nil"/>
              <w:bottom w:val="nil"/>
              <w:right w:val="nil"/>
            </w:tcBorders>
            <w:noWrap/>
            <w:vAlign w:val="center"/>
          </w:tcPr>
          <w:p w14:paraId="1412979C"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-1.78172846</w:t>
            </w:r>
          </w:p>
        </w:tc>
        <w:tc>
          <w:tcPr>
            <w:tcW w:w="806" w:type="pct"/>
            <w:tcBorders>
              <w:top w:val="nil"/>
              <w:left w:val="nil"/>
              <w:bottom w:val="nil"/>
              <w:right w:val="nil"/>
            </w:tcBorders>
            <w:noWrap/>
            <w:vAlign w:val="center"/>
          </w:tcPr>
          <w:p w14:paraId="5273CEE7"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0.0747935233876472</w:t>
            </w:r>
          </w:p>
        </w:tc>
      </w:tr>
      <w:tr w:rsidR="006B1086" w:rsidRPr="00BE4DEC" w14:paraId="335FBFC4" w14:textId="77777777" w:rsidTr="00BE4DEC">
        <w:trPr>
          <w:trHeight w:val="288"/>
        </w:trPr>
        <w:tc>
          <w:tcPr>
            <w:tcW w:w="738" w:type="pct"/>
            <w:tcBorders>
              <w:top w:val="nil"/>
              <w:left w:val="nil"/>
              <w:bottom w:val="nil"/>
              <w:right w:val="nil"/>
            </w:tcBorders>
            <w:noWrap/>
            <w:vAlign w:val="center"/>
          </w:tcPr>
          <w:p w14:paraId="41637FD8"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GPR vs Potassium</w:t>
            </w:r>
          </w:p>
        </w:tc>
        <w:tc>
          <w:tcPr>
            <w:tcW w:w="1388" w:type="pct"/>
            <w:tcBorders>
              <w:top w:val="nil"/>
              <w:left w:val="nil"/>
              <w:bottom w:val="nil"/>
              <w:right w:val="nil"/>
            </w:tcBorders>
            <w:noWrap/>
            <w:vAlign w:val="center"/>
          </w:tcPr>
          <w:p w14:paraId="04396E8A"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Bootstrap test for two correlated ROC curves</w:t>
            </w:r>
          </w:p>
        </w:tc>
        <w:tc>
          <w:tcPr>
            <w:tcW w:w="701" w:type="pct"/>
            <w:tcBorders>
              <w:top w:val="nil"/>
              <w:left w:val="nil"/>
              <w:bottom w:val="nil"/>
              <w:right w:val="nil"/>
            </w:tcBorders>
            <w:noWrap/>
            <w:vAlign w:val="center"/>
          </w:tcPr>
          <w:p w14:paraId="6E9218E3"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0.624027711969676</w:t>
            </w:r>
          </w:p>
        </w:tc>
        <w:tc>
          <w:tcPr>
            <w:tcW w:w="701" w:type="pct"/>
            <w:tcBorders>
              <w:top w:val="nil"/>
              <w:left w:val="nil"/>
              <w:bottom w:val="nil"/>
              <w:right w:val="nil"/>
            </w:tcBorders>
            <w:noWrap/>
            <w:vAlign w:val="center"/>
          </w:tcPr>
          <w:p w14:paraId="223F48E0"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0.510452176362868</w:t>
            </w:r>
          </w:p>
        </w:tc>
        <w:tc>
          <w:tcPr>
            <w:tcW w:w="667" w:type="pct"/>
            <w:tcBorders>
              <w:top w:val="nil"/>
              <w:left w:val="nil"/>
              <w:bottom w:val="nil"/>
              <w:right w:val="nil"/>
            </w:tcBorders>
            <w:noWrap/>
            <w:vAlign w:val="center"/>
          </w:tcPr>
          <w:p w14:paraId="70A028B9"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3.79963943773525</w:t>
            </w:r>
          </w:p>
        </w:tc>
        <w:tc>
          <w:tcPr>
            <w:tcW w:w="806" w:type="pct"/>
            <w:tcBorders>
              <w:top w:val="nil"/>
              <w:left w:val="nil"/>
              <w:bottom w:val="nil"/>
              <w:right w:val="nil"/>
            </w:tcBorders>
            <w:noWrap/>
            <w:vAlign w:val="center"/>
          </w:tcPr>
          <w:p w14:paraId="08EF25EE"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0.000144906762228558</w:t>
            </w:r>
          </w:p>
        </w:tc>
      </w:tr>
      <w:tr w:rsidR="006B1086" w:rsidRPr="00BE4DEC" w14:paraId="0EF92092" w14:textId="77777777" w:rsidTr="00BE4DEC">
        <w:trPr>
          <w:trHeight w:val="288"/>
        </w:trPr>
        <w:tc>
          <w:tcPr>
            <w:tcW w:w="738" w:type="pct"/>
            <w:tcBorders>
              <w:top w:val="nil"/>
              <w:left w:val="nil"/>
              <w:bottom w:val="nil"/>
              <w:right w:val="nil"/>
            </w:tcBorders>
            <w:noWrap/>
            <w:vAlign w:val="center"/>
          </w:tcPr>
          <w:p w14:paraId="2BF6E2FF"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Glucose vs Potassium</w:t>
            </w:r>
          </w:p>
        </w:tc>
        <w:tc>
          <w:tcPr>
            <w:tcW w:w="1388" w:type="pct"/>
            <w:tcBorders>
              <w:top w:val="nil"/>
              <w:left w:val="nil"/>
              <w:bottom w:val="nil"/>
              <w:right w:val="nil"/>
            </w:tcBorders>
            <w:noWrap/>
            <w:vAlign w:val="center"/>
          </w:tcPr>
          <w:p w14:paraId="767CFB3F"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Bootstrap test for two correlated ROC curves</w:t>
            </w:r>
          </w:p>
        </w:tc>
        <w:tc>
          <w:tcPr>
            <w:tcW w:w="701" w:type="pct"/>
            <w:tcBorders>
              <w:top w:val="nil"/>
              <w:left w:val="nil"/>
              <w:bottom w:val="nil"/>
              <w:right w:val="nil"/>
            </w:tcBorders>
            <w:noWrap/>
            <w:vAlign w:val="center"/>
          </w:tcPr>
          <w:p w14:paraId="5C40945E"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0.640004354006326</w:t>
            </w:r>
          </w:p>
        </w:tc>
        <w:tc>
          <w:tcPr>
            <w:tcW w:w="701" w:type="pct"/>
            <w:tcBorders>
              <w:top w:val="nil"/>
              <w:left w:val="nil"/>
              <w:bottom w:val="nil"/>
              <w:right w:val="nil"/>
            </w:tcBorders>
            <w:noWrap/>
            <w:vAlign w:val="center"/>
          </w:tcPr>
          <w:p w14:paraId="4CD1EE00"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0.510452176362868</w:t>
            </w:r>
          </w:p>
        </w:tc>
        <w:tc>
          <w:tcPr>
            <w:tcW w:w="667" w:type="pct"/>
            <w:tcBorders>
              <w:top w:val="nil"/>
              <w:left w:val="nil"/>
              <w:bottom w:val="nil"/>
              <w:right w:val="nil"/>
            </w:tcBorders>
            <w:noWrap/>
            <w:vAlign w:val="center"/>
          </w:tcPr>
          <w:p w14:paraId="25F58D8D"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5.29411302889078</w:t>
            </w:r>
          </w:p>
        </w:tc>
        <w:tc>
          <w:tcPr>
            <w:tcW w:w="806" w:type="pct"/>
            <w:tcBorders>
              <w:top w:val="nil"/>
              <w:left w:val="nil"/>
              <w:bottom w:val="nil"/>
              <w:right w:val="nil"/>
            </w:tcBorders>
            <w:noWrap/>
            <w:vAlign w:val="center"/>
          </w:tcPr>
          <w:p w14:paraId="244409F4"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1.1959544859706e-07</w:t>
            </w:r>
          </w:p>
        </w:tc>
      </w:tr>
      <w:tr w:rsidR="006B1086" w:rsidRPr="00BE4DEC" w14:paraId="1FAFA3FD" w14:textId="77777777" w:rsidTr="00BE4DEC">
        <w:trPr>
          <w:trHeight w:val="288"/>
        </w:trPr>
        <w:tc>
          <w:tcPr>
            <w:tcW w:w="738" w:type="pct"/>
            <w:tcBorders>
              <w:top w:val="nil"/>
              <w:left w:val="nil"/>
              <w:bottom w:val="nil"/>
              <w:right w:val="nil"/>
            </w:tcBorders>
            <w:noWrap/>
            <w:vAlign w:val="center"/>
          </w:tcPr>
          <w:p w14:paraId="1DA759F7" w14:textId="77777777" w:rsidR="006B1086" w:rsidRPr="00BE4DEC" w:rsidRDefault="00000000">
            <w:pPr>
              <w:widowControl/>
              <w:jc w:val="center"/>
              <w:textAlignment w:val="center"/>
              <w:rPr>
                <w:rFonts w:ascii="Times New Roman" w:eastAsia="宋体" w:hAnsi="Times New Roman" w:cs="Times New Roman"/>
                <w:color w:val="000000"/>
                <w:sz w:val="22"/>
                <w:szCs w:val="22"/>
              </w:rPr>
            </w:pPr>
            <w:proofErr w:type="spellStart"/>
            <w:r w:rsidRPr="00BE4DEC">
              <w:rPr>
                <w:rFonts w:ascii="Times New Roman" w:eastAsia="宋体" w:hAnsi="Times New Roman" w:cs="Times New Roman"/>
                <w:color w:val="000000"/>
                <w:kern w:val="0"/>
                <w:sz w:val="22"/>
                <w:szCs w:val="22"/>
                <w:lang w:bidi="ar"/>
              </w:rPr>
              <w:t>GPR+Base</w:t>
            </w:r>
            <w:proofErr w:type="spellEnd"/>
            <w:r w:rsidRPr="00BE4DEC">
              <w:rPr>
                <w:rFonts w:ascii="Times New Roman" w:eastAsia="宋体" w:hAnsi="Times New Roman" w:cs="Times New Roman"/>
                <w:color w:val="000000"/>
                <w:kern w:val="0"/>
                <w:sz w:val="22"/>
                <w:szCs w:val="22"/>
                <w:lang w:bidi="ar"/>
              </w:rPr>
              <w:t xml:space="preserve"> vs Base</w:t>
            </w:r>
          </w:p>
        </w:tc>
        <w:tc>
          <w:tcPr>
            <w:tcW w:w="1388" w:type="pct"/>
            <w:tcBorders>
              <w:top w:val="nil"/>
              <w:left w:val="nil"/>
              <w:bottom w:val="nil"/>
              <w:right w:val="nil"/>
            </w:tcBorders>
            <w:noWrap/>
            <w:vAlign w:val="center"/>
          </w:tcPr>
          <w:p w14:paraId="6EDA42CA"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Bootstrap test for two correlated ROC curves</w:t>
            </w:r>
          </w:p>
        </w:tc>
        <w:tc>
          <w:tcPr>
            <w:tcW w:w="701" w:type="pct"/>
            <w:tcBorders>
              <w:top w:val="nil"/>
              <w:left w:val="nil"/>
              <w:bottom w:val="nil"/>
              <w:right w:val="nil"/>
            </w:tcBorders>
            <w:noWrap/>
            <w:vAlign w:val="center"/>
          </w:tcPr>
          <w:p w14:paraId="146FECB8"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0.770597651397764</w:t>
            </w:r>
          </w:p>
        </w:tc>
        <w:tc>
          <w:tcPr>
            <w:tcW w:w="701" w:type="pct"/>
            <w:tcBorders>
              <w:top w:val="nil"/>
              <w:left w:val="nil"/>
              <w:bottom w:val="nil"/>
              <w:right w:val="nil"/>
            </w:tcBorders>
            <w:noWrap/>
            <w:vAlign w:val="center"/>
          </w:tcPr>
          <w:p w14:paraId="0F873D97"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0.767843102101448</w:t>
            </w:r>
          </w:p>
        </w:tc>
        <w:tc>
          <w:tcPr>
            <w:tcW w:w="667" w:type="pct"/>
            <w:tcBorders>
              <w:top w:val="nil"/>
              <w:left w:val="nil"/>
              <w:bottom w:val="nil"/>
              <w:right w:val="nil"/>
            </w:tcBorders>
            <w:noWrap/>
            <w:vAlign w:val="center"/>
          </w:tcPr>
          <w:p w14:paraId="7C779180"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2.86336695156028</w:t>
            </w:r>
          </w:p>
        </w:tc>
        <w:tc>
          <w:tcPr>
            <w:tcW w:w="806" w:type="pct"/>
            <w:tcBorders>
              <w:top w:val="nil"/>
              <w:left w:val="nil"/>
              <w:bottom w:val="nil"/>
              <w:right w:val="nil"/>
            </w:tcBorders>
            <w:noWrap/>
            <w:vAlign w:val="center"/>
          </w:tcPr>
          <w:p w14:paraId="2D2CF6C4"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0.00419164810978612</w:t>
            </w:r>
          </w:p>
        </w:tc>
      </w:tr>
      <w:tr w:rsidR="006B1086" w:rsidRPr="00BE4DEC" w14:paraId="5C476280" w14:textId="77777777" w:rsidTr="00BE4DEC">
        <w:trPr>
          <w:trHeight w:val="288"/>
        </w:trPr>
        <w:tc>
          <w:tcPr>
            <w:tcW w:w="738" w:type="pct"/>
            <w:tcBorders>
              <w:top w:val="nil"/>
              <w:left w:val="nil"/>
              <w:bottom w:val="single" w:sz="4" w:space="0" w:color="000000"/>
              <w:right w:val="nil"/>
            </w:tcBorders>
            <w:noWrap/>
            <w:vAlign w:val="center"/>
          </w:tcPr>
          <w:p w14:paraId="5F056EF8"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GPR vs Base</w:t>
            </w:r>
          </w:p>
        </w:tc>
        <w:tc>
          <w:tcPr>
            <w:tcW w:w="1388" w:type="pct"/>
            <w:tcBorders>
              <w:top w:val="nil"/>
              <w:left w:val="nil"/>
              <w:bottom w:val="single" w:sz="4" w:space="0" w:color="000000"/>
              <w:right w:val="nil"/>
            </w:tcBorders>
            <w:noWrap/>
            <w:vAlign w:val="center"/>
          </w:tcPr>
          <w:p w14:paraId="61CAE5B2"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Bootstrap test for two correlated ROC curves</w:t>
            </w:r>
          </w:p>
        </w:tc>
        <w:tc>
          <w:tcPr>
            <w:tcW w:w="701" w:type="pct"/>
            <w:tcBorders>
              <w:top w:val="nil"/>
              <w:left w:val="nil"/>
              <w:bottom w:val="single" w:sz="4" w:space="0" w:color="000000"/>
              <w:right w:val="nil"/>
            </w:tcBorders>
            <w:noWrap/>
            <w:vAlign w:val="center"/>
          </w:tcPr>
          <w:p w14:paraId="25BF9A03"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0.624027711969676</w:t>
            </w:r>
          </w:p>
        </w:tc>
        <w:tc>
          <w:tcPr>
            <w:tcW w:w="701" w:type="pct"/>
            <w:tcBorders>
              <w:top w:val="nil"/>
              <w:left w:val="nil"/>
              <w:bottom w:val="single" w:sz="4" w:space="0" w:color="000000"/>
              <w:right w:val="nil"/>
            </w:tcBorders>
            <w:noWrap/>
            <w:vAlign w:val="center"/>
          </w:tcPr>
          <w:p w14:paraId="44E5DC15"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0.767843102101448</w:t>
            </w:r>
          </w:p>
        </w:tc>
        <w:tc>
          <w:tcPr>
            <w:tcW w:w="667" w:type="pct"/>
            <w:tcBorders>
              <w:top w:val="nil"/>
              <w:left w:val="nil"/>
              <w:bottom w:val="single" w:sz="4" w:space="0" w:color="000000"/>
              <w:right w:val="nil"/>
            </w:tcBorders>
            <w:noWrap/>
            <w:vAlign w:val="center"/>
          </w:tcPr>
          <w:p w14:paraId="02C9B410"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-6.62849002</w:t>
            </w:r>
          </w:p>
        </w:tc>
        <w:tc>
          <w:tcPr>
            <w:tcW w:w="806" w:type="pct"/>
            <w:tcBorders>
              <w:top w:val="nil"/>
              <w:left w:val="nil"/>
              <w:bottom w:val="single" w:sz="4" w:space="0" w:color="000000"/>
              <w:right w:val="nil"/>
            </w:tcBorders>
            <w:noWrap/>
            <w:vAlign w:val="center"/>
          </w:tcPr>
          <w:p w14:paraId="4DBCBE5C" w14:textId="77777777" w:rsidR="006B1086" w:rsidRPr="00BE4DEC" w:rsidRDefault="00000000">
            <w:pPr>
              <w:widowControl/>
              <w:jc w:val="center"/>
              <w:textAlignment w:val="center"/>
              <w:rPr>
                <w:rFonts w:ascii="Times New Roman" w:eastAsia="宋体" w:hAnsi="Times New Roman" w:cs="Times New Roman"/>
                <w:color w:val="000000"/>
                <w:sz w:val="22"/>
                <w:szCs w:val="22"/>
              </w:rPr>
            </w:pPr>
            <w:r w:rsidRPr="00BE4DEC">
              <w:rPr>
                <w:rFonts w:ascii="Times New Roman" w:eastAsia="宋体" w:hAnsi="Times New Roman" w:cs="Times New Roman"/>
                <w:color w:val="000000"/>
                <w:kern w:val="0"/>
                <w:sz w:val="22"/>
                <w:szCs w:val="22"/>
                <w:lang w:bidi="ar"/>
              </w:rPr>
              <w:t>3.39138047360431e-11</w:t>
            </w:r>
          </w:p>
        </w:tc>
      </w:tr>
    </w:tbl>
    <w:p w14:paraId="6C3FFA11" w14:textId="154D5EBE" w:rsidR="006B1086" w:rsidRPr="00BE4DEC" w:rsidRDefault="00BE4DEC">
      <w:pPr>
        <w:rPr>
          <w:rFonts w:ascii="Times New Roman" w:hAnsi="Times New Roman" w:cs="Times New Roman"/>
        </w:rPr>
      </w:pPr>
      <w:r w:rsidRPr="00BE4DEC">
        <w:rPr>
          <w:rFonts w:ascii="Times New Roman" w:hAnsi="Times New Roman" w:cs="Times New Roman"/>
        </w:rPr>
        <w:t>The table presents pairwise comparisons of time-dependent AUCs for 28-day mortality prediction using bootstrap tests for two correlated ROC curves. AUC1 and AUC2 correspond to the two models being compared, and the test statistic and P value are reported for each comparison. The baseline model included age, acute kidney injury, Glasgow Coma Scale score, Sequential Organ Failure Assessment score, mechanical ventilation, blood urea nitrogen, and creatinine. GPR, glucose-to-potassium ratio; AUC, area under the curve.</w:t>
      </w:r>
    </w:p>
    <w:sectPr w:rsidR="006B1086" w:rsidRPr="00BE4DE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1086"/>
    <w:rsid w:val="005F182E"/>
    <w:rsid w:val="006B1086"/>
    <w:rsid w:val="00BE4DEC"/>
    <w:rsid w:val="34F27DA7"/>
    <w:rsid w:val="45C16630"/>
    <w:rsid w:val="58E250CD"/>
    <w:rsid w:val="5A9F1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8D531"/>
  <w15:docId w15:val="{DB943D46-D00A-4E91-AB79-8B6DF835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wangtao</dc:creator>
  <cp:lastModifiedBy>wangtao</cp:lastModifiedBy>
  <cp:revision>2</cp:revision>
  <dcterms:created xsi:type="dcterms:W3CDTF">2026-04-30T17:37:00Z</dcterms:created>
  <dcterms:modified xsi:type="dcterms:W3CDTF">2026-04-30T21:48:00Z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eyJoZGlkIjoiMDU5NTA5NzY1YzJlY2MyYWNkODcyYjgwODcwZmJiNWQiLCJ1c2VySWQiOiIxMjg0MDk2NzI0In0=</vt:lpwstr>
  </property>
  <property fmtid="{D5CDD505-2E9C-101B-9397-08002B2CF9AE}" pid="4" name="ICV">
    <vt:lpwstr>9F85594C76D047B9928963F4CF3BA271_12</vt:lpwstr>
  </property>
</Properties>
</file>