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506BE">
      <w:pPr>
        <w:bidi w:val="0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Components of Non-Routine ED Disposition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032"/>
        <w:gridCol w:w="1324"/>
        <w:gridCol w:w="2066"/>
        <w:gridCol w:w="2185"/>
      </w:tblGrid>
      <w:tr w14:paraId="6F18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C94369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Disposition component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D8083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NEISS code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D3FA34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Unweighted 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5FCD46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Weighted n (95% CI)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A22512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Weighted proportion (95% CI)</w:t>
            </w:r>
          </w:p>
        </w:tc>
      </w:tr>
      <w:tr w14:paraId="2F25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90D4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Transfer to another hospital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4EFF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1D45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F32F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55,969 (49,184-62,755)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E2C7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1.08% (0.96%-1.22%)</w:t>
            </w:r>
          </w:p>
        </w:tc>
      </w:tr>
      <w:tr w14:paraId="5EB3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4308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Hospital admission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30D1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D6D4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4,860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B0FD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109,083 (94,804-123,361)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AFB5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2.11% (1.88%-2.36%)</w:t>
            </w:r>
          </w:p>
        </w:tc>
      </w:tr>
      <w:tr w14:paraId="6B012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02EDD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Observation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CB4A4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C1AC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349E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11,154 (7,726-14,582)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D28B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0.22% (0.16%-0.29%)</w:t>
            </w:r>
          </w:p>
        </w:tc>
      </w:tr>
      <w:tr w14:paraId="4D001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B8EEDE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21DC795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982511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34280A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854 (436-1,273)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43AF2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0.02% (0.01%-0.03%)</w:t>
            </w:r>
          </w:p>
        </w:tc>
      </w:tr>
    </w:tbl>
    <w:p w14:paraId="1C2F3B05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DA7529"/>
    <w:rsid w:val="5B14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363</Characters>
  <Lines>0</Lines>
  <Paragraphs>0</Paragraphs>
  <TotalTime>0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2026-09-10T03:15:00Z</dcterms:created>
  <dc:creator>huangmingyu</dc:creator>
  <cp:lastModifiedBy>Author</cp:lastModifiedBy>
  <dcterms:modified xsi:type="dcterms:W3CDTF">2026-09-10T05:52:25Z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eyJoZGlkIjoiMTU3OTczODBhZmM1ZjAyZTk4OWY2ZTQ3ZjYwNmUzMzQiLCJ1c2VySWQiOiI1NjAzNjI5NzcifQ==</vt:lpwstr>
  </property>
  <property fmtid="{D5CDD505-2E9C-101B-9397-08002B2CF9AE}" pid="4" name="ICV">
    <vt:lpwstr>395B70A565694F4B8B5A17B31143F953_12</vt:lpwstr>
  </property>
</Properties>
</file>