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5E1" w:rsidRPr="007B7D0F" w:rsidRDefault="007B7D0F" w:rsidP="007B7D0F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B7D0F">
        <w:rPr>
          <w:rFonts w:ascii="Times New Roman" w:hAnsi="Times New Roman" w:cs="Times New Roman"/>
          <w:sz w:val="24"/>
          <w:szCs w:val="24"/>
        </w:rPr>
        <w:t>Supplementary Table 1.</w:t>
      </w:r>
      <w:proofErr w:type="gramEnd"/>
      <w:r w:rsidRPr="007B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7D0F">
        <w:rPr>
          <w:rFonts w:ascii="Times New Roman" w:hAnsi="Times New Roman" w:cs="Times New Roman"/>
          <w:sz w:val="24"/>
          <w:szCs w:val="24"/>
        </w:rPr>
        <w:t>Clinicopathological</w:t>
      </w:r>
      <w:proofErr w:type="spellEnd"/>
      <w:r w:rsidRPr="007B7D0F">
        <w:rPr>
          <w:rFonts w:ascii="Times New Roman" w:hAnsi="Times New Roman" w:cs="Times New Roman"/>
          <w:sz w:val="24"/>
          <w:szCs w:val="24"/>
        </w:rPr>
        <w:t xml:space="preserve"> characteristics of the 160 breast cancer patients</w:t>
      </w:r>
    </w:p>
    <w:tbl>
      <w:tblPr>
        <w:tblStyle w:val="a5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4820"/>
        <w:gridCol w:w="2976"/>
        <w:gridCol w:w="2726"/>
      </w:tblGrid>
      <w:tr w:rsidR="007B7D0F" w:rsidRPr="007B7D0F" w:rsidTr="007B7D0F">
        <w:tc>
          <w:tcPr>
            <w:tcW w:w="3652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Characteristic</w:t>
            </w:r>
          </w:p>
        </w:tc>
        <w:tc>
          <w:tcPr>
            <w:tcW w:w="4820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Category</w:t>
            </w:r>
          </w:p>
        </w:tc>
        <w:tc>
          <w:tcPr>
            <w:tcW w:w="2976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No. of patients (N=160)</w:t>
            </w:r>
          </w:p>
        </w:tc>
        <w:tc>
          <w:tcPr>
            <w:tcW w:w="2726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Percentage (%)</w:t>
            </w:r>
          </w:p>
        </w:tc>
      </w:tr>
      <w:tr w:rsidR="007B7D0F" w:rsidRPr="007B7D0F" w:rsidTr="007B7D0F">
        <w:tc>
          <w:tcPr>
            <w:tcW w:w="3652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C6D565" wp14:editId="6BF54F4B">
                      <wp:simplePos x="0" y="0"/>
                      <wp:positionH relativeFrom="column">
                        <wp:posOffset>-57151</wp:posOffset>
                      </wp:positionH>
                      <wp:positionV relativeFrom="paragraph">
                        <wp:posOffset>22860</wp:posOffset>
                      </wp:positionV>
                      <wp:extent cx="8982075" cy="0"/>
                      <wp:effectExtent l="0" t="0" r="9525" b="1905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982075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5pt,1.8pt" to="702.7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" strokecolor="black [3213]" strokeweight="1.5pt"/>
                  </w:pict>
                </mc:Fallback>
              </mc:AlternateContent>
            </w: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Age at diagnosis (years)</w:t>
            </w:r>
          </w:p>
        </w:tc>
        <w:tc>
          <w:tcPr>
            <w:tcW w:w="4820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Mean ± SD</w:t>
            </w:r>
          </w:p>
        </w:tc>
        <w:tc>
          <w:tcPr>
            <w:tcW w:w="2976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45.8 ± 4.8</w:t>
            </w:r>
          </w:p>
        </w:tc>
        <w:tc>
          <w:tcPr>
            <w:tcW w:w="2726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7B7D0F" w:rsidRPr="007B7D0F" w:rsidTr="007B7D0F">
        <w:tc>
          <w:tcPr>
            <w:tcW w:w="3652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≤ 45</w:t>
            </w:r>
          </w:p>
        </w:tc>
        <w:tc>
          <w:tcPr>
            <w:tcW w:w="297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72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53.8</w:t>
            </w:r>
          </w:p>
        </w:tc>
      </w:tr>
      <w:tr w:rsidR="007B7D0F" w:rsidRPr="007B7D0F" w:rsidTr="007B7D0F">
        <w:tc>
          <w:tcPr>
            <w:tcW w:w="3652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&gt; 45</w:t>
            </w:r>
          </w:p>
        </w:tc>
        <w:tc>
          <w:tcPr>
            <w:tcW w:w="297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72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46.2</w:t>
            </w:r>
          </w:p>
        </w:tc>
      </w:tr>
      <w:tr w:rsidR="007B7D0F" w:rsidRPr="007B7D0F" w:rsidTr="007B7D0F">
        <w:tc>
          <w:tcPr>
            <w:tcW w:w="3652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Molecular subtype</w:t>
            </w:r>
          </w:p>
        </w:tc>
        <w:tc>
          <w:tcPr>
            <w:tcW w:w="4820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Luminal A (ER+/PR+, HER2−)</w:t>
            </w:r>
          </w:p>
        </w:tc>
        <w:tc>
          <w:tcPr>
            <w:tcW w:w="2976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726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42.5</w:t>
            </w:r>
          </w:p>
        </w:tc>
      </w:tr>
      <w:tr w:rsidR="007B7D0F" w:rsidRPr="007B7D0F" w:rsidTr="007B7D0F">
        <w:tc>
          <w:tcPr>
            <w:tcW w:w="3652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Luminal B (ER+/PR+, HER2+)</w:t>
            </w:r>
          </w:p>
        </w:tc>
        <w:tc>
          <w:tcPr>
            <w:tcW w:w="297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72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20.0</w:t>
            </w:r>
          </w:p>
        </w:tc>
      </w:tr>
      <w:tr w:rsidR="007B7D0F" w:rsidRPr="007B7D0F" w:rsidTr="007B7D0F">
        <w:tc>
          <w:tcPr>
            <w:tcW w:w="3652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HER2-enriched (ER−/PR−/HER2+)</w:t>
            </w:r>
          </w:p>
        </w:tc>
        <w:tc>
          <w:tcPr>
            <w:tcW w:w="297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72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</w:tr>
      <w:tr w:rsidR="007B7D0F" w:rsidRPr="007B7D0F" w:rsidTr="007B7D0F">
        <w:tc>
          <w:tcPr>
            <w:tcW w:w="3652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Triple-negative (ER−/PR−/HER2−)</w:t>
            </w:r>
          </w:p>
        </w:tc>
        <w:tc>
          <w:tcPr>
            <w:tcW w:w="297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72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22.5</w:t>
            </w:r>
          </w:p>
        </w:tc>
      </w:tr>
      <w:tr w:rsidR="007B7D0F" w:rsidRPr="007B7D0F" w:rsidTr="007B7D0F">
        <w:tc>
          <w:tcPr>
            <w:tcW w:w="3652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TNM Stage</w:t>
            </w:r>
          </w:p>
        </w:tc>
        <w:tc>
          <w:tcPr>
            <w:tcW w:w="4820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Stage I</w:t>
            </w:r>
          </w:p>
        </w:tc>
        <w:tc>
          <w:tcPr>
            <w:tcW w:w="2976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726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</w:tr>
      <w:tr w:rsidR="007B7D0F" w:rsidRPr="007B7D0F" w:rsidTr="007B7D0F">
        <w:tc>
          <w:tcPr>
            <w:tcW w:w="3652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Stage II</w:t>
            </w:r>
          </w:p>
        </w:tc>
        <w:tc>
          <w:tcPr>
            <w:tcW w:w="297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72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47.5</w:t>
            </w:r>
          </w:p>
        </w:tc>
      </w:tr>
      <w:tr w:rsidR="007B7D0F" w:rsidRPr="007B7D0F" w:rsidTr="007B7D0F">
        <w:tc>
          <w:tcPr>
            <w:tcW w:w="3652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Stage III</w:t>
            </w:r>
          </w:p>
        </w:tc>
        <w:tc>
          <w:tcPr>
            <w:tcW w:w="297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72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30.0</w:t>
            </w:r>
          </w:p>
        </w:tc>
      </w:tr>
      <w:tr w:rsidR="007B7D0F" w:rsidRPr="007B7D0F" w:rsidTr="007B7D0F">
        <w:tc>
          <w:tcPr>
            <w:tcW w:w="3652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Stage IV</w:t>
            </w:r>
          </w:p>
        </w:tc>
        <w:tc>
          <w:tcPr>
            <w:tcW w:w="297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2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</w:tr>
      <w:tr w:rsidR="007B7D0F" w:rsidRPr="007B7D0F" w:rsidTr="007B7D0F">
        <w:tc>
          <w:tcPr>
            <w:tcW w:w="3652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Tumor size (T category)</w:t>
            </w:r>
          </w:p>
        </w:tc>
        <w:tc>
          <w:tcPr>
            <w:tcW w:w="4820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T1 (≤ 2 cm)</w:t>
            </w:r>
          </w:p>
        </w:tc>
        <w:tc>
          <w:tcPr>
            <w:tcW w:w="2976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726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27.5</w:t>
            </w:r>
          </w:p>
        </w:tc>
      </w:tr>
      <w:tr w:rsidR="007B7D0F" w:rsidRPr="007B7D0F" w:rsidTr="007B7D0F">
        <w:tc>
          <w:tcPr>
            <w:tcW w:w="3652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T2 (2–5 cm)</w:t>
            </w:r>
          </w:p>
        </w:tc>
        <w:tc>
          <w:tcPr>
            <w:tcW w:w="297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72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48.8</w:t>
            </w:r>
          </w:p>
        </w:tc>
      </w:tr>
      <w:tr w:rsidR="007B7D0F" w:rsidRPr="007B7D0F" w:rsidTr="007B7D0F">
        <w:tc>
          <w:tcPr>
            <w:tcW w:w="3652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T3 (&gt; 5 cm)</w:t>
            </w:r>
          </w:p>
        </w:tc>
        <w:tc>
          <w:tcPr>
            <w:tcW w:w="297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2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18.7</w:t>
            </w:r>
          </w:p>
        </w:tc>
      </w:tr>
      <w:tr w:rsidR="007B7D0F" w:rsidRPr="007B7D0F" w:rsidTr="007B7D0F">
        <w:tc>
          <w:tcPr>
            <w:tcW w:w="3652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T4 (any size, invading chest wall/skin)</w:t>
            </w:r>
          </w:p>
        </w:tc>
        <w:tc>
          <w:tcPr>
            <w:tcW w:w="297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2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</w:tr>
      <w:tr w:rsidR="007B7D0F" w:rsidRPr="007B7D0F" w:rsidTr="007B7D0F">
        <w:tc>
          <w:tcPr>
            <w:tcW w:w="3652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Lymph node status (N category)</w:t>
            </w:r>
          </w:p>
        </w:tc>
        <w:tc>
          <w:tcPr>
            <w:tcW w:w="4820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N0 (no regional lymph node metastasis)</w:t>
            </w:r>
          </w:p>
        </w:tc>
        <w:tc>
          <w:tcPr>
            <w:tcW w:w="2976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726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43.8</w:t>
            </w:r>
          </w:p>
        </w:tc>
      </w:tr>
      <w:tr w:rsidR="007B7D0F" w:rsidRPr="007B7D0F" w:rsidTr="007B7D0F">
        <w:tc>
          <w:tcPr>
            <w:tcW w:w="3652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N1 (1–3 positive nodes)</w:t>
            </w:r>
          </w:p>
        </w:tc>
        <w:tc>
          <w:tcPr>
            <w:tcW w:w="297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72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27.5</w:t>
            </w:r>
          </w:p>
        </w:tc>
      </w:tr>
      <w:tr w:rsidR="007B7D0F" w:rsidRPr="007B7D0F" w:rsidTr="007B7D0F">
        <w:tc>
          <w:tcPr>
            <w:tcW w:w="3652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N2 (4–9 positive nodes)</w:t>
            </w:r>
          </w:p>
        </w:tc>
        <w:tc>
          <w:tcPr>
            <w:tcW w:w="297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72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</w:tr>
      <w:tr w:rsidR="007B7D0F" w:rsidRPr="007B7D0F" w:rsidTr="007B7D0F">
        <w:tc>
          <w:tcPr>
            <w:tcW w:w="3652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N3 (≥ 10 positive nodes)</w:t>
            </w:r>
          </w:p>
        </w:tc>
        <w:tc>
          <w:tcPr>
            <w:tcW w:w="297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72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</w:tr>
      <w:tr w:rsidR="007B7D0F" w:rsidRPr="007B7D0F" w:rsidTr="007B7D0F">
        <w:tc>
          <w:tcPr>
            <w:tcW w:w="3652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Histological grade</w:t>
            </w:r>
          </w:p>
        </w:tc>
        <w:tc>
          <w:tcPr>
            <w:tcW w:w="4820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Grade I (well differentiated)</w:t>
            </w:r>
          </w:p>
        </w:tc>
        <w:tc>
          <w:tcPr>
            <w:tcW w:w="2976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726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20.0</w:t>
            </w:r>
          </w:p>
        </w:tc>
      </w:tr>
      <w:tr w:rsidR="007B7D0F" w:rsidRPr="007B7D0F" w:rsidTr="007B7D0F">
        <w:tc>
          <w:tcPr>
            <w:tcW w:w="3652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Grade II (moderately differentiated)</w:t>
            </w:r>
          </w:p>
        </w:tc>
        <w:tc>
          <w:tcPr>
            <w:tcW w:w="297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72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46.3</w:t>
            </w:r>
          </w:p>
        </w:tc>
      </w:tr>
      <w:tr w:rsidR="007B7D0F" w:rsidRPr="007B7D0F" w:rsidTr="007B7D0F">
        <w:tc>
          <w:tcPr>
            <w:tcW w:w="3652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Grade III (poorly differentiated)</w:t>
            </w:r>
          </w:p>
        </w:tc>
        <w:tc>
          <w:tcPr>
            <w:tcW w:w="297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72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33.7</w:t>
            </w:r>
          </w:p>
        </w:tc>
      </w:tr>
      <w:tr w:rsidR="007B7D0F" w:rsidRPr="007B7D0F" w:rsidTr="007B7D0F">
        <w:tc>
          <w:tcPr>
            <w:tcW w:w="3652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Menopausal status</w:t>
            </w:r>
          </w:p>
        </w:tc>
        <w:tc>
          <w:tcPr>
            <w:tcW w:w="4820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Premenopausal</w:t>
            </w:r>
          </w:p>
        </w:tc>
        <w:tc>
          <w:tcPr>
            <w:tcW w:w="2976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726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58.8</w:t>
            </w:r>
          </w:p>
        </w:tc>
      </w:tr>
      <w:tr w:rsidR="007B7D0F" w:rsidRPr="007B7D0F" w:rsidTr="007B7D0F">
        <w:tc>
          <w:tcPr>
            <w:tcW w:w="3652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Postmenopausal</w:t>
            </w:r>
          </w:p>
        </w:tc>
        <w:tc>
          <w:tcPr>
            <w:tcW w:w="297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72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41.2</w:t>
            </w:r>
          </w:p>
        </w:tc>
      </w:tr>
      <w:tr w:rsidR="007B7D0F" w:rsidRPr="007B7D0F" w:rsidTr="007B7D0F">
        <w:tc>
          <w:tcPr>
            <w:tcW w:w="3652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Estrogen receptor (ER) status</w:t>
            </w:r>
          </w:p>
        </w:tc>
        <w:tc>
          <w:tcPr>
            <w:tcW w:w="4820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2976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726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62.5</w:t>
            </w:r>
          </w:p>
        </w:tc>
      </w:tr>
      <w:tr w:rsidR="007B7D0F" w:rsidRPr="007B7D0F" w:rsidTr="007B7D0F">
        <w:tc>
          <w:tcPr>
            <w:tcW w:w="3652" w:type="dxa"/>
          </w:tcPr>
          <w:p w:rsidR="007B7D0F" w:rsidRPr="007B7D0F" w:rsidRDefault="007B7D0F" w:rsidP="007B7D0F">
            <w:pPr>
              <w:tabs>
                <w:tab w:val="left" w:pos="13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7B7D0F" w:rsidRPr="007B7D0F" w:rsidRDefault="007B7D0F" w:rsidP="00CA684A">
            <w:pPr>
              <w:tabs>
                <w:tab w:val="left" w:pos="13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72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37.5</w:t>
            </w:r>
          </w:p>
        </w:tc>
      </w:tr>
      <w:tr w:rsidR="007B7D0F" w:rsidRPr="007B7D0F" w:rsidTr="007B7D0F">
        <w:tc>
          <w:tcPr>
            <w:tcW w:w="3652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Progesterone receptor (PR) status</w:t>
            </w:r>
          </w:p>
        </w:tc>
        <w:tc>
          <w:tcPr>
            <w:tcW w:w="4820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2976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726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55.0</w:t>
            </w:r>
          </w:p>
        </w:tc>
      </w:tr>
      <w:tr w:rsidR="007B7D0F" w:rsidRPr="007B7D0F" w:rsidTr="007B7D0F">
        <w:tc>
          <w:tcPr>
            <w:tcW w:w="3652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297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72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45.0</w:t>
            </w:r>
          </w:p>
        </w:tc>
      </w:tr>
      <w:tr w:rsidR="007B7D0F" w:rsidRPr="007B7D0F" w:rsidTr="007B7D0F">
        <w:tc>
          <w:tcPr>
            <w:tcW w:w="3652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HER2 status</w:t>
            </w:r>
          </w:p>
        </w:tc>
        <w:tc>
          <w:tcPr>
            <w:tcW w:w="4820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2976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726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35.0</w:t>
            </w:r>
          </w:p>
        </w:tc>
      </w:tr>
      <w:tr w:rsidR="007B7D0F" w:rsidRPr="007B7D0F" w:rsidTr="007B7D0F">
        <w:tc>
          <w:tcPr>
            <w:tcW w:w="3652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297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72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65.0</w:t>
            </w:r>
          </w:p>
        </w:tc>
      </w:tr>
      <w:tr w:rsidR="007B7D0F" w:rsidRPr="007B7D0F" w:rsidTr="007B7D0F">
        <w:tc>
          <w:tcPr>
            <w:tcW w:w="3652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Ki-67 proliferation index</w:t>
            </w:r>
          </w:p>
        </w:tc>
        <w:tc>
          <w:tcPr>
            <w:tcW w:w="4820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&lt; 20%</w:t>
            </w:r>
          </w:p>
        </w:tc>
        <w:tc>
          <w:tcPr>
            <w:tcW w:w="2976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726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42.5</w:t>
            </w:r>
          </w:p>
        </w:tc>
      </w:tr>
      <w:tr w:rsidR="007B7D0F" w:rsidRPr="007B7D0F" w:rsidTr="007B7D0F">
        <w:tc>
          <w:tcPr>
            <w:tcW w:w="3652" w:type="dxa"/>
          </w:tcPr>
          <w:p w:rsidR="007B7D0F" w:rsidRPr="007B7D0F" w:rsidRDefault="007B7D0F" w:rsidP="00CB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≥ 20%</w:t>
            </w:r>
          </w:p>
        </w:tc>
        <w:tc>
          <w:tcPr>
            <w:tcW w:w="297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726" w:type="dxa"/>
          </w:tcPr>
          <w:p w:rsidR="007B7D0F" w:rsidRPr="007B7D0F" w:rsidRDefault="007B7D0F" w:rsidP="00CA6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D0F">
              <w:rPr>
                <w:rFonts w:ascii="Times New Roman" w:hAnsi="Times New Roman" w:cs="Times New Roman"/>
                <w:sz w:val="24"/>
                <w:szCs w:val="24"/>
              </w:rPr>
              <w:t>57.5</w:t>
            </w:r>
          </w:p>
        </w:tc>
      </w:tr>
    </w:tbl>
    <w:p w:rsidR="007B7D0F" w:rsidRPr="007B7D0F" w:rsidRDefault="007B7D0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B7D0F" w:rsidRPr="007B7D0F" w:rsidSect="007B7D0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5B1" w:rsidRDefault="003E25B1" w:rsidP="007B7D0F">
      <w:r>
        <w:separator/>
      </w:r>
    </w:p>
  </w:endnote>
  <w:endnote w:type="continuationSeparator" w:id="0">
    <w:p w:rsidR="003E25B1" w:rsidRDefault="003E25B1" w:rsidP="007B7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5B1" w:rsidRDefault="003E25B1" w:rsidP="007B7D0F">
      <w:r>
        <w:separator/>
      </w:r>
    </w:p>
  </w:footnote>
  <w:footnote w:type="continuationSeparator" w:id="0">
    <w:p w:rsidR="003E25B1" w:rsidRDefault="003E25B1" w:rsidP="007B7D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F78"/>
    <w:rsid w:val="00272F78"/>
    <w:rsid w:val="003E25B1"/>
    <w:rsid w:val="00456477"/>
    <w:rsid w:val="007B7D0F"/>
    <w:rsid w:val="009D5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B7D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B7D0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B7D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B7D0F"/>
    <w:rPr>
      <w:sz w:val="18"/>
      <w:szCs w:val="18"/>
    </w:rPr>
  </w:style>
  <w:style w:type="table" w:styleId="a5">
    <w:name w:val="Table Grid"/>
    <w:basedOn w:val="a1"/>
    <w:uiPriority w:val="59"/>
    <w:rsid w:val="007B7D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B7D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B7D0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B7D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B7D0F"/>
    <w:rPr>
      <w:sz w:val="18"/>
      <w:szCs w:val="18"/>
    </w:rPr>
  </w:style>
  <w:style w:type="table" w:styleId="a5">
    <w:name w:val="Table Grid"/>
    <w:basedOn w:val="a1"/>
    <w:uiPriority w:val="59"/>
    <w:rsid w:val="007B7D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2026-08-18T12:26:00Z</dcterms:created>
  <dcterms:modified xsi:type="dcterms:W3CDTF">2026-08-18T12:31:00Z</dcterms:modified>
</cp:coreProperties>
</file>