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4E84" w14:textId="77777777" w:rsidR="001D6EB3" w:rsidRDefault="001D6EB3" w:rsidP="000010C1">
      <w:pPr>
        <w:jc w:val="both"/>
        <w:rPr>
          <w:rFonts w:ascii="Times New Roman" w:hAnsi="Times New Roman" w:cs="Times New Roman"/>
          <w:b/>
          <w:bCs/>
        </w:rPr>
      </w:pPr>
      <w:r w:rsidRPr="001D6EB3">
        <w:rPr>
          <w:rFonts w:ascii="Times New Roman" w:hAnsi="Times New Roman" w:cs="Times New Roman"/>
          <w:b/>
          <w:bCs/>
        </w:rPr>
        <w:t>Financial Literacy and Gambling-Related Risk in Adult ADHD: A Decision-Making Perspective</w:t>
      </w:r>
      <w:r w:rsidRPr="001D6EB3">
        <w:rPr>
          <w:rFonts w:ascii="Times New Roman" w:hAnsi="Times New Roman" w:cs="Times New Roman"/>
          <w:b/>
          <w:bCs/>
        </w:rPr>
        <w:br/>
        <w:t>Çağrı Hamurcu, Mehmet Öztürk, Hayriye Dilek Hamurcu</w:t>
      </w:r>
    </w:p>
    <w:p w14:paraId="3DFCF56B" w14:textId="0692DECF" w:rsidR="000010C1" w:rsidRPr="000010C1" w:rsidRDefault="000010C1" w:rsidP="000010C1">
      <w:pPr>
        <w:jc w:val="both"/>
        <w:rPr>
          <w:rFonts w:ascii="Times New Roman" w:hAnsi="Times New Roman" w:cs="Times New Roman"/>
          <w:b/>
          <w:bCs/>
        </w:rPr>
      </w:pPr>
      <w:r w:rsidRPr="000010C1">
        <w:rPr>
          <w:rFonts w:ascii="Times New Roman" w:hAnsi="Times New Roman" w:cs="Times New Roman"/>
          <w:b/>
          <w:bCs/>
        </w:rPr>
        <w:t>Supplementary Table S1. Descriptive statistics and one-way ANOVA results by sociodemographic variables</w:t>
      </w:r>
    </w:p>
    <w:p w14:paraId="0EC6AA0C" w14:textId="77777777" w:rsidR="00077E3F" w:rsidRDefault="00077E3F" w:rsidP="00D3429E">
      <w:pPr>
        <w:jc w:val="both"/>
        <w:rPr>
          <w:rFonts w:ascii="Times New Roman" w:hAnsi="Times New Roman" w:cs="Times New Roman"/>
        </w:rPr>
      </w:pPr>
    </w:p>
    <w:p w14:paraId="6DF9611F" w14:textId="6DB264EA" w:rsidR="00077E3F" w:rsidRDefault="000010C1" w:rsidP="00D3429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010C1">
        <w:rPr>
          <w:rFonts w:ascii="Times New Roman" w:hAnsi="Times New Roman" w:cs="Times New Roman"/>
        </w:rPr>
        <w:t>As a secondary exploratory analysis, one-way analyses of variance (ANOVA) were conducted to examine differences in financial literacy, South Oaks Gambling Screen (SOGS), and Adult ADHD Self-Report Scale (ASRS) scores according to gender, marital status, education level, and income level.</w:t>
      </w: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0"/>
        <w:gridCol w:w="1824"/>
        <w:gridCol w:w="1421"/>
        <w:gridCol w:w="709"/>
        <w:gridCol w:w="1405"/>
        <w:gridCol w:w="1288"/>
        <w:gridCol w:w="606"/>
        <w:gridCol w:w="473"/>
      </w:tblGrid>
      <w:tr w:rsidR="00D3429E" w:rsidRPr="007711B5" w14:paraId="4BD1CDD1" w14:textId="77777777" w:rsidTr="00E0147E">
        <w:trPr>
          <w:cantSplit/>
          <w:trHeight w:val="283"/>
          <w:tblHeader/>
        </w:trPr>
        <w:tc>
          <w:tcPr>
            <w:tcW w:w="0" w:type="auto"/>
            <w:vAlign w:val="center"/>
            <w:hideMark/>
          </w:tcPr>
          <w:p w14:paraId="3676234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Grouping variable</w:t>
            </w:r>
          </w:p>
        </w:tc>
        <w:tc>
          <w:tcPr>
            <w:tcW w:w="1824" w:type="dxa"/>
            <w:vAlign w:val="center"/>
            <w:hideMark/>
          </w:tcPr>
          <w:p w14:paraId="6D34E4C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 variable</w:t>
            </w:r>
          </w:p>
        </w:tc>
        <w:tc>
          <w:tcPr>
            <w:tcW w:w="1421" w:type="dxa"/>
            <w:vAlign w:val="center"/>
            <w:hideMark/>
          </w:tcPr>
          <w:p w14:paraId="2139EC7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709" w:type="dxa"/>
            <w:vAlign w:val="center"/>
            <w:hideMark/>
          </w:tcPr>
          <w:p w14:paraId="4631EF1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405" w:type="dxa"/>
            <w:vAlign w:val="center"/>
            <w:hideMark/>
          </w:tcPr>
          <w:p w14:paraId="04AE3F5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± SD</w:t>
            </w:r>
          </w:p>
        </w:tc>
        <w:tc>
          <w:tcPr>
            <w:tcW w:w="1288" w:type="dxa"/>
            <w:vAlign w:val="center"/>
            <w:hideMark/>
          </w:tcPr>
          <w:p w14:paraId="2BC0BB5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606" w:type="dxa"/>
            <w:vAlign w:val="center"/>
            <w:hideMark/>
          </w:tcPr>
          <w:p w14:paraId="1BE0683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B0B4E9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D3429E" w:rsidRPr="007711B5" w14:paraId="0BB14D0D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4AD1AD2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824" w:type="dxa"/>
            <w:vAlign w:val="center"/>
            <w:hideMark/>
          </w:tcPr>
          <w:p w14:paraId="68ECB66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Financial Literacy</w:t>
            </w:r>
          </w:p>
        </w:tc>
        <w:tc>
          <w:tcPr>
            <w:tcW w:w="1421" w:type="dxa"/>
            <w:vAlign w:val="center"/>
            <w:hideMark/>
          </w:tcPr>
          <w:p w14:paraId="5C1DF28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14:paraId="03EDAA2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05" w:type="dxa"/>
            <w:vAlign w:val="center"/>
            <w:hideMark/>
          </w:tcPr>
          <w:p w14:paraId="4FA4E80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3.730 ± 1.130</w:t>
            </w:r>
          </w:p>
        </w:tc>
        <w:tc>
          <w:tcPr>
            <w:tcW w:w="1288" w:type="dxa"/>
            <w:vAlign w:val="center"/>
            <w:hideMark/>
          </w:tcPr>
          <w:p w14:paraId="0466B3F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3.420–4.030</w:t>
            </w:r>
          </w:p>
        </w:tc>
        <w:tc>
          <w:tcPr>
            <w:tcW w:w="606" w:type="dxa"/>
            <w:vAlign w:val="center"/>
            <w:hideMark/>
          </w:tcPr>
          <w:p w14:paraId="731370A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3.943</w:t>
            </w:r>
          </w:p>
        </w:tc>
        <w:tc>
          <w:tcPr>
            <w:tcW w:w="0" w:type="auto"/>
            <w:vAlign w:val="center"/>
            <w:hideMark/>
          </w:tcPr>
          <w:p w14:paraId="4BD6D4D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.050</w:t>
            </w:r>
          </w:p>
        </w:tc>
      </w:tr>
      <w:tr w:rsidR="00D3429E" w:rsidRPr="007711B5" w14:paraId="547BB226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2BE59DA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22DCDBE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0DED833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14:paraId="6BCF9B5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05" w:type="dxa"/>
            <w:vAlign w:val="center"/>
            <w:hideMark/>
          </w:tcPr>
          <w:p w14:paraId="1687219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4.250 ± 1.143</w:t>
            </w:r>
          </w:p>
        </w:tc>
        <w:tc>
          <w:tcPr>
            <w:tcW w:w="1288" w:type="dxa"/>
            <w:vAlign w:val="center"/>
            <w:hideMark/>
          </w:tcPr>
          <w:p w14:paraId="59204E5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3.810–4.690</w:t>
            </w:r>
          </w:p>
        </w:tc>
        <w:tc>
          <w:tcPr>
            <w:tcW w:w="606" w:type="dxa"/>
            <w:vAlign w:val="center"/>
            <w:hideMark/>
          </w:tcPr>
          <w:p w14:paraId="476A00B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AA9DF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560939F3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286E415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824" w:type="dxa"/>
            <w:vAlign w:val="center"/>
            <w:hideMark/>
          </w:tcPr>
          <w:p w14:paraId="28CD387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South Oaks Gambling Screen (SOGS)</w:t>
            </w:r>
          </w:p>
        </w:tc>
        <w:tc>
          <w:tcPr>
            <w:tcW w:w="1421" w:type="dxa"/>
            <w:vAlign w:val="center"/>
            <w:hideMark/>
          </w:tcPr>
          <w:p w14:paraId="63FB035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14:paraId="2FBD0F7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05" w:type="dxa"/>
            <w:vAlign w:val="center"/>
            <w:hideMark/>
          </w:tcPr>
          <w:p w14:paraId="0306BAF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1.730 ± 2.138</w:t>
            </w:r>
          </w:p>
        </w:tc>
        <w:tc>
          <w:tcPr>
            <w:tcW w:w="1288" w:type="dxa"/>
            <w:vAlign w:val="center"/>
            <w:hideMark/>
          </w:tcPr>
          <w:p w14:paraId="343F902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1.150–2.310</w:t>
            </w:r>
          </w:p>
        </w:tc>
        <w:tc>
          <w:tcPr>
            <w:tcW w:w="606" w:type="dxa"/>
            <w:vAlign w:val="center"/>
            <w:hideMark/>
          </w:tcPr>
          <w:p w14:paraId="058A6D7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10.233</w:t>
            </w:r>
          </w:p>
        </w:tc>
        <w:tc>
          <w:tcPr>
            <w:tcW w:w="0" w:type="auto"/>
            <w:vAlign w:val="center"/>
            <w:hideMark/>
          </w:tcPr>
          <w:p w14:paraId="2A95F5F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.002</w:t>
            </w:r>
          </w:p>
        </w:tc>
      </w:tr>
      <w:tr w:rsidR="00D3429E" w:rsidRPr="007711B5" w14:paraId="4F8AE1A3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3B0114D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338955B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36AA56F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14:paraId="3FD7743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05" w:type="dxa"/>
            <w:vAlign w:val="center"/>
            <w:hideMark/>
          </w:tcPr>
          <w:p w14:paraId="479208B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4.390 ± 5.432</w:t>
            </w:r>
          </w:p>
        </w:tc>
        <w:tc>
          <w:tcPr>
            <w:tcW w:w="1288" w:type="dxa"/>
            <w:vAlign w:val="center"/>
            <w:hideMark/>
          </w:tcPr>
          <w:p w14:paraId="4865512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2.290–6.500</w:t>
            </w:r>
          </w:p>
        </w:tc>
        <w:tc>
          <w:tcPr>
            <w:tcW w:w="606" w:type="dxa"/>
            <w:vAlign w:val="center"/>
            <w:hideMark/>
          </w:tcPr>
          <w:p w14:paraId="71E7755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78CCC6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3A09B274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1DFF0FF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824" w:type="dxa"/>
            <w:vAlign w:val="center"/>
            <w:hideMark/>
          </w:tcPr>
          <w:p w14:paraId="5D146A3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Adult ADHD Self-Report Scale (ASRS)</w:t>
            </w:r>
          </w:p>
        </w:tc>
        <w:tc>
          <w:tcPr>
            <w:tcW w:w="1421" w:type="dxa"/>
            <w:vAlign w:val="center"/>
            <w:hideMark/>
          </w:tcPr>
          <w:p w14:paraId="733AD67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709" w:type="dxa"/>
            <w:vAlign w:val="center"/>
            <w:hideMark/>
          </w:tcPr>
          <w:p w14:paraId="3343101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05" w:type="dxa"/>
            <w:vAlign w:val="center"/>
            <w:hideMark/>
          </w:tcPr>
          <w:p w14:paraId="2ECE03E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47.130 ± 10.883</w:t>
            </w:r>
          </w:p>
        </w:tc>
        <w:tc>
          <w:tcPr>
            <w:tcW w:w="1288" w:type="dxa"/>
            <w:vAlign w:val="center"/>
            <w:hideMark/>
          </w:tcPr>
          <w:p w14:paraId="30776BF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44.190–50.070</w:t>
            </w:r>
          </w:p>
        </w:tc>
        <w:tc>
          <w:tcPr>
            <w:tcW w:w="606" w:type="dxa"/>
            <w:vAlign w:val="center"/>
            <w:hideMark/>
          </w:tcPr>
          <w:p w14:paraId="7075900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18.072</w:t>
            </w:r>
          </w:p>
        </w:tc>
        <w:tc>
          <w:tcPr>
            <w:tcW w:w="0" w:type="auto"/>
            <w:vAlign w:val="center"/>
            <w:hideMark/>
          </w:tcPr>
          <w:p w14:paraId="69248B8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&lt;.001</w:t>
            </w:r>
          </w:p>
        </w:tc>
      </w:tr>
      <w:tr w:rsidR="00D3429E" w:rsidRPr="007711B5" w14:paraId="711D9BFE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210FE20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795E46B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30CB81B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709" w:type="dxa"/>
            <w:vAlign w:val="center"/>
            <w:hideMark/>
          </w:tcPr>
          <w:p w14:paraId="0A3D36C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05" w:type="dxa"/>
            <w:vAlign w:val="center"/>
            <w:hideMark/>
          </w:tcPr>
          <w:p w14:paraId="696A770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36.890 ± 9.259</w:t>
            </w:r>
          </w:p>
        </w:tc>
        <w:tc>
          <w:tcPr>
            <w:tcW w:w="1288" w:type="dxa"/>
            <w:vAlign w:val="center"/>
            <w:hideMark/>
          </w:tcPr>
          <w:p w14:paraId="3466585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33.300–40.480</w:t>
            </w:r>
          </w:p>
        </w:tc>
        <w:tc>
          <w:tcPr>
            <w:tcW w:w="606" w:type="dxa"/>
            <w:vAlign w:val="center"/>
            <w:hideMark/>
          </w:tcPr>
          <w:p w14:paraId="5557A59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77B31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5D66CADB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17F6530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</w:tc>
        <w:tc>
          <w:tcPr>
            <w:tcW w:w="1824" w:type="dxa"/>
            <w:vAlign w:val="center"/>
            <w:hideMark/>
          </w:tcPr>
          <w:p w14:paraId="5FDC728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Financial Literacy</w:t>
            </w:r>
          </w:p>
        </w:tc>
        <w:tc>
          <w:tcPr>
            <w:tcW w:w="1421" w:type="dxa"/>
            <w:vAlign w:val="center"/>
            <w:hideMark/>
          </w:tcPr>
          <w:p w14:paraId="2722CBA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709" w:type="dxa"/>
            <w:vAlign w:val="center"/>
            <w:hideMark/>
          </w:tcPr>
          <w:p w14:paraId="7CECD13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5" w:type="dxa"/>
            <w:vAlign w:val="center"/>
            <w:hideMark/>
          </w:tcPr>
          <w:p w14:paraId="2423004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3.450 ± 1.368</w:t>
            </w:r>
          </w:p>
        </w:tc>
        <w:tc>
          <w:tcPr>
            <w:tcW w:w="1288" w:type="dxa"/>
            <w:vAlign w:val="center"/>
            <w:hideMark/>
          </w:tcPr>
          <w:p w14:paraId="6DCD65F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2.540–4.370</w:t>
            </w:r>
          </w:p>
        </w:tc>
        <w:tc>
          <w:tcPr>
            <w:tcW w:w="606" w:type="dxa"/>
            <w:vAlign w:val="center"/>
            <w:hideMark/>
          </w:tcPr>
          <w:p w14:paraId="7BCEE42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1.942</w:t>
            </w:r>
          </w:p>
        </w:tc>
        <w:tc>
          <w:tcPr>
            <w:tcW w:w="0" w:type="auto"/>
            <w:vAlign w:val="center"/>
            <w:hideMark/>
          </w:tcPr>
          <w:p w14:paraId="4B141B4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.167</w:t>
            </w:r>
          </w:p>
        </w:tc>
      </w:tr>
      <w:tr w:rsidR="00D3429E" w:rsidRPr="007711B5" w14:paraId="5A71885D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4B81148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31FCE77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4E47AB9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709" w:type="dxa"/>
            <w:vAlign w:val="center"/>
            <w:hideMark/>
          </w:tcPr>
          <w:p w14:paraId="2E8DF1D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05" w:type="dxa"/>
            <w:vAlign w:val="center"/>
            <w:hideMark/>
          </w:tcPr>
          <w:p w14:paraId="1684350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3.970 ± 1.113</w:t>
            </w:r>
          </w:p>
        </w:tc>
        <w:tc>
          <w:tcPr>
            <w:tcW w:w="1288" w:type="dxa"/>
            <w:vAlign w:val="center"/>
            <w:hideMark/>
          </w:tcPr>
          <w:p w14:paraId="68F3188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3.710–4.230</w:t>
            </w:r>
          </w:p>
        </w:tc>
        <w:tc>
          <w:tcPr>
            <w:tcW w:w="606" w:type="dxa"/>
            <w:vAlign w:val="center"/>
            <w:hideMark/>
          </w:tcPr>
          <w:p w14:paraId="510185E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279EC7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5D0D9A59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508950A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</w:tc>
        <w:tc>
          <w:tcPr>
            <w:tcW w:w="1824" w:type="dxa"/>
            <w:vAlign w:val="center"/>
            <w:hideMark/>
          </w:tcPr>
          <w:p w14:paraId="3EE7A34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South Oaks Gambling Screen (SOGS)</w:t>
            </w:r>
          </w:p>
        </w:tc>
        <w:tc>
          <w:tcPr>
            <w:tcW w:w="1421" w:type="dxa"/>
            <w:vAlign w:val="center"/>
            <w:hideMark/>
          </w:tcPr>
          <w:p w14:paraId="576EE23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709" w:type="dxa"/>
            <w:vAlign w:val="center"/>
            <w:hideMark/>
          </w:tcPr>
          <w:p w14:paraId="53E9E7A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5" w:type="dxa"/>
            <w:vAlign w:val="center"/>
            <w:hideMark/>
          </w:tcPr>
          <w:p w14:paraId="4F697D1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5.180 ± 4.535</w:t>
            </w:r>
          </w:p>
        </w:tc>
        <w:tc>
          <w:tcPr>
            <w:tcW w:w="1288" w:type="dxa"/>
            <w:vAlign w:val="center"/>
            <w:hideMark/>
          </w:tcPr>
          <w:p w14:paraId="1CF0996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2.140–8.230</w:t>
            </w:r>
          </w:p>
        </w:tc>
        <w:tc>
          <w:tcPr>
            <w:tcW w:w="606" w:type="dxa"/>
            <w:vAlign w:val="center"/>
            <w:hideMark/>
          </w:tcPr>
          <w:p w14:paraId="5539A0D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6.138</w:t>
            </w:r>
          </w:p>
        </w:tc>
        <w:tc>
          <w:tcPr>
            <w:tcW w:w="0" w:type="auto"/>
            <w:vAlign w:val="center"/>
            <w:hideMark/>
          </w:tcPr>
          <w:p w14:paraId="1EDB45B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.015</w:t>
            </w:r>
          </w:p>
        </w:tc>
      </w:tr>
      <w:tr w:rsidR="00D3429E" w:rsidRPr="007711B5" w14:paraId="59B600E2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6DE73C9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5B0D760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2E74E0E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709" w:type="dxa"/>
            <w:vAlign w:val="center"/>
            <w:hideMark/>
          </w:tcPr>
          <w:p w14:paraId="54E4BDE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05" w:type="dxa"/>
            <w:vAlign w:val="center"/>
            <w:hideMark/>
          </w:tcPr>
          <w:p w14:paraId="66564BC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2.240 ± 3.535</w:t>
            </w:r>
          </w:p>
        </w:tc>
        <w:tc>
          <w:tcPr>
            <w:tcW w:w="1288" w:type="dxa"/>
            <w:vAlign w:val="center"/>
            <w:hideMark/>
          </w:tcPr>
          <w:p w14:paraId="17A579E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1.410–3.070</w:t>
            </w:r>
          </w:p>
        </w:tc>
        <w:tc>
          <w:tcPr>
            <w:tcW w:w="606" w:type="dxa"/>
            <w:vAlign w:val="center"/>
            <w:hideMark/>
          </w:tcPr>
          <w:p w14:paraId="4242EC6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C7543C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680E1603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364CC4E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</w:tc>
        <w:tc>
          <w:tcPr>
            <w:tcW w:w="1824" w:type="dxa"/>
            <w:vAlign w:val="center"/>
            <w:hideMark/>
          </w:tcPr>
          <w:p w14:paraId="3A2AB3D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Adult ADHD Self-Report Scale (ASRS)</w:t>
            </w:r>
          </w:p>
        </w:tc>
        <w:tc>
          <w:tcPr>
            <w:tcW w:w="1421" w:type="dxa"/>
            <w:vAlign w:val="center"/>
            <w:hideMark/>
          </w:tcPr>
          <w:p w14:paraId="1342752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709" w:type="dxa"/>
            <w:vAlign w:val="center"/>
            <w:hideMark/>
          </w:tcPr>
          <w:p w14:paraId="77964E6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5" w:type="dxa"/>
            <w:vAlign w:val="center"/>
            <w:hideMark/>
          </w:tcPr>
          <w:p w14:paraId="5C49FC4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39.640 ± 14.466</w:t>
            </w:r>
          </w:p>
        </w:tc>
        <w:tc>
          <w:tcPr>
            <w:tcW w:w="1288" w:type="dxa"/>
            <w:vAlign w:val="center"/>
            <w:hideMark/>
          </w:tcPr>
          <w:p w14:paraId="1D6071E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29.920–49.350</w:t>
            </w:r>
          </w:p>
        </w:tc>
        <w:tc>
          <w:tcPr>
            <w:tcW w:w="606" w:type="dxa"/>
            <w:vAlign w:val="center"/>
            <w:hideMark/>
          </w:tcPr>
          <w:p w14:paraId="17FFA98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1.603</w:t>
            </w:r>
          </w:p>
        </w:tc>
        <w:tc>
          <w:tcPr>
            <w:tcW w:w="0" w:type="auto"/>
            <w:vAlign w:val="center"/>
            <w:hideMark/>
          </w:tcPr>
          <w:p w14:paraId="46167ED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.209</w:t>
            </w:r>
          </w:p>
        </w:tc>
      </w:tr>
      <w:tr w:rsidR="00D3429E" w:rsidRPr="007711B5" w14:paraId="1C67AE8B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7F6F6B9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707FA5B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6C06703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709" w:type="dxa"/>
            <w:vAlign w:val="center"/>
            <w:hideMark/>
          </w:tcPr>
          <w:p w14:paraId="4E0BFA7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05" w:type="dxa"/>
            <w:vAlign w:val="center"/>
            <w:hideMark/>
          </w:tcPr>
          <w:p w14:paraId="3C94BD9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44.290 ± 10.848</w:t>
            </w:r>
          </w:p>
        </w:tc>
        <w:tc>
          <w:tcPr>
            <w:tcW w:w="1288" w:type="dxa"/>
            <w:vAlign w:val="center"/>
            <w:hideMark/>
          </w:tcPr>
          <w:p w14:paraId="313AF8B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41.740–46.840</w:t>
            </w:r>
          </w:p>
        </w:tc>
        <w:tc>
          <w:tcPr>
            <w:tcW w:w="606" w:type="dxa"/>
            <w:vAlign w:val="center"/>
            <w:hideMark/>
          </w:tcPr>
          <w:p w14:paraId="3E6465A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9CF4C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621AB798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509FD71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1824" w:type="dxa"/>
            <w:vAlign w:val="center"/>
            <w:hideMark/>
          </w:tcPr>
          <w:p w14:paraId="1F0ABFC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Financial Literacy</w:t>
            </w:r>
          </w:p>
        </w:tc>
        <w:tc>
          <w:tcPr>
            <w:tcW w:w="1421" w:type="dxa"/>
            <w:vAlign w:val="center"/>
            <w:hideMark/>
          </w:tcPr>
          <w:p w14:paraId="7A6D1BB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709" w:type="dxa"/>
            <w:vAlign w:val="center"/>
            <w:hideMark/>
          </w:tcPr>
          <w:p w14:paraId="46CE6D6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05" w:type="dxa"/>
            <w:vAlign w:val="center"/>
            <w:hideMark/>
          </w:tcPr>
          <w:p w14:paraId="78476AA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3.580 ± 1.240</w:t>
            </w:r>
          </w:p>
        </w:tc>
        <w:tc>
          <w:tcPr>
            <w:tcW w:w="1288" w:type="dxa"/>
            <w:vAlign w:val="center"/>
            <w:hideMark/>
          </w:tcPr>
          <w:p w14:paraId="66D41E0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2.800–4.370</w:t>
            </w:r>
          </w:p>
        </w:tc>
        <w:tc>
          <w:tcPr>
            <w:tcW w:w="606" w:type="dxa"/>
            <w:vAlign w:val="center"/>
            <w:hideMark/>
          </w:tcPr>
          <w:p w14:paraId="7291C35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.597</w:t>
            </w:r>
          </w:p>
        </w:tc>
        <w:tc>
          <w:tcPr>
            <w:tcW w:w="0" w:type="auto"/>
            <w:vAlign w:val="center"/>
            <w:hideMark/>
          </w:tcPr>
          <w:p w14:paraId="5CFFF30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.666</w:t>
            </w:r>
          </w:p>
        </w:tc>
      </w:tr>
      <w:tr w:rsidR="00D3429E" w:rsidRPr="007711B5" w14:paraId="3D6D5B74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3602259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0B684CB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3B532FC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Associate degree</w:t>
            </w:r>
          </w:p>
        </w:tc>
        <w:tc>
          <w:tcPr>
            <w:tcW w:w="709" w:type="dxa"/>
            <w:vAlign w:val="center"/>
            <w:hideMark/>
          </w:tcPr>
          <w:p w14:paraId="015C49A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5" w:type="dxa"/>
            <w:vAlign w:val="center"/>
            <w:hideMark/>
          </w:tcPr>
          <w:p w14:paraId="4C8217C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4.000 ± .816</w:t>
            </w:r>
          </w:p>
        </w:tc>
        <w:tc>
          <w:tcPr>
            <w:tcW w:w="1288" w:type="dxa"/>
            <w:vAlign w:val="center"/>
            <w:hideMark/>
          </w:tcPr>
          <w:p w14:paraId="35D8240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2.700–5.300</w:t>
            </w:r>
          </w:p>
        </w:tc>
        <w:tc>
          <w:tcPr>
            <w:tcW w:w="606" w:type="dxa"/>
            <w:vAlign w:val="center"/>
            <w:hideMark/>
          </w:tcPr>
          <w:p w14:paraId="3FEA54C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C3B11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7916F6D6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275A4F6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4EA4E93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2794228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Bachelor’s degree</w:t>
            </w:r>
          </w:p>
        </w:tc>
        <w:tc>
          <w:tcPr>
            <w:tcW w:w="709" w:type="dxa"/>
            <w:vAlign w:val="center"/>
            <w:hideMark/>
          </w:tcPr>
          <w:p w14:paraId="78FC467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405" w:type="dxa"/>
            <w:vAlign w:val="center"/>
            <w:hideMark/>
          </w:tcPr>
          <w:p w14:paraId="0128256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4.050 ± 1.129</w:t>
            </w:r>
          </w:p>
        </w:tc>
        <w:tc>
          <w:tcPr>
            <w:tcW w:w="1288" w:type="dxa"/>
            <w:vAlign w:val="center"/>
            <w:hideMark/>
          </w:tcPr>
          <w:p w14:paraId="7C2F1F0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3.680–4.430</w:t>
            </w:r>
          </w:p>
        </w:tc>
        <w:tc>
          <w:tcPr>
            <w:tcW w:w="606" w:type="dxa"/>
            <w:vAlign w:val="center"/>
            <w:hideMark/>
          </w:tcPr>
          <w:p w14:paraId="36C5539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B2582C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341E6500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01087B3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3D6A954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3CED075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Master’s degree</w:t>
            </w:r>
          </w:p>
        </w:tc>
        <w:tc>
          <w:tcPr>
            <w:tcW w:w="709" w:type="dxa"/>
            <w:vAlign w:val="center"/>
            <w:hideMark/>
          </w:tcPr>
          <w:p w14:paraId="6C3FEF1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05" w:type="dxa"/>
            <w:vAlign w:val="center"/>
            <w:hideMark/>
          </w:tcPr>
          <w:p w14:paraId="6BC45F0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3.950 ± 1.161</w:t>
            </w:r>
          </w:p>
        </w:tc>
        <w:tc>
          <w:tcPr>
            <w:tcW w:w="1288" w:type="dxa"/>
            <w:vAlign w:val="center"/>
            <w:hideMark/>
          </w:tcPr>
          <w:p w14:paraId="677EA4B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3.420–4.480</w:t>
            </w:r>
          </w:p>
        </w:tc>
        <w:tc>
          <w:tcPr>
            <w:tcW w:w="606" w:type="dxa"/>
            <w:vAlign w:val="center"/>
            <w:hideMark/>
          </w:tcPr>
          <w:p w14:paraId="00823FE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FDB1E1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49471054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0D156DA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0A1C8E2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04862E4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Doctorate</w:t>
            </w:r>
          </w:p>
        </w:tc>
        <w:tc>
          <w:tcPr>
            <w:tcW w:w="709" w:type="dxa"/>
            <w:vAlign w:val="center"/>
            <w:hideMark/>
          </w:tcPr>
          <w:p w14:paraId="2AA9E2D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05" w:type="dxa"/>
            <w:vAlign w:val="center"/>
            <w:hideMark/>
          </w:tcPr>
          <w:p w14:paraId="526F7B0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3.560 ± 1.333</w:t>
            </w:r>
          </w:p>
        </w:tc>
        <w:tc>
          <w:tcPr>
            <w:tcW w:w="1288" w:type="dxa"/>
            <w:vAlign w:val="center"/>
            <w:hideMark/>
          </w:tcPr>
          <w:p w14:paraId="19CE95F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2.530–4.580</w:t>
            </w:r>
          </w:p>
        </w:tc>
        <w:tc>
          <w:tcPr>
            <w:tcW w:w="606" w:type="dxa"/>
            <w:vAlign w:val="center"/>
            <w:hideMark/>
          </w:tcPr>
          <w:p w14:paraId="255CEB1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8B4C06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10612EAB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464A54B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Education</w:t>
            </w:r>
          </w:p>
        </w:tc>
        <w:tc>
          <w:tcPr>
            <w:tcW w:w="1824" w:type="dxa"/>
            <w:vAlign w:val="center"/>
            <w:hideMark/>
          </w:tcPr>
          <w:p w14:paraId="2CA1918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South Oaks Gambling Screen (SOGS)</w:t>
            </w:r>
          </w:p>
        </w:tc>
        <w:tc>
          <w:tcPr>
            <w:tcW w:w="1421" w:type="dxa"/>
            <w:vAlign w:val="center"/>
            <w:hideMark/>
          </w:tcPr>
          <w:p w14:paraId="4D59C59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709" w:type="dxa"/>
            <w:vAlign w:val="center"/>
            <w:hideMark/>
          </w:tcPr>
          <w:p w14:paraId="07FDCC8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05" w:type="dxa"/>
            <w:vAlign w:val="center"/>
            <w:hideMark/>
          </w:tcPr>
          <w:p w14:paraId="2E9C4A5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2.420 ± 4.602</w:t>
            </w:r>
          </w:p>
        </w:tc>
        <w:tc>
          <w:tcPr>
            <w:tcW w:w="1288" w:type="dxa"/>
            <w:vAlign w:val="center"/>
            <w:hideMark/>
          </w:tcPr>
          <w:p w14:paraId="3CDD73C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-0.510–5.340</w:t>
            </w:r>
          </w:p>
        </w:tc>
        <w:tc>
          <w:tcPr>
            <w:tcW w:w="606" w:type="dxa"/>
            <w:vAlign w:val="center"/>
            <w:hideMark/>
          </w:tcPr>
          <w:p w14:paraId="16B06B2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1.085</w:t>
            </w:r>
          </w:p>
        </w:tc>
        <w:tc>
          <w:tcPr>
            <w:tcW w:w="0" w:type="auto"/>
            <w:vAlign w:val="center"/>
            <w:hideMark/>
          </w:tcPr>
          <w:p w14:paraId="090B44F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.370</w:t>
            </w:r>
          </w:p>
        </w:tc>
      </w:tr>
      <w:tr w:rsidR="00D3429E" w:rsidRPr="007711B5" w14:paraId="22B58594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7B480A6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15C4A2D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33A797E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Associate degree</w:t>
            </w:r>
          </w:p>
        </w:tc>
        <w:tc>
          <w:tcPr>
            <w:tcW w:w="709" w:type="dxa"/>
            <w:vAlign w:val="center"/>
            <w:hideMark/>
          </w:tcPr>
          <w:p w14:paraId="3F7A45B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5" w:type="dxa"/>
            <w:vAlign w:val="center"/>
            <w:hideMark/>
          </w:tcPr>
          <w:p w14:paraId="50D05E8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.000 ± .000</w:t>
            </w:r>
          </w:p>
        </w:tc>
        <w:tc>
          <w:tcPr>
            <w:tcW w:w="1288" w:type="dxa"/>
            <w:vAlign w:val="center"/>
            <w:hideMark/>
          </w:tcPr>
          <w:p w14:paraId="64C863D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.000–.000</w:t>
            </w:r>
          </w:p>
        </w:tc>
        <w:tc>
          <w:tcPr>
            <w:tcW w:w="606" w:type="dxa"/>
            <w:vAlign w:val="center"/>
            <w:hideMark/>
          </w:tcPr>
          <w:p w14:paraId="76AA614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61DF0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3E6D0308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28D2528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27B539F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6E7D489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Bachelor’s degree</w:t>
            </w:r>
          </w:p>
        </w:tc>
        <w:tc>
          <w:tcPr>
            <w:tcW w:w="709" w:type="dxa"/>
            <w:vAlign w:val="center"/>
            <w:hideMark/>
          </w:tcPr>
          <w:p w14:paraId="57562C6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405" w:type="dxa"/>
            <w:vAlign w:val="center"/>
            <w:hideMark/>
          </w:tcPr>
          <w:p w14:paraId="1FF2F49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3.270 ± 4.299</w:t>
            </w:r>
          </w:p>
        </w:tc>
        <w:tc>
          <w:tcPr>
            <w:tcW w:w="1288" w:type="dxa"/>
            <w:vAlign w:val="center"/>
            <w:hideMark/>
          </w:tcPr>
          <w:p w14:paraId="469E180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1.840–4.700</w:t>
            </w:r>
          </w:p>
        </w:tc>
        <w:tc>
          <w:tcPr>
            <w:tcW w:w="606" w:type="dxa"/>
            <w:vAlign w:val="center"/>
            <w:hideMark/>
          </w:tcPr>
          <w:p w14:paraId="3A0C8FD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F7405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2D0651E7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771A1C2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3FB7D51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0A77D9F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Master’s degree</w:t>
            </w:r>
          </w:p>
        </w:tc>
        <w:tc>
          <w:tcPr>
            <w:tcW w:w="709" w:type="dxa"/>
            <w:vAlign w:val="center"/>
            <w:hideMark/>
          </w:tcPr>
          <w:p w14:paraId="32F161B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05" w:type="dxa"/>
            <w:vAlign w:val="center"/>
            <w:hideMark/>
          </w:tcPr>
          <w:p w14:paraId="713EC84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1.810 ± 2.250</w:t>
            </w:r>
          </w:p>
        </w:tc>
        <w:tc>
          <w:tcPr>
            <w:tcW w:w="1288" w:type="dxa"/>
            <w:vAlign w:val="center"/>
            <w:hideMark/>
          </w:tcPr>
          <w:p w14:paraId="10953B7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.790–2.830</w:t>
            </w:r>
          </w:p>
        </w:tc>
        <w:tc>
          <w:tcPr>
            <w:tcW w:w="606" w:type="dxa"/>
            <w:vAlign w:val="center"/>
            <w:hideMark/>
          </w:tcPr>
          <w:p w14:paraId="4817BDD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D9D67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2F9A2A7B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6680D23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770EB81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0AB9383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Doctorate</w:t>
            </w:r>
          </w:p>
        </w:tc>
        <w:tc>
          <w:tcPr>
            <w:tcW w:w="709" w:type="dxa"/>
            <w:vAlign w:val="center"/>
            <w:hideMark/>
          </w:tcPr>
          <w:p w14:paraId="7EADE17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05" w:type="dxa"/>
            <w:vAlign w:val="center"/>
            <w:hideMark/>
          </w:tcPr>
          <w:p w14:paraId="6FAF12A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3.330 ± 3.775</w:t>
            </w:r>
          </w:p>
        </w:tc>
        <w:tc>
          <w:tcPr>
            <w:tcW w:w="1288" w:type="dxa"/>
            <w:vAlign w:val="center"/>
            <w:hideMark/>
          </w:tcPr>
          <w:p w14:paraId="2A6C7AA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.430–6.230</w:t>
            </w:r>
          </w:p>
        </w:tc>
        <w:tc>
          <w:tcPr>
            <w:tcW w:w="606" w:type="dxa"/>
            <w:vAlign w:val="center"/>
            <w:hideMark/>
          </w:tcPr>
          <w:p w14:paraId="1EA9F94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CC59B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49034660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485C6D4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1824" w:type="dxa"/>
            <w:vAlign w:val="center"/>
            <w:hideMark/>
          </w:tcPr>
          <w:p w14:paraId="1CD9FAC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Adult ADHD Self-Report Scale (ASRS)</w:t>
            </w:r>
          </w:p>
        </w:tc>
        <w:tc>
          <w:tcPr>
            <w:tcW w:w="1421" w:type="dxa"/>
            <w:vAlign w:val="center"/>
            <w:hideMark/>
          </w:tcPr>
          <w:p w14:paraId="7176ECB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709" w:type="dxa"/>
            <w:vAlign w:val="center"/>
            <w:hideMark/>
          </w:tcPr>
          <w:p w14:paraId="7A64712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05" w:type="dxa"/>
            <w:vAlign w:val="center"/>
            <w:hideMark/>
          </w:tcPr>
          <w:p w14:paraId="7A55365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35.830 ± 12.320</w:t>
            </w:r>
          </w:p>
        </w:tc>
        <w:tc>
          <w:tcPr>
            <w:tcW w:w="1288" w:type="dxa"/>
            <w:vAlign w:val="center"/>
            <w:hideMark/>
          </w:tcPr>
          <w:p w14:paraId="32126D5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28.010–43.660</w:t>
            </w:r>
          </w:p>
        </w:tc>
        <w:tc>
          <w:tcPr>
            <w:tcW w:w="606" w:type="dxa"/>
            <w:vAlign w:val="center"/>
            <w:hideMark/>
          </w:tcPr>
          <w:p w14:paraId="07FA66D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2.846</w:t>
            </w:r>
          </w:p>
        </w:tc>
        <w:tc>
          <w:tcPr>
            <w:tcW w:w="0" w:type="auto"/>
            <w:vAlign w:val="center"/>
            <w:hideMark/>
          </w:tcPr>
          <w:p w14:paraId="2C475E8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.029</w:t>
            </w:r>
          </w:p>
        </w:tc>
      </w:tr>
      <w:tr w:rsidR="00D3429E" w:rsidRPr="007711B5" w14:paraId="4A574421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1DAFB41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789C4FF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1FB565E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Associate degree</w:t>
            </w:r>
          </w:p>
        </w:tc>
        <w:tc>
          <w:tcPr>
            <w:tcW w:w="709" w:type="dxa"/>
            <w:vAlign w:val="center"/>
            <w:hideMark/>
          </w:tcPr>
          <w:p w14:paraId="0D12B2A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5" w:type="dxa"/>
            <w:vAlign w:val="center"/>
            <w:hideMark/>
          </w:tcPr>
          <w:p w14:paraId="215D37F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34.750 ± 7.228</w:t>
            </w:r>
          </w:p>
        </w:tc>
        <w:tc>
          <w:tcPr>
            <w:tcW w:w="1288" w:type="dxa"/>
            <w:vAlign w:val="center"/>
            <w:hideMark/>
          </w:tcPr>
          <w:p w14:paraId="1038E38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23.250–46.250</w:t>
            </w:r>
          </w:p>
        </w:tc>
        <w:tc>
          <w:tcPr>
            <w:tcW w:w="606" w:type="dxa"/>
            <w:vAlign w:val="center"/>
            <w:hideMark/>
          </w:tcPr>
          <w:p w14:paraId="717CD7D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70C58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12FC9E59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10DD8FA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1EDC3E6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0252B54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Bachelor’s degree</w:t>
            </w:r>
          </w:p>
        </w:tc>
        <w:tc>
          <w:tcPr>
            <w:tcW w:w="709" w:type="dxa"/>
            <w:vAlign w:val="center"/>
            <w:hideMark/>
          </w:tcPr>
          <w:p w14:paraId="3A00758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405" w:type="dxa"/>
            <w:vAlign w:val="center"/>
            <w:hideMark/>
          </w:tcPr>
          <w:p w14:paraId="3EA979A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45.970 ± 10.518</w:t>
            </w:r>
          </w:p>
        </w:tc>
        <w:tc>
          <w:tcPr>
            <w:tcW w:w="1288" w:type="dxa"/>
            <w:vAlign w:val="center"/>
            <w:hideMark/>
          </w:tcPr>
          <w:p w14:paraId="06AC388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42.470–49.480</w:t>
            </w:r>
          </w:p>
        </w:tc>
        <w:tc>
          <w:tcPr>
            <w:tcW w:w="606" w:type="dxa"/>
            <w:vAlign w:val="center"/>
            <w:hideMark/>
          </w:tcPr>
          <w:p w14:paraId="18019CD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EA990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33B7AF1B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00536DC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1BA78D5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05E6FE5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Master’s degree</w:t>
            </w:r>
          </w:p>
        </w:tc>
        <w:tc>
          <w:tcPr>
            <w:tcW w:w="709" w:type="dxa"/>
            <w:vAlign w:val="center"/>
            <w:hideMark/>
          </w:tcPr>
          <w:p w14:paraId="09B8BB8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05" w:type="dxa"/>
            <w:vAlign w:val="center"/>
            <w:hideMark/>
          </w:tcPr>
          <w:p w14:paraId="0F000FE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45.900 ± 11.995</w:t>
            </w:r>
          </w:p>
        </w:tc>
        <w:tc>
          <w:tcPr>
            <w:tcW w:w="1288" w:type="dxa"/>
            <w:vAlign w:val="center"/>
            <w:hideMark/>
          </w:tcPr>
          <w:p w14:paraId="106ED82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40.440–51.370</w:t>
            </w:r>
          </w:p>
        </w:tc>
        <w:tc>
          <w:tcPr>
            <w:tcW w:w="606" w:type="dxa"/>
            <w:vAlign w:val="center"/>
            <w:hideMark/>
          </w:tcPr>
          <w:p w14:paraId="0768063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C3844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6BF93B17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28C5619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373CF1C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38156EE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Doctorate</w:t>
            </w:r>
          </w:p>
        </w:tc>
        <w:tc>
          <w:tcPr>
            <w:tcW w:w="709" w:type="dxa"/>
            <w:vAlign w:val="center"/>
            <w:hideMark/>
          </w:tcPr>
          <w:p w14:paraId="294BC86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05" w:type="dxa"/>
            <w:vAlign w:val="center"/>
            <w:hideMark/>
          </w:tcPr>
          <w:p w14:paraId="5B537A9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43.440 ± 8.734</w:t>
            </w:r>
          </w:p>
        </w:tc>
        <w:tc>
          <w:tcPr>
            <w:tcW w:w="1288" w:type="dxa"/>
            <w:vAlign w:val="center"/>
            <w:hideMark/>
          </w:tcPr>
          <w:p w14:paraId="2C920F8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36.730–50.160</w:t>
            </w:r>
          </w:p>
        </w:tc>
        <w:tc>
          <w:tcPr>
            <w:tcW w:w="606" w:type="dxa"/>
            <w:vAlign w:val="center"/>
            <w:hideMark/>
          </w:tcPr>
          <w:p w14:paraId="7A6980E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8240B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39401310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535CCB4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Income level</w:t>
            </w:r>
          </w:p>
        </w:tc>
        <w:tc>
          <w:tcPr>
            <w:tcW w:w="1824" w:type="dxa"/>
            <w:vAlign w:val="center"/>
            <w:hideMark/>
          </w:tcPr>
          <w:p w14:paraId="29F0432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Financial Literacy</w:t>
            </w:r>
          </w:p>
        </w:tc>
        <w:tc>
          <w:tcPr>
            <w:tcW w:w="1421" w:type="dxa"/>
            <w:vAlign w:val="center"/>
            <w:hideMark/>
          </w:tcPr>
          <w:p w14:paraId="014E1F5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709" w:type="dxa"/>
            <w:vAlign w:val="center"/>
            <w:hideMark/>
          </w:tcPr>
          <w:p w14:paraId="2D1622F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05" w:type="dxa"/>
            <w:vAlign w:val="center"/>
            <w:hideMark/>
          </w:tcPr>
          <w:p w14:paraId="4547C14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4.360 ± .842</w:t>
            </w:r>
          </w:p>
        </w:tc>
        <w:tc>
          <w:tcPr>
            <w:tcW w:w="1288" w:type="dxa"/>
            <w:vAlign w:val="center"/>
            <w:hideMark/>
          </w:tcPr>
          <w:p w14:paraId="6CCDE56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3.870–4.840</w:t>
            </w:r>
          </w:p>
        </w:tc>
        <w:tc>
          <w:tcPr>
            <w:tcW w:w="606" w:type="dxa"/>
            <w:vAlign w:val="center"/>
            <w:hideMark/>
          </w:tcPr>
          <w:p w14:paraId="31E7135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1.409</w:t>
            </w:r>
          </w:p>
        </w:tc>
        <w:tc>
          <w:tcPr>
            <w:tcW w:w="0" w:type="auto"/>
            <w:vAlign w:val="center"/>
            <w:hideMark/>
          </w:tcPr>
          <w:p w14:paraId="08DD9F9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.250</w:t>
            </w:r>
          </w:p>
        </w:tc>
      </w:tr>
      <w:tr w:rsidR="00D3429E" w:rsidRPr="007711B5" w14:paraId="163ED855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6A2810E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1E1E0BD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01B93CB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</w:tc>
        <w:tc>
          <w:tcPr>
            <w:tcW w:w="709" w:type="dxa"/>
            <w:vAlign w:val="center"/>
            <w:hideMark/>
          </w:tcPr>
          <w:p w14:paraId="3A5A9A0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405" w:type="dxa"/>
            <w:vAlign w:val="center"/>
            <w:hideMark/>
          </w:tcPr>
          <w:p w14:paraId="40D5150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3.850 ± 1.144</w:t>
            </w:r>
          </w:p>
        </w:tc>
        <w:tc>
          <w:tcPr>
            <w:tcW w:w="1288" w:type="dxa"/>
            <w:vAlign w:val="center"/>
            <w:hideMark/>
          </w:tcPr>
          <w:p w14:paraId="4994ADB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3.530–4.160</w:t>
            </w:r>
          </w:p>
        </w:tc>
        <w:tc>
          <w:tcPr>
            <w:tcW w:w="606" w:type="dxa"/>
            <w:vAlign w:val="center"/>
            <w:hideMark/>
          </w:tcPr>
          <w:p w14:paraId="67DA4A0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57FAD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4EFC8427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03FE00A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426B12D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20BE2FE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709" w:type="dxa"/>
            <w:vAlign w:val="center"/>
            <w:hideMark/>
          </w:tcPr>
          <w:p w14:paraId="3B405F1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05" w:type="dxa"/>
            <w:vAlign w:val="center"/>
            <w:hideMark/>
          </w:tcPr>
          <w:p w14:paraId="2F8C318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3.710 ± 1.359</w:t>
            </w:r>
          </w:p>
        </w:tc>
        <w:tc>
          <w:tcPr>
            <w:tcW w:w="1288" w:type="dxa"/>
            <w:vAlign w:val="center"/>
            <w:hideMark/>
          </w:tcPr>
          <w:p w14:paraId="305592F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3.010–4.400</w:t>
            </w:r>
          </w:p>
        </w:tc>
        <w:tc>
          <w:tcPr>
            <w:tcW w:w="606" w:type="dxa"/>
            <w:vAlign w:val="center"/>
            <w:hideMark/>
          </w:tcPr>
          <w:p w14:paraId="5DF2DB2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CF2CF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41575367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48669B2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Income level</w:t>
            </w:r>
          </w:p>
        </w:tc>
        <w:tc>
          <w:tcPr>
            <w:tcW w:w="1824" w:type="dxa"/>
            <w:vAlign w:val="center"/>
            <w:hideMark/>
          </w:tcPr>
          <w:p w14:paraId="235A9F2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South Oaks Gambling Screen (SOGS)</w:t>
            </w:r>
          </w:p>
        </w:tc>
        <w:tc>
          <w:tcPr>
            <w:tcW w:w="1421" w:type="dxa"/>
            <w:vAlign w:val="center"/>
            <w:hideMark/>
          </w:tcPr>
          <w:p w14:paraId="6698644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709" w:type="dxa"/>
            <w:vAlign w:val="center"/>
            <w:hideMark/>
          </w:tcPr>
          <w:p w14:paraId="7F4C9C3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05" w:type="dxa"/>
            <w:vAlign w:val="center"/>
            <w:hideMark/>
          </w:tcPr>
          <w:p w14:paraId="3912A7D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2.000 ± 3.823</w:t>
            </w:r>
          </w:p>
        </w:tc>
        <w:tc>
          <w:tcPr>
            <w:tcW w:w="1288" w:type="dxa"/>
            <w:vAlign w:val="center"/>
            <w:hideMark/>
          </w:tcPr>
          <w:p w14:paraId="1BBD379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-0.210–4.210</w:t>
            </w:r>
          </w:p>
        </w:tc>
        <w:tc>
          <w:tcPr>
            <w:tcW w:w="606" w:type="dxa"/>
            <w:vAlign w:val="center"/>
            <w:hideMark/>
          </w:tcPr>
          <w:p w14:paraId="4509C7C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.507</w:t>
            </w:r>
          </w:p>
        </w:tc>
        <w:tc>
          <w:tcPr>
            <w:tcW w:w="0" w:type="auto"/>
            <w:vAlign w:val="center"/>
            <w:hideMark/>
          </w:tcPr>
          <w:p w14:paraId="23424B8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.604</w:t>
            </w:r>
          </w:p>
        </w:tc>
      </w:tr>
      <w:tr w:rsidR="00D3429E" w:rsidRPr="007711B5" w14:paraId="699CBAF9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4E27717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5A38639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405108F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</w:tc>
        <w:tc>
          <w:tcPr>
            <w:tcW w:w="709" w:type="dxa"/>
            <w:vAlign w:val="center"/>
            <w:hideMark/>
          </w:tcPr>
          <w:p w14:paraId="7FD10021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405" w:type="dxa"/>
            <w:vAlign w:val="center"/>
            <w:hideMark/>
          </w:tcPr>
          <w:p w14:paraId="0FFEF87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2.560 ± 3.616</w:t>
            </w:r>
          </w:p>
        </w:tc>
        <w:tc>
          <w:tcPr>
            <w:tcW w:w="1288" w:type="dxa"/>
            <w:vAlign w:val="center"/>
            <w:hideMark/>
          </w:tcPr>
          <w:p w14:paraId="438F88A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1.550–3.560</w:t>
            </w:r>
          </w:p>
        </w:tc>
        <w:tc>
          <w:tcPr>
            <w:tcW w:w="606" w:type="dxa"/>
            <w:vAlign w:val="center"/>
            <w:hideMark/>
          </w:tcPr>
          <w:p w14:paraId="747B810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111F97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1A85B0D6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3CBDD3C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597138C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679CF852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709" w:type="dxa"/>
            <w:vAlign w:val="center"/>
            <w:hideMark/>
          </w:tcPr>
          <w:p w14:paraId="0BEF588E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05" w:type="dxa"/>
            <w:vAlign w:val="center"/>
            <w:hideMark/>
          </w:tcPr>
          <w:p w14:paraId="7824EF3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3.350 ± 4.358</w:t>
            </w:r>
          </w:p>
        </w:tc>
        <w:tc>
          <w:tcPr>
            <w:tcW w:w="1288" w:type="dxa"/>
            <w:vAlign w:val="center"/>
            <w:hideMark/>
          </w:tcPr>
          <w:p w14:paraId="3BFAE51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1.110–5.590</w:t>
            </w:r>
          </w:p>
        </w:tc>
        <w:tc>
          <w:tcPr>
            <w:tcW w:w="606" w:type="dxa"/>
            <w:vAlign w:val="center"/>
            <w:hideMark/>
          </w:tcPr>
          <w:p w14:paraId="23331C17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C9607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6EDEB657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15DDB6D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Income level</w:t>
            </w:r>
          </w:p>
        </w:tc>
        <w:tc>
          <w:tcPr>
            <w:tcW w:w="1824" w:type="dxa"/>
            <w:vAlign w:val="center"/>
            <w:hideMark/>
          </w:tcPr>
          <w:p w14:paraId="75BD342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Adult ADHD Self-Report Scale (ASRS)</w:t>
            </w:r>
          </w:p>
        </w:tc>
        <w:tc>
          <w:tcPr>
            <w:tcW w:w="1421" w:type="dxa"/>
            <w:vAlign w:val="center"/>
            <w:hideMark/>
          </w:tcPr>
          <w:p w14:paraId="7687476F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709" w:type="dxa"/>
            <w:vAlign w:val="center"/>
            <w:hideMark/>
          </w:tcPr>
          <w:p w14:paraId="3ECC6A3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05" w:type="dxa"/>
            <w:vAlign w:val="center"/>
            <w:hideMark/>
          </w:tcPr>
          <w:p w14:paraId="43142B7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43.570 ± 13.827</w:t>
            </w:r>
          </w:p>
        </w:tc>
        <w:tc>
          <w:tcPr>
            <w:tcW w:w="1288" w:type="dxa"/>
            <w:vAlign w:val="center"/>
            <w:hideMark/>
          </w:tcPr>
          <w:p w14:paraId="77D4E38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35.590–51.550</w:t>
            </w:r>
          </w:p>
        </w:tc>
        <w:tc>
          <w:tcPr>
            <w:tcW w:w="606" w:type="dxa"/>
            <w:vAlign w:val="center"/>
            <w:hideMark/>
          </w:tcPr>
          <w:p w14:paraId="3D2A783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.300</w:t>
            </w:r>
          </w:p>
        </w:tc>
        <w:tc>
          <w:tcPr>
            <w:tcW w:w="0" w:type="auto"/>
            <w:vAlign w:val="center"/>
            <w:hideMark/>
          </w:tcPr>
          <w:p w14:paraId="215256F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.742</w:t>
            </w:r>
          </w:p>
        </w:tc>
      </w:tr>
      <w:tr w:rsidR="00D3429E" w:rsidRPr="007711B5" w14:paraId="3EA86060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7106106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10B12A4D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77B0737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</w:tc>
        <w:tc>
          <w:tcPr>
            <w:tcW w:w="709" w:type="dxa"/>
            <w:vAlign w:val="center"/>
            <w:hideMark/>
          </w:tcPr>
          <w:p w14:paraId="474A452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405" w:type="dxa"/>
            <w:vAlign w:val="center"/>
            <w:hideMark/>
          </w:tcPr>
          <w:p w14:paraId="074B56D0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44.310 ± 10.955</w:t>
            </w:r>
          </w:p>
        </w:tc>
        <w:tc>
          <w:tcPr>
            <w:tcW w:w="1288" w:type="dxa"/>
            <w:vAlign w:val="center"/>
            <w:hideMark/>
          </w:tcPr>
          <w:p w14:paraId="704E3024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41.260–47.360</w:t>
            </w:r>
          </w:p>
        </w:tc>
        <w:tc>
          <w:tcPr>
            <w:tcW w:w="606" w:type="dxa"/>
            <w:vAlign w:val="center"/>
            <w:hideMark/>
          </w:tcPr>
          <w:p w14:paraId="0299D955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33335EB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29E" w:rsidRPr="007711B5" w14:paraId="0CE75C98" w14:textId="77777777" w:rsidTr="001D6EB3">
        <w:trPr>
          <w:trHeight w:val="283"/>
        </w:trPr>
        <w:tc>
          <w:tcPr>
            <w:tcW w:w="0" w:type="auto"/>
            <w:vAlign w:val="center"/>
            <w:hideMark/>
          </w:tcPr>
          <w:p w14:paraId="5C8611D9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  <w:vAlign w:val="center"/>
            <w:hideMark/>
          </w:tcPr>
          <w:p w14:paraId="1E679CE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  <w:hideMark/>
          </w:tcPr>
          <w:p w14:paraId="07FB396A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709" w:type="dxa"/>
            <w:vAlign w:val="center"/>
            <w:hideMark/>
          </w:tcPr>
          <w:p w14:paraId="4BD655C6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05" w:type="dxa"/>
            <w:vAlign w:val="center"/>
            <w:hideMark/>
          </w:tcPr>
          <w:p w14:paraId="78A56498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41.820 ± 11.092</w:t>
            </w:r>
          </w:p>
        </w:tc>
        <w:tc>
          <w:tcPr>
            <w:tcW w:w="1288" w:type="dxa"/>
            <w:vAlign w:val="center"/>
            <w:hideMark/>
          </w:tcPr>
          <w:p w14:paraId="7C1108F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1B5">
              <w:rPr>
                <w:rFonts w:ascii="Times New Roman" w:hAnsi="Times New Roman" w:cs="Times New Roman"/>
                <w:sz w:val="20"/>
                <w:szCs w:val="20"/>
              </w:rPr>
              <w:t>36.120–47.530</w:t>
            </w:r>
          </w:p>
        </w:tc>
        <w:tc>
          <w:tcPr>
            <w:tcW w:w="606" w:type="dxa"/>
            <w:vAlign w:val="center"/>
            <w:hideMark/>
          </w:tcPr>
          <w:p w14:paraId="3492AFCC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6EEF83" w14:textId="77777777" w:rsidR="00D3429E" w:rsidRPr="007711B5" w:rsidRDefault="00D3429E" w:rsidP="00313BA3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CA1B0F" w14:textId="6F63702B" w:rsidR="00D3429E" w:rsidRPr="00077E3F" w:rsidRDefault="00077E3F" w:rsidP="00077E3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10C1">
        <w:rPr>
          <w:rFonts w:ascii="Times New Roman" w:hAnsi="Times New Roman" w:cs="Times New Roman"/>
          <w:sz w:val="20"/>
          <w:szCs w:val="20"/>
        </w:rPr>
        <w:t>Note.</w:t>
      </w:r>
      <w:r w:rsidRPr="00077E3F">
        <w:rPr>
          <w:rFonts w:ascii="Times New Roman" w:hAnsi="Times New Roman" w:cs="Times New Roman"/>
          <w:sz w:val="20"/>
          <w:szCs w:val="20"/>
        </w:rPr>
        <w:t xml:space="preserve"> SD = standard deviation; CI = confidence interval; SOGS = South Oaks Gambling Screen; ASRS = Adult ADHD Self-Report Scale. One-way ANOVA was used for group comparisons. Statistical significance was evaluated at p &lt; .05.</w:t>
      </w:r>
    </w:p>
    <w:sectPr w:rsidR="00D3429E" w:rsidRPr="00077E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29E"/>
    <w:rsid w:val="000010C1"/>
    <w:rsid w:val="00077E3F"/>
    <w:rsid w:val="001D6EB3"/>
    <w:rsid w:val="00675687"/>
    <w:rsid w:val="00923B52"/>
    <w:rsid w:val="009257D9"/>
    <w:rsid w:val="00A938E2"/>
    <w:rsid w:val="00CC7F27"/>
    <w:rsid w:val="00D3429E"/>
    <w:rsid w:val="00D915EE"/>
    <w:rsid w:val="00E0147E"/>
    <w:rsid w:val="00EB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97D2A"/>
  <w15:chartTrackingRefBased/>
  <w15:docId w15:val="{A537510F-2830-4FE0-AE3E-CC253296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2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2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2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2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2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2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2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2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2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2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4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ÇAĞRI HAMURCU</dc:creator>
  <cp:keywords/>
  <dc:description/>
  <cp:lastModifiedBy>ÇAĞRI HAMURCU</cp:lastModifiedBy>
  <cp:revision>3</cp:revision>
  <dcterms:created xsi:type="dcterms:W3CDTF">2026-08-28T10:58:00Z</dcterms:created>
  <dcterms:modified xsi:type="dcterms:W3CDTF">2026-08-28T11:01:00Z</dcterms:modified>
</cp:coreProperties>
</file>