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41F8" w14:textId="406871A2" w:rsidR="006462E4" w:rsidRPr="006462E4" w:rsidRDefault="006462E4" w:rsidP="006462E4">
      <w:pPr>
        <w:jc w:val="center"/>
        <w:rPr>
          <w:b/>
          <w:bCs/>
        </w:rPr>
      </w:pPr>
      <w:r w:rsidRPr="006462E4">
        <w:rPr>
          <w:b/>
          <w:bCs/>
        </w:rPr>
        <w:t>SUPPLEMENTARY INFORMATION</w:t>
      </w:r>
    </w:p>
    <w:p w14:paraId="7813A27C" w14:textId="77777777" w:rsidR="006462E4" w:rsidRPr="006462E4" w:rsidRDefault="006462E4" w:rsidP="006462E4"/>
    <w:p w14:paraId="3CC2B258" w14:textId="01DC3616" w:rsidR="00BE49C5" w:rsidRPr="006462E4" w:rsidRDefault="006462E4" w:rsidP="006462E4">
      <w:pPr>
        <w:jc w:val="center"/>
        <w:rPr>
          <w:b/>
          <w:bCs/>
        </w:rPr>
      </w:pPr>
      <w:r w:rsidRPr="006462E4">
        <w:rPr>
          <w:b/>
          <w:bCs/>
        </w:rPr>
        <w:t>TOPSIS-Based Optimization of Machining, Energy, and Environmental Performance in Electro Discharge Turning of Hastelloy-X with Synchronized Tool Feed-Rotation</w:t>
      </w:r>
    </w:p>
    <w:p w14:paraId="497295C5" w14:textId="5564E686" w:rsidR="006462E4" w:rsidRPr="006462E4" w:rsidRDefault="006462E4" w:rsidP="006462E4">
      <w:pPr>
        <w:jc w:val="center"/>
        <w:rPr>
          <w:b/>
          <w:bCs/>
        </w:rPr>
      </w:pPr>
      <w:r w:rsidRPr="006462E4">
        <w:rPr>
          <w:b/>
          <w:bCs/>
        </w:rPr>
        <w:t>Emre AYHAN (</w:t>
      </w:r>
      <w:hyperlink r:id="rId4" w:history="1">
        <w:r w:rsidRPr="006462E4">
          <w:rPr>
            <w:rStyle w:val="Kpr"/>
            <w:b/>
            <w:bCs/>
          </w:rPr>
          <w:t>ayhanemre@gazi.edu.tr</w:t>
        </w:r>
      </w:hyperlink>
      <w:r w:rsidRPr="006462E4">
        <w:rPr>
          <w:b/>
          <w:bCs/>
        </w:rPr>
        <w:t>)</w:t>
      </w:r>
    </w:p>
    <w:p w14:paraId="4E104EE0" w14:textId="6575E1A7" w:rsidR="006462E4" w:rsidRPr="006462E4" w:rsidRDefault="006462E4" w:rsidP="006462E4">
      <w:pPr>
        <w:jc w:val="both"/>
      </w:pPr>
      <w:r w:rsidRPr="006462E4">
        <w:t xml:space="preserve">Supplementary Figures S1-S4 present the residual diagnostic plots for the second-order response surface models developed for material removal rate (MRR), tool wear rate (TWR), specific energy consumption (SEC), and electricity-related carbon emissions (CE). Each figure includes a normal probability plot of residuals, residuals versus fitted values, a histogram of residuals, and residuals versus </w:t>
      </w:r>
      <w:r w:rsidR="005B5856">
        <w:t>run</w:t>
      </w:r>
      <w:r w:rsidRPr="006462E4">
        <w:t xml:space="preserve"> order.</w:t>
      </w:r>
    </w:p>
    <w:p w14:paraId="73E2D7EC" w14:textId="60827EA1" w:rsidR="006462E4" w:rsidRPr="006462E4" w:rsidRDefault="006462E4" w:rsidP="006462E4">
      <w:pPr>
        <w:jc w:val="center"/>
      </w:pPr>
      <w:r w:rsidRPr="006462E4">
        <w:rPr>
          <w:noProof/>
        </w:rPr>
        <w:drawing>
          <wp:inline distT="0" distB="0" distL="0" distR="0" wp14:anchorId="0940D71C" wp14:editId="798EE8E1">
            <wp:extent cx="4320000" cy="28800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dual Plots for MRR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368E7" w14:textId="51E9C2A4" w:rsidR="006462E4" w:rsidRPr="006462E4" w:rsidRDefault="006462E4" w:rsidP="006462E4">
      <w:pPr>
        <w:jc w:val="center"/>
      </w:pPr>
      <w:r w:rsidRPr="006462E4">
        <w:rPr>
          <w:b/>
          <w:bCs/>
        </w:rPr>
        <w:t>Supplementary Figure S1</w:t>
      </w:r>
      <w:r w:rsidRPr="006462E4">
        <w:t xml:space="preserve">. Residual diagnostic plots for the MRR quadratic response model, including the normal probability plot of residuals, residuals versus fitted values, histogram of residuals, and residuals versus </w:t>
      </w:r>
      <w:r w:rsidR="005B5856">
        <w:t>run</w:t>
      </w:r>
      <w:r w:rsidRPr="006462E4">
        <w:t xml:space="preserve"> order.</w:t>
      </w:r>
    </w:p>
    <w:p w14:paraId="1904A166" w14:textId="61B08F5F" w:rsidR="006462E4" w:rsidRPr="006462E4" w:rsidRDefault="006462E4" w:rsidP="006462E4">
      <w:pPr>
        <w:jc w:val="center"/>
      </w:pPr>
      <w:r w:rsidRPr="006462E4">
        <w:rPr>
          <w:noProof/>
        </w:rPr>
        <w:drawing>
          <wp:inline distT="0" distB="0" distL="0" distR="0" wp14:anchorId="4D791261" wp14:editId="0DB34665">
            <wp:extent cx="4320000" cy="288000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dual Plots for TW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07B16" w14:textId="20B704AD" w:rsidR="006462E4" w:rsidRPr="006462E4" w:rsidRDefault="006462E4" w:rsidP="006462E4">
      <w:pPr>
        <w:jc w:val="center"/>
      </w:pPr>
      <w:r w:rsidRPr="006462E4">
        <w:rPr>
          <w:b/>
          <w:bCs/>
        </w:rPr>
        <w:t>Supplementary Figure S2.</w:t>
      </w:r>
      <w:r w:rsidRPr="006462E4">
        <w:t xml:space="preserve"> Residual diagnostic plots for the TWR quadratic response model, including the normal probability plot of residuals, residuals versus fitted values, histogram of residuals, and residuals versus </w:t>
      </w:r>
      <w:r w:rsidR="005B5856">
        <w:t>ru</w:t>
      </w:r>
      <w:r w:rsidRPr="006462E4">
        <w:t>n order.</w:t>
      </w:r>
    </w:p>
    <w:p w14:paraId="48EEDD4B" w14:textId="14B74D24" w:rsidR="006462E4" w:rsidRPr="006462E4" w:rsidRDefault="006462E4" w:rsidP="006462E4">
      <w:pPr>
        <w:jc w:val="center"/>
      </w:pPr>
      <w:r w:rsidRPr="006462E4">
        <w:rPr>
          <w:noProof/>
        </w:rPr>
        <w:lastRenderedPageBreak/>
        <w:drawing>
          <wp:inline distT="0" distB="0" distL="0" distR="0" wp14:anchorId="57171BF8" wp14:editId="544B0212">
            <wp:extent cx="4320000" cy="288000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dual Plots for SEC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5F1EC" w14:textId="0078C0E8" w:rsidR="006462E4" w:rsidRPr="006462E4" w:rsidRDefault="006462E4" w:rsidP="006462E4">
      <w:pPr>
        <w:jc w:val="center"/>
      </w:pPr>
      <w:r w:rsidRPr="006462E4">
        <w:rPr>
          <w:b/>
          <w:bCs/>
        </w:rPr>
        <w:t>Supplementary Figure S3.</w:t>
      </w:r>
      <w:r w:rsidRPr="006462E4">
        <w:t xml:space="preserve"> Residual diagnostic plots for the SEC quadratic response model, including the normal probability plot of residuals, residuals versus fitted values, histogram of residuals, and residuals versus </w:t>
      </w:r>
      <w:r w:rsidR="005B5856">
        <w:t>ru</w:t>
      </w:r>
      <w:r w:rsidRPr="006462E4">
        <w:t>n order.</w:t>
      </w:r>
    </w:p>
    <w:p w14:paraId="349981AF" w14:textId="7BFB4B95" w:rsidR="006462E4" w:rsidRPr="006462E4" w:rsidRDefault="006462E4" w:rsidP="006462E4">
      <w:pPr>
        <w:jc w:val="center"/>
      </w:pPr>
      <w:r w:rsidRPr="006462E4">
        <w:rPr>
          <w:noProof/>
        </w:rPr>
        <w:drawing>
          <wp:inline distT="0" distB="0" distL="0" distR="0" wp14:anchorId="728F7BF3" wp14:editId="7E66EF84">
            <wp:extent cx="4320000" cy="288000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dual Plots for C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C3B87" w14:textId="139A53F1" w:rsidR="006462E4" w:rsidRDefault="006462E4" w:rsidP="006462E4">
      <w:pPr>
        <w:jc w:val="center"/>
      </w:pPr>
      <w:r w:rsidRPr="006462E4">
        <w:rPr>
          <w:b/>
          <w:bCs/>
        </w:rPr>
        <w:t>Supplementary Figure S4.</w:t>
      </w:r>
      <w:r w:rsidRPr="006462E4">
        <w:t xml:space="preserve"> Residual diagnostic plots for the CE quadratic response model, including the normal probability plot of residuals, residuals versus fitted values, histogram of residuals, and residuals versus </w:t>
      </w:r>
      <w:r w:rsidR="005B5856">
        <w:t>ru</w:t>
      </w:r>
      <w:r w:rsidRPr="006462E4">
        <w:t>n order.</w:t>
      </w:r>
    </w:p>
    <w:sectPr w:rsidR="006462E4" w:rsidSect="00FC73B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2E4"/>
    <w:rsid w:val="002448FF"/>
    <w:rsid w:val="00454778"/>
    <w:rsid w:val="005B5856"/>
    <w:rsid w:val="006462E4"/>
    <w:rsid w:val="00AF63A5"/>
    <w:rsid w:val="00BE49C5"/>
    <w:rsid w:val="00FB197C"/>
    <w:rsid w:val="00FC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7D22"/>
  <w15:chartTrackingRefBased/>
  <w15:docId w15:val="{50945867-41D1-4F98-BC0B-89AFEDB47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646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46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62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62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462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462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462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462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462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46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46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62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62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462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462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462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462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462E4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46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46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462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462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46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462E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462E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462E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46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462E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462E4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6462E4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46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ayhanemre@gazi.edu.t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AYHAN</dc:creator>
  <cp:keywords/>
  <dc:description/>
  <cp:lastModifiedBy>EMRE AYHAN</cp:lastModifiedBy>
  <cp:revision>4</cp:revision>
  <dcterms:created xsi:type="dcterms:W3CDTF">2026-08-20T19:20:00Z</dcterms:created>
  <dcterms:modified xsi:type="dcterms:W3CDTF">2026-08-20T19:28:00Z</dcterms:modified>
</cp:coreProperties>
</file>