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before="0" w:after="0" w:line="480" w:lineRule="auto"/>
        <w:jc w:val="left"/>
      </w:pPr>
      <w:r>
        <w:rPr>
          <w:rFonts w:ascii="Times New Roman" w:hAnsi="Times New Roman" w:eastAsia="Times New Roman" w:cs="Times New Roman"/>
          <w:b/>
          <w:color w:val="000000"/>
          <w:sz w:val="32"/>
        </w:rPr>
        <w:t>Supplementary Information</w:t>
      </w:r>
    </w:p>
    <w:p>
      <w:pPr>
        <w:keepNext/>
        <w:keepLines/>
        <w:spacing w:before="0" w:after="0" w:line="480" w:lineRule="auto"/>
        <w:jc w:val="left"/>
      </w:pPr>
      <w:r>
        <w:rPr>
          <w:rFonts w:ascii="Times New Roman" w:hAnsi="Times New Roman" w:eastAsia="Times New Roman" w:cs="Times New Roman"/>
          <w:b/>
          <w:color w:val="000000"/>
          <w:sz w:val="24"/>
        </w:rPr>
        <w:t>Development and external validation of prediction models for a trial-informed operational composite after stage 3 acute kidney injury</w:t>
      </w:r>
    </w:p>
    <w:p>
      <w:pPr>
        <w:keepLines/>
        <w:spacing w:before="0" w:after="0" w:line="480" w:lineRule="auto"/>
        <w:jc w:val="left"/>
      </w:pPr>
      <w:r>
        <w:rPr>
          <w:rFonts w:ascii="Times New Roman" w:hAnsi="Times New Roman" w:eastAsia="Times New Roman" w:cs="Times New Roman"/>
          <w:b/>
          <w:color w:val="000000"/>
          <w:sz w:val="24"/>
        </w:rPr>
        <w:t>Chao-Dong Chen, Peng-Chao Tian, Xin Chen, Fang-Xing Guo and Wen-Xiong Li</w:t>
      </w:r>
    </w:p>
    <w:p>
      <w:pPr>
        <w:keepNext/>
        <w:keepLines/>
        <w:spacing w:before="0" w:after="0" w:line="480" w:lineRule="auto"/>
        <w:jc w:val="left"/>
      </w:pPr>
      <w:r>
        <w:rPr>
          <w:rFonts w:ascii="Times New Roman" w:hAnsi="Times New Roman" w:eastAsia="Times New Roman" w:cs="Times New Roman"/>
          <w:b/>
          <w:color w:val="000000"/>
          <w:sz w:val="28"/>
        </w:rPr>
        <w:t>Supplementary Methods</w:t>
      </w:r>
    </w:p>
    <w:p>
      <w:pPr>
        <w:spacing w:before="0" w:after="0" w:line="480" w:lineRule="auto"/>
        <w:jc w:val="left"/>
      </w:pPr>
      <w:r>
        <w:rPr>
          <w:rFonts w:ascii="Times New Roman" w:hAnsi="Times New Roman" w:eastAsia="Times New Roman" w:cs="Times New Roman"/>
          <w:color w:val="000000"/>
          <w:sz w:val="24"/>
        </w:rPr>
        <w:t>Time zero was the first stage 3 AKI time defined by creatinine or urine output; RRT was not used to define AKI stage. The prediction landmark was 24 hours later. Predictors used [0,24), and outcomes used the non-overlapping [24,72) interval. Patients receiving RRT, dying, or leaving the ICU after the landmark were retained and classified by first post-landmark state.</w:t>
      </w:r>
    </w:p>
    <w:p>
      <w:pPr>
        <w:spacing w:before="0" w:after="0" w:line="480" w:lineRule="auto"/>
        <w:jc w:val="left"/>
      </w:pPr>
      <w:r>
        <w:rPr>
          <w:rFonts w:ascii="Times New Roman" w:hAnsi="Times New Roman" w:eastAsia="Times New Roman" w:cs="Times New Roman"/>
          <w:color w:val="000000"/>
          <w:sz w:val="24"/>
        </w:rPr>
        <w:t>Creatinine pathway. MIMIC-IV creatinine was drawn from the derived chemistry concept from seven days before hospital admission through ICU discharge. eICU-CRD creatinine was drawn from ICU laboratory records; because pre-ICU laboratory history is not available in this local eICU build, the look-back was restricted to recorded ICU time. At each measurement, the dynamic baseline was the lowest valid creatinine in the preceding seven days. Stage 3 was first creatinine ≥4.0 mg/dL or ≥3 times that dynamic baseline. If no prior valid value existed, only the absolute ≥4.0 mg/dL criterion could qualify.</w:t>
      </w:r>
    </w:p>
    <w:p>
      <w:pPr>
        <w:spacing w:before="0" w:after="0" w:line="480" w:lineRule="auto"/>
        <w:jc w:val="left"/>
      </w:pPr>
      <w:r>
        <w:rPr>
          <w:rFonts w:ascii="Times New Roman" w:hAnsi="Times New Roman" w:eastAsia="Times New Roman" w:cs="Times New Roman"/>
          <w:color w:val="000000"/>
          <w:sz w:val="24"/>
        </w:rPr>
        <w:t>Urine-output pathway. Database-specific urine records were aggregated by hour. Missing hours were not imputed as zero. Stage 3 was first documented 24-hour urine &lt;7.2 mL/kg with at least 18 documented hours, or documented anuria over 12 hours with at least 10 documented hours. The AKI index was the earlier qualifying creatinine or urine-output time. MIMIC-IV weight was derived from the official mimiciv_derived.weight_durations concept, which represents admission and daily weights in kilograms. A record covering ICU admission was preferred, followed by an admission-type record and then the temporally nearest record. eICU-CRD used admissionweight without substitution of discharge weight. Values of 20–300 kg were considered valid in both cohorts.</w:t>
      </w:r>
    </w:p>
    <w:p>
      <w:pPr>
        <w:spacing w:before="0" w:after="0" w:line="480" w:lineRule="auto"/>
        <w:jc w:val="left"/>
      </w:pPr>
      <w:r>
        <w:rPr>
          <w:rFonts w:ascii="Times New Roman" w:hAnsi="Times New Roman" w:eastAsia="Times New Roman" w:cs="Times New Roman"/>
          <w:color w:val="000000"/>
          <w:sz w:val="24"/>
        </w:rPr>
        <w:t>Operational composite. A primary event during [24,72) was potassium &gt;6.0 mmol/L; pH ≤7.20 paired with bicarbonate ≤12 mmol/L within ±2 hours; cumulative fluid balance from AKI index &gt;10% of cleaned weight at the time PaO₂/FiO₂ ≤200 was recorded, with both input and output observed; or BUN &gt;112 mg/dL. Components were non-mutually exclusive. Sensitivities excluded isolated BUN, combined the operational composite with actual RRT, restricted evaluation to complete ascertainment, and used a conservative alternative outcome that counted either the operational composite or death during [24,72) as an event.</w:t>
      </w:r>
    </w:p>
    <w:p>
      <w:pPr>
        <w:spacing w:before="0" w:after="0" w:line="480" w:lineRule="auto"/>
        <w:jc w:val="left"/>
      </w:pPr>
      <w:r>
        <w:rPr>
          <w:rFonts w:ascii="Times New Roman" w:hAnsi="Times New Roman" w:eastAsia="Times New Roman" w:cs="Times New Roman"/>
          <w:color w:val="000000"/>
          <w:sz w:val="24"/>
        </w:rPr>
        <w:t>Modelling. Candidate-variable availability was harmonized across MIMIC-IV and eICU-CRD before model development; variables with more than 50% missingness in eICU-CRD were excluded at this stage. Recursive feature elimination was then performed only within each of five imputed MIMIC-IV training datasets and retained 10 variables per imputation. Nine predictors appeared in all five analyses and formed the stable final set; the tenth position varied among SOFA score (2/5), maximum white blood cell count (2/5), and maximum potassium (1/5). Five iterative imputers and five imputation-specific versions of each model were fitted. The final patient probability was the arithmetic mean of the five probabilities. Gradient Boosting was the prespecified primary model; L2 logistic regression and ExtraTrees were comparators. eICU outcomes were not used for predictor ranking, tuning, or model fitting. Confidence intervals used 1,000 patient-level bootstrap samples of the final averaged probabilities. For descriptive model explanation, Tree SHAP values were calculated separately for each imputation-specific Gradient Boosting model and averaged per patient and predictor. SHAP used the held-out MIMIC-IV test set and full eICU external cohort and was interpreted as model contribution, not causation.</w:t>
      </w:r>
    </w:p>
    <w:p>
      <w:pPr>
        <w:keepNext/>
        <w:keepLines/>
        <w:spacing w:before="0" w:after="20" w:line="240" w:lineRule="auto"/>
        <w:jc w:val="left"/>
      </w:pPr>
      <w:r>
        <w:rPr>
          <w:rFonts w:ascii="Times New Roman" w:hAnsi="Times New Roman" w:eastAsia="Times New Roman" w:cs="Times New Roman"/>
          <w:b/>
          <w:color w:val="000000"/>
          <w:sz w:val="18"/>
        </w:rPr>
        <w:t>Supplementary Table S1. Sequential, mutually exclusive cohort flow.</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3841"/>
        <w:gridCol w:w="3841"/>
        <w:gridCol w:w="3841"/>
        <w:gridCol w:w="3841"/>
      </w:tblGrid>
      <w:tr>
        <w:trPr>
          <w:tblHeader w:val="true"/>
          <w:cantSplit/>
        </w:trPr>
        <w:tc>
          <w:tcPr>
            <w:tcW w:type="dxa" w:w="3841"/>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8"/>
              </w:rPr>
              <w:t>Cohort</w:t>
            </w:r>
          </w:p>
        </w:tc>
        <w:tc>
          <w:tcPr>
            <w:tcW w:type="dxa" w:w="384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Order</w:t>
            </w:r>
          </w:p>
        </w:tc>
        <w:tc>
          <w:tcPr>
            <w:tcW w:type="dxa" w:w="384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Step</w:t>
            </w:r>
          </w:p>
        </w:tc>
        <w:tc>
          <w:tcPr>
            <w:tcW w:type="dxa" w:w="384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n</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0</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all_stage3_AKI</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3648</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1</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excluded_RRT_before_AKI3_index</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148</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2</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excluded_death_before_24h_landmark</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199</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3</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excluded_ICU_discharge_before_24h_landmark</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275</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4</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excluded_RRT_during_[0,24)</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294</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5</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excluded_operational_composite_during_[0,24)</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275</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6</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eligible_at_24h_landmark</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2457</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7</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final_landmark_cohort_retaining_post_prediction_RRT</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2457</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8</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post_landmark_RRT_before_recorded_composite_retained</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155</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9</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post_landmark_death_first_retained</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163</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0</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all_stage3_AKI</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5321</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1</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excluded_RRT_before_AKI3_index</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376</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2</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excluded_death_before_24h_landmark</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268</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3</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excluded_ICU_discharge_before_24h_landmark</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486</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4</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excluded_RRT_during_[0,24)</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434</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5</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excluded_operational_composite_during_[0,24)</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529</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6</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eligible_at_24h_landmark</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3228</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7</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final_landmark_cohort_retaining_post_prediction_RRT</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3228</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8</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post_landmark_RRT_before_recorded_composite_retained</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230</w:t>
            </w:r>
          </w:p>
        </w:tc>
      </w:tr>
      <w:tr>
        <w:trPr>
          <w:cantSplit/>
        </w:trPr>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9</w:t>
            </w:r>
          </w:p>
        </w:tc>
        <w:tc>
          <w:tcPr>
            <w:tcW w:type="dxa" w:w="3841"/>
            <w:vAlign w:val="center"/>
          </w:tcPr>
          <w:p>
            <w:pPr>
              <w:keepLines/>
              <w:spacing w:before="0" w:after="0" w:line="240" w:lineRule="auto"/>
              <w:jc w:val="left"/>
            </w:pPr>
            <w:r>
              <w:rPr>
                <w:rFonts w:ascii="Times New Roman" w:hAnsi="Times New Roman" w:eastAsia="Times New Roman" w:cs="Times New Roman"/>
                <w:color w:val="000000"/>
                <w:sz w:val="18"/>
              </w:rPr>
              <w:t>post_landmark_death_first_retained</w:t>
            </w:r>
          </w:p>
        </w:tc>
        <w:tc>
          <w:tcPr>
            <w:tcW w:type="dxa" w:w="3841"/>
            <w:vAlign w:val="center"/>
          </w:tcPr>
          <w:p>
            <w:pPr>
              <w:keepLines/>
              <w:spacing w:before="0" w:after="0" w:line="240" w:lineRule="auto"/>
              <w:jc w:val="center"/>
            </w:pPr>
            <w:r>
              <w:rPr>
                <w:rFonts w:ascii="Times New Roman" w:hAnsi="Times New Roman" w:eastAsia="Times New Roman" w:cs="Times New Roman"/>
                <w:color w:val="000000"/>
                <w:sz w:val="18"/>
              </w:rPr>
              <w:t>208</w:t>
            </w:r>
          </w:p>
        </w:tc>
      </w:tr>
    </w:tbl>
    <w:p>
      <w:pPr>
        <w:spacing w:before="0" w:after="0" w:line="480" w:lineRule="auto"/>
        <w:jc w:val="left"/>
      </w:pPr>
    </w:p>
    <w:p>
      <w:pPr>
        <w:keepNext/>
        <w:keepLines/>
        <w:spacing w:before="0" w:after="20" w:line="240" w:lineRule="auto"/>
        <w:jc w:val="left"/>
      </w:pPr>
      <w:r>
        <w:rPr>
          <w:rFonts w:ascii="Times New Roman" w:hAnsi="Times New Roman" w:eastAsia="Times New Roman" w:cs="Times New Roman"/>
          <w:b/>
          <w:color w:val="000000"/>
          <w:sz w:val="18"/>
        </w:rPr>
        <w:t>Supplementary Table S2. Raw overlapping exclusion/event counts (not suitable for summing).</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5121"/>
        <w:gridCol w:w="5121"/>
        <w:gridCol w:w="5121"/>
      </w:tblGrid>
      <w:tr>
        <w:trPr>
          <w:tblHeader w:val="true"/>
          <w:cantSplit/>
        </w:trPr>
        <w:tc>
          <w:tcPr>
            <w:tcW w:type="dxa" w:w="5121"/>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8"/>
              </w:rPr>
              <w:t>Cohort</w:t>
            </w:r>
          </w:p>
        </w:tc>
        <w:tc>
          <w:tcPr>
            <w:tcW w:type="dxa" w:w="512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Exclusion or event</w:t>
            </w:r>
          </w:p>
        </w:tc>
        <w:tc>
          <w:tcPr>
            <w:tcW w:type="dxa" w:w="512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n</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RRT_before_index</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148</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RRT_during_[0,24)</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322</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operational_composite_during_[0,24)</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691</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RRT_before_recorded_composite_during_[24,72)</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172</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death_during_[24,72)</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334</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RRT_before_index</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376</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RRT_during_[0,24)</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455</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operational_composite_during_[0,24)</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1123</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RRT_before_recorded_composite_during_[24,72)</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282</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death_during_[24,72)</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399</w:t>
            </w:r>
          </w:p>
        </w:tc>
      </w:tr>
    </w:tbl>
    <w:p>
      <w:pPr>
        <w:spacing w:before="0" w:after="0" w:line="480" w:lineRule="auto"/>
        <w:jc w:val="left"/>
      </w:pPr>
    </w:p>
    <w:p>
      <w:pPr>
        <w:keepNext/>
        <w:keepLines/>
        <w:spacing w:before="0" w:after="20" w:line="240" w:lineRule="auto"/>
        <w:jc w:val="left"/>
      </w:pPr>
      <w:r>
        <w:rPr>
          <w:rFonts w:ascii="Times New Roman" w:hAnsi="Times New Roman" w:eastAsia="Times New Roman" w:cs="Times New Roman"/>
          <w:b/>
          <w:color w:val="000000"/>
          <w:sz w:val="18"/>
        </w:rPr>
        <w:t>Supplementary Table S3. Source-to-implementation mapping for the operational composite.</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2561"/>
        <w:gridCol w:w="2561"/>
        <w:gridCol w:w="2561"/>
        <w:gridCol w:w="2561"/>
        <w:gridCol w:w="2561"/>
        <w:gridCol w:w="2561"/>
      </w:tblGrid>
      <w:tr>
        <w:trPr>
          <w:tblHeader w:val="true"/>
          <w:cantSplit/>
        </w:trPr>
        <w:tc>
          <w:tcPr>
            <w:tcW w:type="dxa" w:w="2561"/>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8"/>
              </w:rPr>
              <w:t>Component</w:t>
            </w:r>
          </w:p>
        </w:tc>
        <w:tc>
          <w:tcPr>
            <w:tcW w:type="dxa" w:w="256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Source protocols</w:t>
            </w:r>
          </w:p>
        </w:tc>
        <w:tc>
          <w:tcPr>
            <w:tcW w:type="dxa" w:w="256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Original protocol criterion</w:t>
            </w:r>
          </w:p>
        </w:tc>
        <w:tc>
          <w:tcPr>
            <w:tcW w:type="dxa" w:w="256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Structured study rule</w:t>
            </w:r>
          </w:p>
        </w:tc>
        <w:tc>
          <w:tcPr>
            <w:tcW w:type="dxa" w:w="256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Data source</w:t>
            </w:r>
          </w:p>
        </w:tc>
        <w:tc>
          <w:tcPr>
            <w:tcW w:type="dxa" w:w="256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Temporal rule</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Hyperkalemia</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AKIKI/AKIKI-2 and STARRT-AKI [4,5,7]; IDEAL-ICU [6]</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AKIKI: K &gt;6 or &gt;5.5 despite treatment; STARRT-AKI: K ≥6; IDEAL-ICU: K &gt;6.5 mmol/L</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K &gt;6.0 mmol/L</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MIMIC chemistry/labevents; eICU lab</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Any valid value in [24,72)</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Severe acidosis</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AKIKI/AKIKI-2 [4,5], IDEAL-ICU [6], STARRT-AKI [7]</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AKIKI: pH &lt;7.15 in specified metabolic/mixed contexts; IDEAL-ICU: pH &lt;7.15; STARRT-AKI: pH ≤7.20 OR HCO3 ≤12</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pH ≤7.20 AND HCO3 ≤12</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MIMIC blood gas/chemistry; eICU lab</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Author-defined stricter pair within ±2 h; event time is later member</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Fluid overload with hypoxemia</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AKIKI/AKIKI-2 [4,5], IDEAL-ICU [6], STARRT-AKI [7]</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Trials used pulmonary edema/clinical volume overload with respiratory compromise; STARRT-AKI used P/F ≤200 plus clinical perception of overload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Cumulative balance &gt;10% weight when P/F ≤200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Input/output plus blood-gas/respiratory data</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The &gt;10% balance is an author-defined structured proxy; balance is calculated to the P/F event</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Severe azotemia</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AKIKI [4] and AKIKI-2 [5]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AKIKI delayed trigger BUN &gt;112 mg/dL; AKIKI-2 used BUN 112 mg/dL in delayed-strategy eligibility</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BUN &gt;112 mg/dL</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MIMIC chemistry; eICU lab</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Any valid value in [24,72); isolated-BUN sensitivity reported</w:t>
            </w:r>
          </w:p>
        </w:tc>
      </w:tr>
    </w:tbl>
    <w:p>
      <w:pPr>
        <w:spacing w:before="0" w:after="0" w:line="480" w:lineRule="auto"/>
        <w:jc w:val="left"/>
      </w:pPr>
    </w:p>
    <w:p>
      <w:pPr>
        <w:spacing w:before="0" w:after="0" w:line="480" w:lineRule="auto"/>
        <w:jc w:val="left"/>
      </w:pPr>
      <w:r>
        <w:rPr>
          <w:rFonts w:ascii="Times New Roman" w:hAnsi="Times New Roman" w:eastAsia="Times New Roman" w:cs="Times New Roman"/>
          <w:color w:val="000000"/>
          <w:sz w:val="24"/>
        </w:rPr>
        <w:t>The composite is intentionally described as trial-informed rather than protocol-identical. In particular, the paired pH-and-bicarbonate rule is stricter than the STARRT-AKI OR criterion, and cumulative balance &gt;10% of weight is a structured proxy for clinical volume overload rather than a verbatim trial threshold.</w:t>
      </w:r>
    </w:p>
    <w:p>
      <w:pPr>
        <w:keepNext/>
        <w:keepLines/>
        <w:spacing w:before="0" w:after="20" w:line="240" w:lineRule="auto"/>
        <w:jc w:val="left"/>
      </w:pPr>
      <w:r>
        <w:rPr>
          <w:rFonts w:ascii="Times New Roman" w:hAnsi="Times New Roman" w:eastAsia="Times New Roman" w:cs="Times New Roman"/>
          <w:b/>
          <w:color w:val="000000"/>
          <w:sz w:val="18"/>
        </w:rPr>
        <w:t>Supplementary Table S4. Outcome components and sensitivity outcomes.</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1536"/>
        <w:gridCol w:w="1536"/>
        <w:gridCol w:w="1536"/>
        <w:gridCol w:w="1536"/>
        <w:gridCol w:w="1536"/>
        <w:gridCol w:w="1536"/>
        <w:gridCol w:w="1536"/>
        <w:gridCol w:w="1536"/>
        <w:gridCol w:w="1536"/>
        <w:gridCol w:w="1536"/>
      </w:tblGrid>
      <w:tr>
        <w:trPr>
          <w:tblHeader w:val="true"/>
          <w:cantSplit/>
        </w:trPr>
        <w:tc>
          <w:tcPr>
            <w:tcW w:type="dxa" w:w="1536"/>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4"/>
              </w:rPr>
              <w:t>Cohort</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N</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Primary</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K</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Paired acidosis</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Fluid/PF</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BUN</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≥2 components</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Non-BUN</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Composite or RRT</w:t>
            </w:r>
          </w:p>
        </w:tc>
      </w:tr>
      <w:tr>
        <w:trPr>
          <w:cantSplit/>
        </w:trPr>
        <w:tc>
          <w:tcPr>
            <w:tcW w:type="dxa" w:w="1536"/>
            <w:vAlign w:val="center"/>
          </w:tcPr>
          <w:p>
            <w:pPr>
              <w:keepLines/>
              <w:spacing w:before="0" w:after="0" w:line="240" w:lineRule="auto"/>
              <w:jc w:val="left"/>
            </w:pPr>
            <w:r>
              <w:rPr>
                <w:rFonts w:ascii="Times New Roman" w:hAnsi="Times New Roman" w:eastAsia="Times New Roman" w:cs="Times New Roman"/>
                <w:color w:val="000000"/>
                <w:sz w:val="14"/>
              </w:rPr>
              <w:t>MIMIC-IV</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2,457</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238 (9.7%)</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52</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32</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111</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76</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29</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175 (7.1%)</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355 (14.4%)</w:t>
            </w:r>
          </w:p>
        </w:tc>
      </w:tr>
      <w:tr>
        <w:trPr>
          <w:cantSplit/>
        </w:trPr>
        <w:tc>
          <w:tcPr>
            <w:tcW w:type="dxa" w:w="1536"/>
            <w:vAlign w:val="center"/>
          </w:tcPr>
          <w:p>
            <w:pPr>
              <w:keepLines/>
              <w:spacing w:before="0" w:after="0" w:line="240" w:lineRule="auto"/>
              <w:jc w:val="left"/>
            </w:pPr>
            <w:r>
              <w:rPr>
                <w:rFonts w:ascii="Times New Roman" w:hAnsi="Times New Roman" w:eastAsia="Times New Roman" w:cs="Times New Roman"/>
                <w:color w:val="000000"/>
                <w:sz w:val="14"/>
              </w:rPr>
              <w:t>eICU-CRD</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3,228</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145 (4.5%)</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43</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23</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30</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63</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14</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89 (2.8%)</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365 (11.3%)</w:t>
            </w:r>
          </w:p>
        </w:tc>
      </w:tr>
    </w:tbl>
    <w:p>
      <w:pPr>
        <w:spacing w:before="0" w:after="0" w:line="480" w:lineRule="auto"/>
        <w:jc w:val="left"/>
      </w:pPr>
    </w:p>
    <w:p>
      <w:pPr>
        <w:keepNext/>
        <w:keepLines/>
        <w:spacing w:before="0" w:after="20" w:line="240" w:lineRule="auto"/>
        <w:jc w:val="left"/>
      </w:pPr>
      <w:r>
        <w:rPr>
          <w:rFonts w:ascii="Times New Roman" w:hAnsi="Times New Roman" w:eastAsia="Times New Roman" w:cs="Times New Roman"/>
          <w:b/>
          <w:color w:val="000000"/>
          <w:sz w:val="18"/>
        </w:rPr>
        <w:t>Supplementary Table S5. Outcome ascertainment audit.</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1536"/>
        <w:gridCol w:w="1536"/>
        <w:gridCol w:w="1536"/>
        <w:gridCol w:w="1536"/>
        <w:gridCol w:w="1536"/>
        <w:gridCol w:w="1536"/>
        <w:gridCol w:w="1536"/>
        <w:gridCol w:w="1536"/>
        <w:gridCol w:w="1536"/>
        <w:gridCol w:w="1536"/>
      </w:tblGrid>
      <w:tr>
        <w:trPr>
          <w:tblHeader w:val="true"/>
          <w:cantSplit/>
        </w:trPr>
        <w:tc>
          <w:tcPr>
            <w:tcW w:type="dxa" w:w="1536"/>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4"/>
              </w:rPr>
              <w:t>Cohort</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N</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K</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Paired pH/HCO3</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BUN</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Input + output</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P/F</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All components</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Observed to 72 h</w:t>
            </w:r>
          </w:p>
        </w:tc>
        <w:tc>
          <w:tcPr>
            <w:tcW w:type="dxa" w:w="1536"/>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Complete sensitivity</w:t>
            </w:r>
          </w:p>
        </w:tc>
      </w:tr>
      <w:tr>
        <w:trPr>
          <w:cantSplit/>
        </w:trPr>
        <w:tc>
          <w:tcPr>
            <w:tcW w:type="dxa" w:w="1536"/>
            <w:vAlign w:val="center"/>
          </w:tcPr>
          <w:p>
            <w:pPr>
              <w:keepLines/>
              <w:spacing w:before="0" w:after="0" w:line="240" w:lineRule="auto"/>
              <w:jc w:val="left"/>
            </w:pPr>
            <w:r>
              <w:rPr>
                <w:rFonts w:ascii="Times New Roman" w:hAnsi="Times New Roman" w:eastAsia="Times New Roman" w:cs="Times New Roman"/>
                <w:color w:val="000000"/>
                <w:sz w:val="14"/>
              </w:rPr>
              <w:t>MIMIC-IV</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2457</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2362</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1284</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2360</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2033</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1220</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980</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1647</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893</w:t>
            </w:r>
          </w:p>
        </w:tc>
      </w:tr>
      <w:tr>
        <w:trPr>
          <w:cantSplit/>
        </w:trPr>
        <w:tc>
          <w:tcPr>
            <w:tcW w:type="dxa" w:w="1536"/>
            <w:vAlign w:val="center"/>
          </w:tcPr>
          <w:p>
            <w:pPr>
              <w:keepLines/>
              <w:spacing w:before="0" w:after="0" w:line="240" w:lineRule="auto"/>
              <w:jc w:val="left"/>
            </w:pPr>
            <w:r>
              <w:rPr>
                <w:rFonts w:ascii="Times New Roman" w:hAnsi="Times New Roman" w:eastAsia="Times New Roman" w:cs="Times New Roman"/>
                <w:color w:val="000000"/>
                <w:sz w:val="14"/>
              </w:rPr>
              <w:t>eICU-CRD</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3228</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2997</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1260</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2991</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1555</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985</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583</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1858</w:t>
            </w:r>
          </w:p>
        </w:tc>
        <w:tc>
          <w:tcPr>
            <w:tcW w:type="dxa" w:w="1536"/>
            <w:vAlign w:val="center"/>
          </w:tcPr>
          <w:p>
            <w:pPr>
              <w:keepLines/>
              <w:spacing w:before="0" w:after="0" w:line="240" w:lineRule="auto"/>
              <w:jc w:val="center"/>
            </w:pPr>
            <w:r>
              <w:rPr>
                <w:rFonts w:ascii="Times New Roman" w:hAnsi="Times New Roman" w:eastAsia="Times New Roman" w:cs="Times New Roman"/>
                <w:color w:val="000000"/>
                <w:sz w:val="14"/>
              </w:rPr>
              <w:t>493</w:t>
            </w:r>
          </w:p>
        </w:tc>
      </w:tr>
    </w:tbl>
    <w:p>
      <w:pPr>
        <w:spacing w:before="0" w:after="0" w:line="480" w:lineRule="auto"/>
        <w:jc w:val="left"/>
      </w:pPr>
    </w:p>
    <w:p>
      <w:pPr>
        <w:keepNext/>
        <w:keepLines/>
        <w:spacing w:before="0" w:after="20" w:line="240" w:lineRule="auto"/>
        <w:jc w:val="left"/>
      </w:pPr>
      <w:r>
        <w:rPr>
          <w:rFonts w:ascii="Times New Roman" w:hAnsi="Times New Roman" w:eastAsia="Times New Roman" w:cs="Times New Roman"/>
          <w:b/>
          <w:color w:val="000000"/>
          <w:sz w:val="18"/>
        </w:rPr>
        <w:t>Supplementary Table S6. Final body-weight distribution and plausibility audit.</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1397"/>
        <w:gridCol w:w="1397"/>
        <w:gridCol w:w="1397"/>
        <w:gridCol w:w="1397"/>
        <w:gridCol w:w="1397"/>
        <w:gridCol w:w="1397"/>
        <w:gridCol w:w="1397"/>
        <w:gridCol w:w="1397"/>
        <w:gridCol w:w="1397"/>
        <w:gridCol w:w="1397"/>
        <w:gridCol w:w="1397"/>
      </w:tblGrid>
      <w:tr>
        <w:trPr>
          <w:tblHeader w:val="true"/>
          <w:cantSplit/>
        </w:trPr>
        <w:tc>
          <w:tcPr>
            <w:tcW w:type="dxa" w:w="1397"/>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4"/>
              </w:rPr>
              <w:t>Cohort</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N</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Min</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P1</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P25</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Median</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P75</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P99</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Max</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≥150 kg</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4"/>
              </w:rPr>
              <w:t>≥200 kg</w:t>
            </w:r>
          </w:p>
        </w:tc>
      </w:tr>
      <w:tr>
        <w:trPr>
          <w:cantSplit/>
        </w:trPr>
        <w:tc>
          <w:tcPr>
            <w:tcW w:type="dxa" w:w="1397"/>
            <w:vAlign w:val="center"/>
          </w:tcPr>
          <w:p>
            <w:pPr>
              <w:keepLines/>
              <w:spacing w:before="0" w:after="0" w:line="240" w:lineRule="auto"/>
              <w:jc w:val="left"/>
            </w:pPr>
            <w:r>
              <w:rPr>
                <w:rFonts w:ascii="Times New Roman" w:hAnsi="Times New Roman" w:eastAsia="Times New Roman" w:cs="Times New Roman"/>
                <w:color w:val="000000"/>
                <w:sz w:val="14"/>
              </w:rPr>
              <w:t>MIMIC-IV</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2457</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30.2</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45.6</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71.9</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86.3</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105.0</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193.6</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277.0</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105</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22</w:t>
            </w:r>
          </w:p>
        </w:tc>
      </w:tr>
      <w:tr>
        <w:trPr>
          <w:cantSplit/>
        </w:trPr>
        <w:tc>
          <w:tcPr>
            <w:tcW w:type="dxa" w:w="1397"/>
            <w:vAlign w:val="center"/>
          </w:tcPr>
          <w:p>
            <w:pPr>
              <w:keepLines/>
              <w:spacing w:before="0" w:after="0" w:line="240" w:lineRule="auto"/>
              <w:jc w:val="left"/>
            </w:pPr>
            <w:r>
              <w:rPr>
                <w:rFonts w:ascii="Times New Roman" w:hAnsi="Times New Roman" w:eastAsia="Times New Roman" w:cs="Times New Roman"/>
                <w:color w:val="000000"/>
                <w:sz w:val="14"/>
              </w:rPr>
              <w:t>eICU-CRD</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3228</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28.0</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44.7</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72.3</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88.0</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107.7</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204.1</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287.0</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171</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4"/>
              </w:rPr>
              <w:t>41</w:t>
            </w:r>
          </w:p>
        </w:tc>
      </w:tr>
    </w:tbl>
    <w:p>
      <w:pPr>
        <w:spacing w:before="0" w:after="0" w:line="480" w:lineRule="auto"/>
        <w:jc w:val="left"/>
      </w:pPr>
    </w:p>
    <w:p>
      <w:pPr>
        <w:keepNext/>
        <w:keepLines/>
        <w:spacing w:before="0" w:after="20" w:line="240" w:lineRule="auto"/>
        <w:jc w:val="left"/>
      </w:pPr>
      <w:r>
        <w:rPr>
          <w:rFonts w:ascii="Times New Roman" w:hAnsi="Times New Roman" w:eastAsia="Times New Roman" w:cs="Times New Roman"/>
          <w:b/>
          <w:color w:val="000000"/>
          <w:sz w:val="18"/>
        </w:rPr>
        <w:t>Supplementary Table S6b. Audit comparison of the original and final MIMIC-IV weight-extraction rules.</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1182"/>
        <w:gridCol w:w="1182"/>
        <w:gridCol w:w="1182"/>
        <w:gridCol w:w="1182"/>
        <w:gridCol w:w="1182"/>
        <w:gridCol w:w="1182"/>
        <w:gridCol w:w="1182"/>
        <w:gridCol w:w="1182"/>
        <w:gridCol w:w="1182"/>
        <w:gridCol w:w="1182"/>
        <w:gridCol w:w="1182"/>
        <w:gridCol w:w="1182"/>
        <w:gridCol w:w="1182"/>
      </w:tblGrid>
      <w:tr>
        <w:trPr>
          <w:tblHeader w:val="true"/>
          <w:cantSplit/>
        </w:trPr>
        <w:tc>
          <w:tcPr>
            <w:tcW w:type="dxa" w:w="1182"/>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2"/>
              </w:rPr>
              <w:t>Population</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N</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Original valid</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Final valid</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Original only</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Final only</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Neither</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Changed &gt;1 kg</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Missing-unit lb item treated as kg by original rule</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Original median (IQR)</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Final median (IQR)</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Original P1/P99</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Final P1/P99</w:t>
            </w:r>
          </w:p>
        </w:tc>
      </w:tr>
      <w:tr>
        <w:trPr>
          <w:cantSplit/>
        </w:trPr>
        <w:tc>
          <w:tcPr>
            <w:tcW w:type="dxa" w:w="1182"/>
            <w:vAlign w:val="center"/>
          </w:tcPr>
          <w:p>
            <w:pPr>
              <w:keepLines/>
              <w:spacing w:before="0" w:after="0" w:line="240" w:lineRule="auto"/>
              <w:jc w:val="left"/>
            </w:pPr>
            <w:r>
              <w:rPr>
                <w:rFonts w:ascii="Times New Roman" w:hAnsi="Times New Roman" w:eastAsia="Times New Roman" w:cs="Times New Roman"/>
                <w:color w:val="000000"/>
                <w:sz w:val="12"/>
              </w:rPr>
              <w:t>Adult first ICU, LOS ≥24 h</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51,838</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51,549</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51,485</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198</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134</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155</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7,720</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7,532</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83.8 (69.0–106.3)</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79.0 (66.3–94.0)</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43.6/242.0</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42.7/156.5</w:t>
            </w:r>
          </w:p>
        </w:tc>
      </w:tr>
      <w:tr>
        <w:trPr>
          <w:cantSplit/>
        </w:trPr>
        <w:tc>
          <w:tcPr>
            <w:tcW w:type="dxa" w:w="1182"/>
            <w:vAlign w:val="center"/>
          </w:tcPr>
          <w:p>
            <w:pPr>
              <w:keepLines/>
              <w:spacing w:before="0" w:after="0" w:line="240" w:lineRule="auto"/>
              <w:jc w:val="left"/>
            </w:pPr>
            <w:r>
              <w:rPr>
                <w:rFonts w:ascii="Times New Roman" w:hAnsi="Times New Roman" w:eastAsia="Times New Roman" w:cs="Times New Roman"/>
                <w:color w:val="000000"/>
                <w:sz w:val="12"/>
              </w:rPr>
              <w:t>Final landmark cohort</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2,457</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2,448</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2,457</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0</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9</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0</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351</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317</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91.5 (74.8–118.0)</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86.3 (71.9–105.0)</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46.8/260.9</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45.6/193.6</w:t>
            </w:r>
          </w:p>
        </w:tc>
      </w:tr>
    </w:tbl>
    <w:p>
      <w:pPr>
        <w:spacing w:before="0" w:after="0" w:line="480" w:lineRule="auto"/>
        <w:jc w:val="left"/>
      </w:pPr>
    </w:p>
    <w:p>
      <w:pPr>
        <w:spacing w:before="0" w:after="0" w:line="480" w:lineRule="auto"/>
        <w:jc w:val="left"/>
      </w:pPr>
      <w:r>
        <w:rPr>
          <w:rFonts w:ascii="Times New Roman" w:hAnsi="Times New Roman" w:eastAsia="Times New Roman" w:cs="Times New Roman"/>
          <w:color w:val="000000"/>
          <w:sz w:val="24"/>
        </w:rPr>
        <w:t>Among 51,838 adult first-ICU stays with an ICU length of stay of at least 24 hours, a valid 20–300 kg value was unavailable under the final rule in 353 patients and under the original rule in 289. In the final landmark cohort, all 2,457 patients had a valid final weight; 2,448 also had an original-rule value. Among paired values, 351 differed by more than 1 kg, and the original rule selected the missing-unit pounds item as kilograms in 317 patients. Of those 317 values, 282 matched the final value within 1 kg after conversion by 0.45359237.</w:t>
      </w:r>
    </w:p>
    <w:p>
      <w:pPr>
        <w:keepNext/>
        <w:keepLines/>
        <w:spacing w:before="0" w:after="20" w:line="240" w:lineRule="auto"/>
        <w:jc w:val="left"/>
      </w:pPr>
      <w:r>
        <w:rPr>
          <w:rFonts w:ascii="Times New Roman" w:hAnsi="Times New Roman" w:eastAsia="Times New Roman" w:cs="Times New Roman"/>
          <w:b/>
          <w:color w:val="000000"/>
          <w:sz w:val="18"/>
        </w:rPr>
        <w:t>Supplementary Table S6c. Raw MIMIC-IV weight sources and final handling.</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1707"/>
        <w:gridCol w:w="1707"/>
        <w:gridCol w:w="1707"/>
        <w:gridCol w:w="1707"/>
        <w:gridCol w:w="1707"/>
        <w:gridCol w:w="1707"/>
        <w:gridCol w:w="1707"/>
        <w:gridCol w:w="1707"/>
        <w:gridCol w:w="1707"/>
      </w:tblGrid>
      <w:tr>
        <w:trPr>
          <w:tblHeader w:val="true"/>
          <w:cantSplit/>
        </w:trPr>
        <w:tc>
          <w:tcPr>
            <w:tcW w:type="dxa" w:w="1707"/>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3"/>
              </w:rPr>
              <w:t>Item ID</w:t>
            </w:r>
          </w:p>
        </w:tc>
        <w:tc>
          <w:tcPr>
            <w:tcW w:type="dxa" w:w="170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Label</w:t>
            </w:r>
          </w:p>
        </w:tc>
        <w:tc>
          <w:tcPr>
            <w:tcW w:type="dxa" w:w="170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Raw unit</w:t>
            </w:r>
          </w:p>
        </w:tc>
        <w:tc>
          <w:tcPr>
            <w:tcW w:type="dxa" w:w="170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Rows</w:t>
            </w:r>
          </w:p>
        </w:tc>
        <w:tc>
          <w:tcPr>
            <w:tcW w:type="dxa" w:w="170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Stays</w:t>
            </w:r>
          </w:p>
        </w:tc>
        <w:tc>
          <w:tcPr>
            <w:tcW w:type="dxa" w:w="170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Raw min</w:t>
            </w:r>
          </w:p>
        </w:tc>
        <w:tc>
          <w:tcPr>
            <w:tcW w:type="dxa" w:w="170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Raw median</w:t>
            </w:r>
          </w:p>
        </w:tc>
        <w:tc>
          <w:tcPr>
            <w:tcW w:type="dxa" w:w="170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Raw max</w:t>
            </w:r>
          </w:p>
        </w:tc>
        <w:tc>
          <w:tcPr>
            <w:tcW w:type="dxa" w:w="170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Final handling</w:t>
            </w:r>
          </w:p>
        </w:tc>
      </w:tr>
      <w:tr>
        <w:trPr>
          <w:cantSplit/>
        </w:trPr>
        <w:tc>
          <w:tcPr>
            <w:tcW w:type="dxa" w:w="1707"/>
            <w:vAlign w:val="center"/>
          </w:tcPr>
          <w:p>
            <w:pPr>
              <w:keepLines/>
              <w:spacing w:before="0" w:after="0" w:line="240" w:lineRule="auto"/>
              <w:jc w:val="left"/>
            </w:pPr>
            <w:r>
              <w:rPr>
                <w:rFonts w:ascii="Times New Roman" w:hAnsi="Times New Roman" w:eastAsia="Times New Roman" w:cs="Times New Roman"/>
                <w:color w:val="000000"/>
                <w:sz w:val="13"/>
              </w:rPr>
              <w:t>224639</w:t>
            </w:r>
          </w:p>
        </w:tc>
        <w:tc>
          <w:tcPr>
            <w:tcW w:type="dxa" w:w="1707"/>
            <w:vAlign w:val="center"/>
          </w:tcPr>
          <w:p>
            <w:pPr>
              <w:keepLines/>
              <w:spacing w:before="0" w:after="0" w:line="240" w:lineRule="auto"/>
              <w:jc w:val="left"/>
            </w:pPr>
            <w:r>
              <w:rPr>
                <w:rFonts w:ascii="Times New Roman" w:hAnsi="Times New Roman" w:eastAsia="Times New Roman" w:cs="Times New Roman"/>
                <w:color w:val="000000"/>
                <w:sz w:val="13"/>
              </w:rPr>
              <w:t>Daily Weight</w:t>
            </w:r>
          </w:p>
        </w:tc>
        <w:tc>
          <w:tcPr>
            <w:tcW w:type="dxa" w:w="1707"/>
            <w:vAlign w:val="center"/>
          </w:tcPr>
          <w:p>
            <w:pPr>
              <w:keepLines/>
              <w:spacing w:before="0" w:after="0" w:line="240" w:lineRule="auto"/>
              <w:jc w:val="left"/>
            </w:pPr>
            <w:r>
              <w:rPr>
                <w:rFonts w:ascii="Times New Roman" w:hAnsi="Times New Roman" w:eastAsia="Times New Roman" w:cs="Times New Roman"/>
                <w:color w:val="000000"/>
                <w:sz w:val="13"/>
              </w:rPr>
              <w:t>kg</w:t>
            </w:r>
          </w:p>
        </w:tc>
        <w:tc>
          <w:tcPr>
            <w:tcW w:type="dxa" w:w="1707"/>
            <w:vAlign w:val="center"/>
          </w:tcPr>
          <w:p>
            <w:pPr>
              <w:keepLines/>
              <w:spacing w:before="0" w:after="0" w:line="240" w:lineRule="auto"/>
              <w:jc w:val="center"/>
            </w:pPr>
            <w:r>
              <w:rPr>
                <w:rFonts w:ascii="Times New Roman" w:hAnsi="Times New Roman" w:eastAsia="Times New Roman" w:cs="Times New Roman"/>
                <w:color w:val="000000"/>
                <w:sz w:val="13"/>
              </w:rPr>
              <w:t>31,281</w:t>
            </w:r>
          </w:p>
        </w:tc>
        <w:tc>
          <w:tcPr>
            <w:tcW w:type="dxa" w:w="1707"/>
            <w:vAlign w:val="center"/>
          </w:tcPr>
          <w:p>
            <w:pPr>
              <w:keepLines/>
              <w:spacing w:before="0" w:after="0" w:line="240" w:lineRule="auto"/>
              <w:jc w:val="center"/>
            </w:pPr>
            <w:r>
              <w:rPr>
                <w:rFonts w:ascii="Times New Roman" w:hAnsi="Times New Roman" w:eastAsia="Times New Roman" w:cs="Times New Roman"/>
                <w:color w:val="000000"/>
                <w:sz w:val="13"/>
              </w:rPr>
              <w:t>26,052</w:t>
            </w:r>
          </w:p>
        </w:tc>
        <w:tc>
          <w:tcPr>
            <w:tcW w:type="dxa" w:w="1707"/>
            <w:vAlign w:val="center"/>
          </w:tcPr>
          <w:p>
            <w:pPr>
              <w:keepLines/>
              <w:spacing w:before="0" w:after="0" w:line="240" w:lineRule="auto"/>
              <w:jc w:val="center"/>
            </w:pPr>
            <w:r>
              <w:rPr>
                <w:rFonts w:ascii="Times New Roman" w:hAnsi="Times New Roman" w:eastAsia="Times New Roman" w:cs="Times New Roman"/>
                <w:color w:val="000000"/>
                <w:sz w:val="13"/>
              </w:rPr>
              <w:t>-176.0</w:t>
            </w:r>
          </w:p>
        </w:tc>
        <w:tc>
          <w:tcPr>
            <w:tcW w:type="dxa" w:w="1707"/>
            <w:vAlign w:val="center"/>
          </w:tcPr>
          <w:p>
            <w:pPr>
              <w:keepLines/>
              <w:spacing w:before="0" w:after="0" w:line="240" w:lineRule="auto"/>
              <w:jc w:val="center"/>
            </w:pPr>
            <w:r>
              <w:rPr>
                <w:rFonts w:ascii="Times New Roman" w:hAnsi="Times New Roman" w:eastAsia="Times New Roman" w:cs="Times New Roman"/>
                <w:color w:val="000000"/>
                <w:sz w:val="13"/>
              </w:rPr>
              <w:t>83.0</w:t>
            </w:r>
          </w:p>
        </w:tc>
        <w:tc>
          <w:tcPr>
            <w:tcW w:type="dxa" w:w="1707"/>
            <w:vAlign w:val="center"/>
          </w:tcPr>
          <w:p>
            <w:pPr>
              <w:keepLines/>
              <w:spacing w:before="0" w:after="0" w:line="240" w:lineRule="auto"/>
              <w:jc w:val="center"/>
            </w:pPr>
            <w:r>
              <w:rPr>
                <w:rFonts w:ascii="Times New Roman" w:hAnsi="Times New Roman" w:eastAsia="Times New Roman" w:cs="Times New Roman"/>
                <w:color w:val="000000"/>
                <w:sz w:val="13"/>
              </w:rPr>
              <w:t>813.0</w:t>
            </w:r>
          </w:p>
        </w:tc>
        <w:tc>
          <w:tcPr>
            <w:tcW w:type="dxa" w:w="1707"/>
            <w:vAlign w:val="center"/>
          </w:tcPr>
          <w:p>
            <w:pPr>
              <w:keepLines/>
              <w:spacing w:before="0" w:after="0" w:line="240" w:lineRule="auto"/>
              <w:jc w:val="left"/>
            </w:pPr>
            <w:r>
              <w:rPr>
                <w:rFonts w:ascii="Times New Roman" w:hAnsi="Times New Roman" w:eastAsia="Times New Roman" w:cs="Times New Roman"/>
                <w:color w:val="000000"/>
                <w:sz w:val="13"/>
              </w:rPr>
              <w:t>Included through official weight_durations; kg</w:t>
            </w:r>
          </w:p>
        </w:tc>
      </w:tr>
      <w:tr>
        <w:trPr>
          <w:cantSplit/>
        </w:trPr>
        <w:tc>
          <w:tcPr>
            <w:tcW w:type="dxa" w:w="1707"/>
            <w:vAlign w:val="center"/>
          </w:tcPr>
          <w:p>
            <w:pPr>
              <w:keepLines/>
              <w:spacing w:before="0" w:after="0" w:line="240" w:lineRule="auto"/>
              <w:jc w:val="left"/>
            </w:pPr>
            <w:r>
              <w:rPr>
                <w:rFonts w:ascii="Times New Roman" w:hAnsi="Times New Roman" w:eastAsia="Times New Roman" w:cs="Times New Roman"/>
                <w:color w:val="000000"/>
                <w:sz w:val="13"/>
              </w:rPr>
              <w:t>226512</w:t>
            </w:r>
          </w:p>
        </w:tc>
        <w:tc>
          <w:tcPr>
            <w:tcW w:type="dxa" w:w="1707"/>
            <w:vAlign w:val="center"/>
          </w:tcPr>
          <w:p>
            <w:pPr>
              <w:keepLines/>
              <w:spacing w:before="0" w:after="0" w:line="240" w:lineRule="auto"/>
              <w:jc w:val="left"/>
            </w:pPr>
            <w:r>
              <w:rPr>
                <w:rFonts w:ascii="Times New Roman" w:hAnsi="Times New Roman" w:eastAsia="Times New Roman" w:cs="Times New Roman"/>
                <w:color w:val="000000"/>
                <w:sz w:val="13"/>
              </w:rPr>
              <w:t>Admission Weight (Kg)</w:t>
            </w:r>
          </w:p>
        </w:tc>
        <w:tc>
          <w:tcPr>
            <w:tcW w:type="dxa" w:w="1707"/>
            <w:vAlign w:val="center"/>
          </w:tcPr>
          <w:p>
            <w:pPr>
              <w:keepLines/>
              <w:spacing w:before="0" w:after="0" w:line="240" w:lineRule="auto"/>
              <w:jc w:val="left"/>
            </w:pPr>
            <w:r>
              <w:rPr>
                <w:rFonts w:ascii="Times New Roman" w:hAnsi="Times New Roman" w:eastAsia="Times New Roman" w:cs="Times New Roman"/>
                <w:color w:val="000000"/>
                <w:sz w:val="13"/>
              </w:rPr>
              <w:t>kg</w:t>
            </w:r>
          </w:p>
        </w:tc>
        <w:tc>
          <w:tcPr>
            <w:tcW w:type="dxa" w:w="1707"/>
            <w:vAlign w:val="center"/>
          </w:tcPr>
          <w:p>
            <w:pPr>
              <w:keepLines/>
              <w:spacing w:before="0" w:after="0" w:line="240" w:lineRule="auto"/>
              <w:jc w:val="center"/>
            </w:pPr>
            <w:r>
              <w:rPr>
                <w:rFonts w:ascii="Times New Roman" w:hAnsi="Times New Roman" w:eastAsia="Times New Roman" w:cs="Times New Roman"/>
                <w:color w:val="000000"/>
                <w:sz w:val="13"/>
              </w:rPr>
              <w:t>63,786</w:t>
            </w:r>
          </w:p>
        </w:tc>
        <w:tc>
          <w:tcPr>
            <w:tcW w:type="dxa" w:w="1707"/>
            <w:vAlign w:val="center"/>
          </w:tcPr>
          <w:p>
            <w:pPr>
              <w:keepLines/>
              <w:spacing w:before="0" w:after="0" w:line="240" w:lineRule="auto"/>
              <w:jc w:val="center"/>
            </w:pPr>
            <w:r>
              <w:rPr>
                <w:rFonts w:ascii="Times New Roman" w:hAnsi="Times New Roman" w:eastAsia="Times New Roman" w:cs="Times New Roman"/>
                <w:color w:val="000000"/>
                <w:sz w:val="13"/>
              </w:rPr>
              <w:t>63,786</w:t>
            </w:r>
          </w:p>
        </w:tc>
        <w:tc>
          <w:tcPr>
            <w:tcW w:type="dxa" w:w="1707"/>
            <w:vAlign w:val="center"/>
          </w:tcPr>
          <w:p>
            <w:pPr>
              <w:keepLines/>
              <w:spacing w:before="0" w:after="0" w:line="240" w:lineRule="auto"/>
              <w:jc w:val="center"/>
            </w:pPr>
            <w:r>
              <w:rPr>
                <w:rFonts w:ascii="Times New Roman" w:hAnsi="Times New Roman" w:eastAsia="Times New Roman" w:cs="Times New Roman"/>
                <w:color w:val="000000"/>
                <w:sz w:val="13"/>
              </w:rPr>
              <w:t>1.0</w:t>
            </w:r>
          </w:p>
        </w:tc>
        <w:tc>
          <w:tcPr>
            <w:tcW w:type="dxa" w:w="1707"/>
            <w:vAlign w:val="center"/>
          </w:tcPr>
          <w:p>
            <w:pPr>
              <w:keepLines/>
              <w:spacing w:before="0" w:after="0" w:line="240" w:lineRule="auto"/>
              <w:jc w:val="center"/>
            </w:pPr>
            <w:r>
              <w:rPr>
                <w:rFonts w:ascii="Times New Roman" w:hAnsi="Times New Roman" w:eastAsia="Times New Roman" w:cs="Times New Roman"/>
                <w:color w:val="000000"/>
                <w:sz w:val="13"/>
              </w:rPr>
              <w:t>78.6</w:t>
            </w:r>
          </w:p>
        </w:tc>
        <w:tc>
          <w:tcPr>
            <w:tcW w:type="dxa" w:w="1707"/>
            <w:vAlign w:val="center"/>
          </w:tcPr>
          <w:p>
            <w:pPr>
              <w:keepLines/>
              <w:spacing w:before="0" w:after="0" w:line="240" w:lineRule="auto"/>
              <w:jc w:val="center"/>
            </w:pPr>
            <w:r>
              <w:rPr>
                <w:rFonts w:ascii="Times New Roman" w:hAnsi="Times New Roman" w:eastAsia="Times New Roman" w:cs="Times New Roman"/>
                <w:color w:val="000000"/>
                <w:sz w:val="13"/>
              </w:rPr>
              <w:t>5864.0</w:t>
            </w:r>
          </w:p>
        </w:tc>
        <w:tc>
          <w:tcPr>
            <w:tcW w:type="dxa" w:w="1707"/>
            <w:vAlign w:val="center"/>
          </w:tcPr>
          <w:p>
            <w:pPr>
              <w:keepLines/>
              <w:spacing w:before="0" w:after="0" w:line="240" w:lineRule="auto"/>
              <w:jc w:val="left"/>
            </w:pPr>
            <w:r>
              <w:rPr>
                <w:rFonts w:ascii="Times New Roman" w:hAnsi="Times New Roman" w:eastAsia="Times New Roman" w:cs="Times New Roman"/>
                <w:color w:val="000000"/>
                <w:sz w:val="13"/>
              </w:rPr>
              <w:t>Included through official weight_durations; kg</w:t>
            </w:r>
          </w:p>
        </w:tc>
      </w:tr>
      <w:tr>
        <w:trPr>
          <w:cantSplit/>
        </w:trPr>
        <w:tc>
          <w:tcPr>
            <w:tcW w:type="dxa" w:w="1707"/>
            <w:vAlign w:val="center"/>
          </w:tcPr>
          <w:p>
            <w:pPr>
              <w:keepLines/>
              <w:spacing w:before="0" w:after="0" w:line="240" w:lineRule="auto"/>
              <w:jc w:val="left"/>
            </w:pPr>
            <w:r>
              <w:rPr>
                <w:rFonts w:ascii="Times New Roman" w:hAnsi="Times New Roman" w:eastAsia="Times New Roman" w:cs="Times New Roman"/>
                <w:color w:val="000000"/>
                <w:sz w:val="13"/>
              </w:rPr>
              <w:t>226531</w:t>
            </w:r>
          </w:p>
        </w:tc>
        <w:tc>
          <w:tcPr>
            <w:tcW w:type="dxa" w:w="1707"/>
            <w:vAlign w:val="center"/>
          </w:tcPr>
          <w:p>
            <w:pPr>
              <w:keepLines/>
              <w:spacing w:before="0" w:after="0" w:line="240" w:lineRule="auto"/>
              <w:jc w:val="left"/>
            </w:pPr>
            <w:r>
              <w:rPr>
                <w:rFonts w:ascii="Times New Roman" w:hAnsi="Times New Roman" w:eastAsia="Times New Roman" w:cs="Times New Roman"/>
                <w:color w:val="000000"/>
                <w:sz w:val="13"/>
              </w:rPr>
              <w:t>Admission Weight (lbs.)</w:t>
            </w:r>
          </w:p>
        </w:tc>
        <w:tc>
          <w:tcPr>
            <w:tcW w:type="dxa" w:w="1707"/>
            <w:vAlign w:val="center"/>
          </w:tcPr>
          <w:p>
            <w:pPr>
              <w:keepLines/>
              <w:spacing w:before="0" w:after="0" w:line="240" w:lineRule="auto"/>
              <w:jc w:val="left"/>
            </w:pPr>
            <w:r>
              <w:rPr>
                <w:rFonts w:ascii="Times New Roman" w:hAnsi="Times New Roman" w:eastAsia="Times New Roman" w:cs="Times New Roman"/>
                <w:color w:val="000000"/>
                <w:sz w:val="13"/>
              </w:rPr>
              <w:t>[missing]</w:t>
            </w:r>
          </w:p>
        </w:tc>
        <w:tc>
          <w:tcPr>
            <w:tcW w:type="dxa" w:w="1707"/>
            <w:vAlign w:val="center"/>
          </w:tcPr>
          <w:p>
            <w:pPr>
              <w:keepLines/>
              <w:spacing w:before="0" w:after="0" w:line="240" w:lineRule="auto"/>
              <w:jc w:val="center"/>
            </w:pPr>
            <w:r>
              <w:rPr>
                <w:rFonts w:ascii="Times New Roman" w:hAnsi="Times New Roman" w:eastAsia="Times New Roman" w:cs="Times New Roman"/>
                <w:color w:val="000000"/>
                <w:sz w:val="13"/>
              </w:rPr>
              <w:t>67,840</w:t>
            </w:r>
          </w:p>
        </w:tc>
        <w:tc>
          <w:tcPr>
            <w:tcW w:type="dxa" w:w="1707"/>
            <w:vAlign w:val="center"/>
          </w:tcPr>
          <w:p>
            <w:pPr>
              <w:keepLines/>
              <w:spacing w:before="0" w:after="0" w:line="240" w:lineRule="auto"/>
              <w:jc w:val="center"/>
            </w:pPr>
            <w:r>
              <w:rPr>
                <w:rFonts w:ascii="Times New Roman" w:hAnsi="Times New Roman" w:eastAsia="Times New Roman" w:cs="Times New Roman"/>
                <w:color w:val="000000"/>
                <w:sz w:val="13"/>
              </w:rPr>
              <w:t>45,175</w:t>
            </w:r>
          </w:p>
        </w:tc>
        <w:tc>
          <w:tcPr>
            <w:tcW w:type="dxa" w:w="1707"/>
            <w:vAlign w:val="center"/>
          </w:tcPr>
          <w:p>
            <w:pPr>
              <w:keepLines/>
              <w:spacing w:before="0" w:after="0" w:line="240" w:lineRule="auto"/>
              <w:jc w:val="center"/>
            </w:pPr>
            <w:r>
              <w:rPr>
                <w:rFonts w:ascii="Times New Roman" w:hAnsi="Times New Roman" w:eastAsia="Times New Roman" w:cs="Times New Roman"/>
                <w:color w:val="000000"/>
                <w:sz w:val="13"/>
              </w:rPr>
              <w:t>0.0</w:t>
            </w:r>
          </w:p>
        </w:tc>
        <w:tc>
          <w:tcPr>
            <w:tcW w:type="dxa" w:w="1707"/>
            <w:vAlign w:val="center"/>
          </w:tcPr>
          <w:p>
            <w:pPr>
              <w:keepLines/>
              <w:spacing w:before="0" w:after="0" w:line="240" w:lineRule="auto"/>
              <w:jc w:val="center"/>
            </w:pPr>
            <w:r>
              <w:rPr>
                <w:rFonts w:ascii="Times New Roman" w:hAnsi="Times New Roman" w:eastAsia="Times New Roman" w:cs="Times New Roman"/>
                <w:color w:val="000000"/>
                <w:sz w:val="13"/>
              </w:rPr>
              <w:t>173.8</w:t>
            </w:r>
          </w:p>
        </w:tc>
        <w:tc>
          <w:tcPr>
            <w:tcW w:type="dxa" w:w="1707"/>
            <w:vAlign w:val="center"/>
          </w:tcPr>
          <w:p>
            <w:pPr>
              <w:keepLines/>
              <w:spacing w:before="0" w:after="0" w:line="240" w:lineRule="auto"/>
              <w:jc w:val="center"/>
            </w:pPr>
            <w:r>
              <w:rPr>
                <w:rFonts w:ascii="Times New Roman" w:hAnsi="Times New Roman" w:eastAsia="Times New Roman" w:cs="Times New Roman"/>
                <w:color w:val="000000"/>
                <w:sz w:val="13"/>
              </w:rPr>
              <w:t>31039.8</w:t>
            </w:r>
          </w:p>
        </w:tc>
        <w:tc>
          <w:tcPr>
            <w:tcW w:type="dxa" w:w="1707"/>
            <w:vAlign w:val="center"/>
          </w:tcPr>
          <w:p>
            <w:pPr>
              <w:keepLines/>
              <w:spacing w:before="0" w:after="0" w:line="240" w:lineRule="auto"/>
              <w:jc w:val="left"/>
            </w:pPr>
            <w:r>
              <w:rPr>
                <w:rFonts w:ascii="Times New Roman" w:hAnsi="Times New Roman" w:eastAsia="Times New Roman" w:cs="Times New Roman"/>
                <w:color w:val="000000"/>
                <w:sz w:val="13"/>
              </w:rPr>
              <w:t>Excluded; label denotes pounds but raw unit is missing</w:t>
            </w:r>
          </w:p>
        </w:tc>
      </w:tr>
    </w:tbl>
    <w:p>
      <w:pPr>
        <w:spacing w:before="0" w:after="0" w:line="480" w:lineRule="auto"/>
        <w:jc w:val="left"/>
      </w:pPr>
    </w:p>
    <w:p>
      <w:pPr>
        <w:spacing w:before="0" w:after="0" w:line="480" w:lineRule="auto"/>
        <w:jc w:val="left"/>
      </w:pPr>
      <w:r>
        <w:rPr>
          <w:rFonts w:ascii="Times New Roman" w:hAnsi="Times New Roman" w:eastAsia="Times New Roman" w:cs="Times New Roman"/>
          <w:color w:val="000000"/>
          <w:sz w:val="24"/>
        </w:rPr>
        <w:t>The official concept contained admission and daily duration records in kilograms. Admission weight covered 2,231 patients, and daily weight covered 226 of the 2,457 patients in the final landmark cohort. Complete conversion-rule strata and aggregate audit outputs are supplied as source data; patient-level source data are not included.</w:t>
      </w:r>
    </w:p>
    <w:p>
      <w:pPr>
        <w:keepNext/>
        <w:keepLines/>
        <w:spacing w:before="0" w:after="20" w:line="240" w:lineRule="auto"/>
        <w:jc w:val="left"/>
      </w:pPr>
      <w:r>
        <w:rPr>
          <w:rFonts w:ascii="Times New Roman" w:hAnsi="Times New Roman" w:eastAsia="Times New Roman" w:cs="Times New Roman"/>
          <w:b/>
          <w:color w:val="000000"/>
          <w:sz w:val="18"/>
        </w:rPr>
        <w:t>Supplementary Table S7. Candidate-variable harmonization, MIMIC-only RFE stability, and final predictor decision.</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2561"/>
        <w:gridCol w:w="2561"/>
        <w:gridCol w:w="2561"/>
        <w:gridCol w:w="2561"/>
        <w:gridCol w:w="2561"/>
        <w:gridCol w:w="2561"/>
      </w:tblGrid>
      <w:tr>
        <w:trPr>
          <w:tblHeader w:val="true"/>
          <w:cantSplit/>
        </w:trPr>
        <w:tc>
          <w:tcPr>
            <w:tcW w:type="dxa" w:w="2561"/>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8"/>
              </w:rPr>
              <w:t>Candidate</w:t>
            </w:r>
          </w:p>
        </w:tc>
        <w:tc>
          <w:tcPr>
            <w:tcW w:type="dxa" w:w="256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MIMIC train missing</w:t>
            </w:r>
          </w:p>
        </w:tc>
        <w:tc>
          <w:tcPr>
            <w:tcW w:type="dxa" w:w="256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eICU availability missing</w:t>
            </w:r>
          </w:p>
        </w:tc>
        <w:tc>
          <w:tcPr>
            <w:tcW w:type="dxa" w:w="256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Availability-screen decision</w:t>
            </w:r>
          </w:p>
        </w:tc>
        <w:tc>
          <w:tcPr>
            <w:tcW w:type="dxa" w:w="256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MIMIC RFE frequency</w:t>
            </w:r>
          </w:p>
        </w:tc>
        <w:tc>
          <w:tcPr>
            <w:tcW w:type="dxa" w:w="256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Final decision</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age</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sex_male</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weight_kg</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aki3_by_creatinine</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aki3_by_urine_output</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time_to_aki3_hours</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baseline_creatinine</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43.8%</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33.1%</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sofa_score</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6.3%</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2/5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2/5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mechanical_ventilation_0_24h</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vasoactive_drug_0_24h</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ned_log1p</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sepsis_by24</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heart_rate_min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6.4%</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heart_rate_max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6.4%</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5/5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Retained: selected in 5/5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map_min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6.4%</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61.6%</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map_max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6.4%</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61.6%</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sbp_min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6.4%</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61.7%</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sbp_max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6.4%</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61.7%</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dbp_min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6.4%</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61.6%</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dbp_max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6.4%</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61.6%</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temperature_c_min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10.6%</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83.0%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temperature_c_max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10.6%</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83.0%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eICU-CRD availability missingness &gt;50%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urine_volume_ml_0_24h</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5/5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Retained: selected in 5/5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fluid_balance_ml_0_24h</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creatinine_min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0.9%</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1.6%</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5/5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Retained: selected in 5/5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creatinine_max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0.9%</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1.6%</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5/5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Retained: selected in 5/5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bun_min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0.9%</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5/5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Retained: selected in 5/5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bun_max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0.9%</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5/5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Retained: selected in 5/5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potassium_min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0.8%</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5/5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Retained: selected in 5/5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potassium_max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0.8%</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1/5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1/5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bicarbonate_min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0.9%</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2.4%</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bicarbonate_max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0.9%</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2.4%</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ph_min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32.1%</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55.0%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ph_max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32.1%</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55.0%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paco2_min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32.1%</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53.8%</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paco2_max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32.1%</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53.8%</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pao2_min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32.1%</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53.6%</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pao2_max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32.1%</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53.6%</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pafi_min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45.5%</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66.3%</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lactate_min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38.3%</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66.3%</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lactate_max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38.3%</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66.3%</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platelet_min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1.5%</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5/5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Retained: selected in 5/5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platelet_max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1.5%</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6.0%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5/5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Retained: selected in 5/5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hemoglobin_min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1.6%</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4.9%</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hemoglobin_max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1.6%</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4.9%</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wbc_min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1.5%</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5.5%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0/5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0/5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wbc_max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1.5%</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5.5%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Eligible for MIMIC-IV RFE</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2/5</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retained: selected in 2/5 MIMIC-IV RFE analyses</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bilirubin_min</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40.1%</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50.6%</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r>
      <w:tr>
        <w:trPr>
          <w:cantSplit/>
        </w:trPr>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bilirubin_max</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40.1%</w:t>
            </w:r>
          </w:p>
        </w:tc>
        <w:tc>
          <w:tcPr>
            <w:tcW w:type="dxa" w:w="2561"/>
            <w:vAlign w:val="center"/>
          </w:tcPr>
          <w:p>
            <w:pPr>
              <w:keepLines/>
              <w:spacing w:before="0" w:after="0" w:line="240" w:lineRule="auto"/>
              <w:jc w:val="center"/>
            </w:pPr>
            <w:r>
              <w:rPr>
                <w:rFonts w:ascii="Times New Roman" w:hAnsi="Times New Roman" w:eastAsia="Times New Roman" w:cs="Times New Roman"/>
                <w:color w:val="000000"/>
                <w:sz w:val="18"/>
              </w:rPr>
              <w:t>50.6%</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Not evaluated</w:t>
            </w:r>
          </w:p>
        </w:tc>
        <w:tc>
          <w:tcPr>
            <w:tcW w:type="dxa" w:w="2561"/>
            <w:vAlign w:val="center"/>
          </w:tcPr>
          <w:p>
            <w:pPr>
              <w:keepLines/>
              <w:spacing w:before="0" w:after="0" w:line="240" w:lineRule="auto"/>
              <w:jc w:val="left"/>
            </w:pPr>
            <w:r>
              <w:rPr>
                <w:rFonts w:ascii="Times New Roman" w:hAnsi="Times New Roman" w:eastAsia="Times New Roman" w:cs="Times New Roman"/>
                <w:color w:val="000000"/>
                <w:sz w:val="18"/>
              </w:rPr>
              <w:t>Excluded: MIMIC-IV training missingness &gt;30%</w:t>
            </w:r>
          </w:p>
        </w:tc>
      </w:tr>
    </w:tbl>
    <w:p>
      <w:pPr>
        <w:spacing w:before="0" w:after="0" w:line="480" w:lineRule="auto"/>
        <w:jc w:val="left"/>
      </w:pPr>
    </w:p>
    <w:p>
      <w:pPr>
        <w:keepNext/>
        <w:keepLines/>
        <w:spacing w:before="0" w:after="20" w:line="240" w:lineRule="auto"/>
        <w:jc w:val="left"/>
      </w:pPr>
      <w:r>
        <w:rPr>
          <w:rFonts w:ascii="Times New Roman" w:hAnsi="Times New Roman" w:eastAsia="Times New Roman" w:cs="Times New Roman"/>
          <w:b/>
          <w:color w:val="000000"/>
          <w:sz w:val="18"/>
        </w:rPr>
        <w:t>Supplementary Table S8. Final averaged-probability performance for the primary outcome.</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1397"/>
        <w:gridCol w:w="1397"/>
        <w:gridCol w:w="1397"/>
        <w:gridCol w:w="1397"/>
        <w:gridCol w:w="1397"/>
        <w:gridCol w:w="1397"/>
        <w:gridCol w:w="1397"/>
        <w:gridCol w:w="1397"/>
        <w:gridCol w:w="1397"/>
        <w:gridCol w:w="1397"/>
        <w:gridCol w:w="1397"/>
      </w:tblGrid>
      <w:tr>
        <w:trPr>
          <w:tblHeader w:val="true"/>
          <w:cantSplit/>
        </w:trPr>
        <w:tc>
          <w:tcPr>
            <w:tcW w:type="dxa" w:w="1397"/>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3"/>
              </w:rPr>
              <w:t>Model</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Dataset</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N</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Events</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AUROC (95% CI)</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AUPRC (95% CI)</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Brier</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Mean risk</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Intercept</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Slope</w:t>
            </w:r>
          </w:p>
        </w:tc>
        <w:tc>
          <w:tcPr>
            <w:tcW w:type="dxa" w:w="1397"/>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3"/>
              </w:rPr>
              <w:t>Scaled Brier</w:t>
            </w:r>
          </w:p>
        </w:tc>
      </w:tr>
      <w:tr>
        <w:trPr>
          <w:cantSplit/>
        </w:trPr>
        <w:tc>
          <w:tcPr>
            <w:tcW w:type="dxa" w:w="1397"/>
            <w:vAlign w:val="center"/>
          </w:tcPr>
          <w:p>
            <w:pPr>
              <w:keepLines/>
              <w:spacing w:before="0" w:after="0" w:line="240" w:lineRule="auto"/>
              <w:jc w:val="left"/>
            </w:pPr>
            <w:r>
              <w:rPr>
                <w:rFonts w:ascii="Times New Roman" w:hAnsi="Times New Roman" w:eastAsia="Times New Roman" w:cs="Times New Roman"/>
                <w:color w:val="000000"/>
                <w:sz w:val="13"/>
              </w:rPr>
              <w:t>ExtraTrees</w:t>
            </w:r>
          </w:p>
        </w:tc>
        <w:tc>
          <w:tcPr>
            <w:tcW w:type="dxa" w:w="1397"/>
            <w:vAlign w:val="center"/>
          </w:tcPr>
          <w:p>
            <w:pPr>
              <w:keepLines/>
              <w:spacing w:before="0" w:after="0" w:line="240" w:lineRule="auto"/>
              <w:jc w:val="left"/>
            </w:pPr>
            <w:r>
              <w:rPr>
                <w:rFonts w:ascii="Times New Roman" w:hAnsi="Times New Roman" w:eastAsia="Times New Roman" w:cs="Times New Roman"/>
                <w:color w:val="000000"/>
                <w:sz w:val="13"/>
              </w:rPr>
              <w:t>MIMIC internal</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738</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71</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0.790 (0.738–0.838)</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0.287 (0.209–0.395)</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0.078</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0.093</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0.16</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1.06</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0.107</w:t>
            </w:r>
          </w:p>
        </w:tc>
      </w:tr>
      <w:tr>
        <w:trPr>
          <w:cantSplit/>
        </w:trPr>
        <w:tc>
          <w:tcPr>
            <w:tcW w:type="dxa" w:w="1397"/>
            <w:vAlign w:val="center"/>
          </w:tcPr>
          <w:p>
            <w:pPr>
              <w:keepLines/>
              <w:spacing w:before="0" w:after="0" w:line="240" w:lineRule="auto"/>
              <w:jc w:val="left"/>
            </w:pPr>
            <w:r>
              <w:rPr>
                <w:rFonts w:ascii="Times New Roman" w:hAnsi="Times New Roman" w:eastAsia="Times New Roman" w:cs="Times New Roman"/>
                <w:color w:val="000000"/>
                <w:sz w:val="13"/>
              </w:rPr>
              <w:t>ExtraTrees</w:t>
            </w:r>
          </w:p>
        </w:tc>
        <w:tc>
          <w:tcPr>
            <w:tcW w:type="dxa" w:w="1397"/>
            <w:vAlign w:val="center"/>
          </w:tcPr>
          <w:p>
            <w:pPr>
              <w:keepLines/>
              <w:spacing w:before="0" w:after="0" w:line="240" w:lineRule="auto"/>
              <w:jc w:val="left"/>
            </w:pPr>
            <w:r>
              <w:rPr>
                <w:rFonts w:ascii="Times New Roman" w:hAnsi="Times New Roman" w:eastAsia="Times New Roman" w:cs="Times New Roman"/>
                <w:color w:val="000000"/>
                <w:sz w:val="13"/>
              </w:rPr>
              <w:t>eICU external</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3228</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145</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0.719 (0.673–0.762)</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0.139 (0.101–0.200)</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0.054</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0.128</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-1.54</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0.80</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-0.257</w:t>
            </w:r>
          </w:p>
        </w:tc>
      </w:tr>
      <w:tr>
        <w:trPr>
          <w:cantSplit/>
        </w:trPr>
        <w:tc>
          <w:tcPr>
            <w:tcW w:type="dxa" w:w="1397"/>
            <w:vAlign w:val="center"/>
          </w:tcPr>
          <w:p>
            <w:pPr>
              <w:keepLines/>
              <w:spacing w:before="0" w:after="0" w:line="240" w:lineRule="auto"/>
              <w:jc w:val="left"/>
            </w:pPr>
            <w:r>
              <w:rPr>
                <w:rFonts w:ascii="Times New Roman" w:hAnsi="Times New Roman" w:eastAsia="Times New Roman" w:cs="Times New Roman"/>
                <w:color w:val="000000"/>
                <w:sz w:val="13"/>
              </w:rPr>
              <w:t>Gradient Boosting</w:t>
            </w:r>
          </w:p>
        </w:tc>
        <w:tc>
          <w:tcPr>
            <w:tcW w:type="dxa" w:w="1397"/>
            <w:vAlign w:val="center"/>
          </w:tcPr>
          <w:p>
            <w:pPr>
              <w:keepLines/>
              <w:spacing w:before="0" w:after="0" w:line="240" w:lineRule="auto"/>
              <w:jc w:val="left"/>
            </w:pPr>
            <w:r>
              <w:rPr>
                <w:rFonts w:ascii="Times New Roman" w:hAnsi="Times New Roman" w:eastAsia="Times New Roman" w:cs="Times New Roman"/>
                <w:color w:val="000000"/>
                <w:sz w:val="13"/>
              </w:rPr>
              <w:t>MIMIC internal</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738</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71</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0.778 (0.725–0.828)</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0.279 (0.203–0.386)</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0.079</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0.090</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0.11</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1.02</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0.091</w:t>
            </w:r>
          </w:p>
        </w:tc>
      </w:tr>
      <w:tr>
        <w:trPr>
          <w:cantSplit/>
        </w:trPr>
        <w:tc>
          <w:tcPr>
            <w:tcW w:type="dxa" w:w="1397"/>
            <w:vAlign w:val="center"/>
          </w:tcPr>
          <w:p>
            <w:pPr>
              <w:keepLines/>
              <w:spacing w:before="0" w:after="0" w:line="240" w:lineRule="auto"/>
              <w:jc w:val="left"/>
            </w:pPr>
            <w:r>
              <w:rPr>
                <w:rFonts w:ascii="Times New Roman" w:hAnsi="Times New Roman" w:eastAsia="Times New Roman" w:cs="Times New Roman"/>
                <w:color w:val="000000"/>
                <w:sz w:val="13"/>
              </w:rPr>
              <w:t>Gradient Boosting</w:t>
            </w:r>
          </w:p>
        </w:tc>
        <w:tc>
          <w:tcPr>
            <w:tcW w:type="dxa" w:w="1397"/>
            <w:vAlign w:val="center"/>
          </w:tcPr>
          <w:p>
            <w:pPr>
              <w:keepLines/>
              <w:spacing w:before="0" w:after="0" w:line="240" w:lineRule="auto"/>
              <w:jc w:val="left"/>
            </w:pPr>
            <w:r>
              <w:rPr>
                <w:rFonts w:ascii="Times New Roman" w:hAnsi="Times New Roman" w:eastAsia="Times New Roman" w:cs="Times New Roman"/>
                <w:color w:val="000000"/>
                <w:sz w:val="13"/>
              </w:rPr>
              <w:t>eICU external</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3228</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145</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0.721 (0.673–0.762)</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0.131 (0.097–0.184)</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0.053</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0.118</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-1.53</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0.77</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-0.224</w:t>
            </w:r>
          </w:p>
        </w:tc>
      </w:tr>
      <w:tr>
        <w:trPr>
          <w:cantSplit/>
        </w:trPr>
        <w:tc>
          <w:tcPr>
            <w:tcW w:type="dxa" w:w="1397"/>
            <w:vAlign w:val="center"/>
          </w:tcPr>
          <w:p>
            <w:pPr>
              <w:keepLines/>
              <w:spacing w:before="0" w:after="0" w:line="240" w:lineRule="auto"/>
              <w:jc w:val="left"/>
            </w:pPr>
            <w:r>
              <w:rPr>
                <w:rFonts w:ascii="Times New Roman" w:hAnsi="Times New Roman" w:eastAsia="Times New Roman" w:cs="Times New Roman"/>
                <w:color w:val="000000"/>
                <w:sz w:val="13"/>
              </w:rPr>
              <w:t>L2 logistic</w:t>
            </w:r>
          </w:p>
        </w:tc>
        <w:tc>
          <w:tcPr>
            <w:tcW w:type="dxa" w:w="1397"/>
            <w:vAlign w:val="center"/>
          </w:tcPr>
          <w:p>
            <w:pPr>
              <w:keepLines/>
              <w:spacing w:before="0" w:after="0" w:line="240" w:lineRule="auto"/>
              <w:jc w:val="left"/>
            </w:pPr>
            <w:r>
              <w:rPr>
                <w:rFonts w:ascii="Times New Roman" w:hAnsi="Times New Roman" w:eastAsia="Times New Roman" w:cs="Times New Roman"/>
                <w:color w:val="000000"/>
                <w:sz w:val="13"/>
              </w:rPr>
              <w:t>MIMIC internal</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738</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71</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0.780 (0.726–0.831)</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0.299 (0.216–0.404)</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0.078</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0.091</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0.12</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1.03</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0.106</w:t>
            </w:r>
          </w:p>
        </w:tc>
      </w:tr>
      <w:tr>
        <w:trPr>
          <w:cantSplit/>
        </w:trPr>
        <w:tc>
          <w:tcPr>
            <w:tcW w:type="dxa" w:w="1397"/>
            <w:vAlign w:val="center"/>
          </w:tcPr>
          <w:p>
            <w:pPr>
              <w:keepLines/>
              <w:spacing w:before="0" w:after="0" w:line="240" w:lineRule="auto"/>
              <w:jc w:val="left"/>
            </w:pPr>
            <w:r>
              <w:rPr>
                <w:rFonts w:ascii="Times New Roman" w:hAnsi="Times New Roman" w:eastAsia="Times New Roman" w:cs="Times New Roman"/>
                <w:color w:val="000000"/>
                <w:sz w:val="13"/>
              </w:rPr>
              <w:t>L2 logistic</w:t>
            </w:r>
          </w:p>
        </w:tc>
        <w:tc>
          <w:tcPr>
            <w:tcW w:type="dxa" w:w="1397"/>
            <w:vAlign w:val="center"/>
          </w:tcPr>
          <w:p>
            <w:pPr>
              <w:keepLines/>
              <w:spacing w:before="0" w:after="0" w:line="240" w:lineRule="auto"/>
              <w:jc w:val="left"/>
            </w:pPr>
            <w:r>
              <w:rPr>
                <w:rFonts w:ascii="Times New Roman" w:hAnsi="Times New Roman" w:eastAsia="Times New Roman" w:cs="Times New Roman"/>
                <w:color w:val="000000"/>
                <w:sz w:val="13"/>
              </w:rPr>
              <w:t>eICU external</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3228</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145</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0.744 (0.701–0.782)</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0.125 (0.099–0.164)</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0.053</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0.129</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-1.36</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0.92</w:t>
            </w:r>
          </w:p>
        </w:tc>
        <w:tc>
          <w:tcPr>
            <w:tcW w:type="dxa" w:w="1397"/>
            <w:vAlign w:val="center"/>
          </w:tcPr>
          <w:p>
            <w:pPr>
              <w:keepLines/>
              <w:spacing w:before="0" w:after="0" w:line="240" w:lineRule="auto"/>
              <w:jc w:val="center"/>
            </w:pPr>
            <w:r>
              <w:rPr>
                <w:rFonts w:ascii="Times New Roman" w:hAnsi="Times New Roman" w:eastAsia="Times New Roman" w:cs="Times New Roman"/>
                <w:color w:val="000000"/>
                <w:sz w:val="13"/>
              </w:rPr>
              <w:t>-0.225</w:t>
            </w:r>
          </w:p>
        </w:tc>
      </w:tr>
    </w:tbl>
    <w:p>
      <w:pPr>
        <w:spacing w:before="0" w:after="0" w:line="480" w:lineRule="auto"/>
        <w:jc w:val="left"/>
      </w:pPr>
    </w:p>
    <w:p>
      <w:pPr>
        <w:keepNext/>
        <w:keepLines/>
        <w:spacing w:before="0" w:after="20" w:line="240" w:lineRule="auto"/>
        <w:jc w:val="left"/>
      </w:pPr>
      <w:r>
        <w:rPr>
          <w:rFonts w:ascii="Times New Roman" w:hAnsi="Times New Roman" w:eastAsia="Times New Roman" w:cs="Times New Roman"/>
          <w:b/>
          <w:color w:val="000000"/>
          <w:sz w:val="18"/>
        </w:rPr>
        <w:t>Supplementary Table S9. Threshold performance for Gradient Boosting.</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2195"/>
        <w:gridCol w:w="2195"/>
        <w:gridCol w:w="2195"/>
        <w:gridCol w:w="2195"/>
        <w:gridCol w:w="2195"/>
        <w:gridCol w:w="2195"/>
        <w:gridCol w:w="2195"/>
      </w:tblGrid>
      <w:tr>
        <w:trPr>
          <w:tblHeader w:val="true"/>
          <w:cantSplit/>
        </w:trPr>
        <w:tc>
          <w:tcPr>
            <w:tcW w:type="dxa" w:w="2195"/>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8"/>
              </w:rPr>
              <w:t>Dataset</w:t>
            </w:r>
          </w:p>
        </w:tc>
        <w:tc>
          <w:tcPr>
            <w:tcW w:type="dxa" w:w="2195"/>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Threshold</w:t>
            </w:r>
          </w:p>
        </w:tc>
        <w:tc>
          <w:tcPr>
            <w:tcW w:type="dxa" w:w="2195"/>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Sensitivity</w:t>
            </w:r>
          </w:p>
        </w:tc>
        <w:tc>
          <w:tcPr>
            <w:tcW w:type="dxa" w:w="2195"/>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Specificity</w:t>
            </w:r>
          </w:p>
        </w:tc>
        <w:tc>
          <w:tcPr>
            <w:tcW w:type="dxa" w:w="2195"/>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PPV</w:t>
            </w:r>
          </w:p>
        </w:tc>
        <w:tc>
          <w:tcPr>
            <w:tcW w:type="dxa" w:w="2195"/>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NPV</w:t>
            </w:r>
          </w:p>
        </w:tc>
        <w:tc>
          <w:tcPr>
            <w:tcW w:type="dxa" w:w="2195"/>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Predicted positive</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5%</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0.873</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0.474</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0.150</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0.972</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413</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10%</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0.606</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0.799</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0.243</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0.950</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177</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15%</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0.394</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0.909</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0.315</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0.934</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89</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20%</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0.254</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0.945</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0.327</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0.922</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55</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30%</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0.169</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0.976</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0.429</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0.917</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28</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5%</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0.917</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0.264</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0.055</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0.985</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2403</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10%</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0.697</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0.640</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0.083</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0.978</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1211</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15%</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0.490</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0.809</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0.108</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0.971</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659</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20%</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0.352</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0.891</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0.131</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0.967</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388</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30%</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0.214</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0.941</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0.146</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0.962</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212</w:t>
            </w:r>
          </w:p>
        </w:tc>
      </w:tr>
    </w:tbl>
    <w:p>
      <w:pPr>
        <w:spacing w:before="0" w:after="0" w:line="480" w:lineRule="auto"/>
        <w:jc w:val="left"/>
      </w:pPr>
    </w:p>
    <w:p>
      <w:pPr>
        <w:keepNext/>
        <w:keepLines/>
        <w:spacing w:before="0" w:after="20" w:line="240" w:lineRule="auto"/>
        <w:jc w:val="left"/>
      </w:pPr>
      <w:r>
        <w:rPr>
          <w:rFonts w:ascii="Times New Roman" w:hAnsi="Times New Roman" w:eastAsia="Times New Roman" w:cs="Times New Roman"/>
          <w:b/>
          <w:color w:val="000000"/>
          <w:sz w:val="18"/>
        </w:rPr>
        <w:t>Supplementary Table S10. Sensitivity-analysis performance for Gradient Boosting.</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2195"/>
        <w:gridCol w:w="2195"/>
        <w:gridCol w:w="2195"/>
        <w:gridCol w:w="2195"/>
        <w:gridCol w:w="2195"/>
        <w:gridCol w:w="2195"/>
        <w:gridCol w:w="2195"/>
      </w:tblGrid>
      <w:tr>
        <w:trPr>
          <w:tblHeader w:val="true"/>
          <w:cantSplit/>
        </w:trPr>
        <w:tc>
          <w:tcPr>
            <w:tcW w:type="dxa" w:w="2195"/>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8"/>
              </w:rPr>
              <w:t>Analysis</w:t>
            </w:r>
          </w:p>
        </w:tc>
        <w:tc>
          <w:tcPr>
            <w:tcW w:type="dxa" w:w="2195"/>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Dataset</w:t>
            </w:r>
          </w:p>
        </w:tc>
        <w:tc>
          <w:tcPr>
            <w:tcW w:type="dxa" w:w="2195"/>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Events/N</w:t>
            </w:r>
          </w:p>
        </w:tc>
        <w:tc>
          <w:tcPr>
            <w:tcW w:type="dxa" w:w="2195"/>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AUROC</w:t>
            </w:r>
          </w:p>
        </w:tc>
        <w:tc>
          <w:tcPr>
            <w:tcW w:type="dxa" w:w="2195"/>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AUPRC</w:t>
            </w:r>
          </w:p>
        </w:tc>
        <w:tc>
          <w:tcPr>
            <w:tcW w:type="dxa" w:w="2195"/>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Brier</w:t>
            </w:r>
          </w:p>
        </w:tc>
        <w:tc>
          <w:tcPr>
            <w:tcW w:type="dxa" w:w="2195"/>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Scaled Brier</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Non-BUN</w:t>
            </w:r>
          </w:p>
        </w:tc>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56/738</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0.710</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0.179</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0.067</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0.040</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Non-BUN</w:t>
            </w:r>
          </w:p>
        </w:tc>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89/3,228</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0.696</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0.063</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0.030</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−0.127</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Composite or RRT</w:t>
            </w:r>
          </w:p>
        </w:tc>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112/738</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0.828</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0.456</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0.105</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0.186</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Composite or RRT</w:t>
            </w:r>
          </w:p>
        </w:tc>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365/3,228</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0.739</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0.254</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0.103</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−0.029</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Complete ascertainment</w:t>
            </w:r>
          </w:p>
        </w:tc>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47/262</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0.769</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0.487</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0.134</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0.087</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Complete ascertainment</w:t>
            </w:r>
          </w:p>
        </w:tc>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44/493</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0.687</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0.325</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0.073</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0.097</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Composite or death (conservative alternative)</w:t>
            </w:r>
          </w:p>
        </w:tc>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110/738</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0.753</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0.375</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0.112</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0.118</w:t>
            </w:r>
          </w:p>
        </w:tc>
      </w:tr>
      <w:tr>
        <w:trPr>
          <w:cantSplit/>
        </w:trPr>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Composite or death (conservative alternative)</w:t>
            </w:r>
          </w:p>
        </w:tc>
        <w:tc>
          <w:tcPr>
            <w:tcW w:type="dxa" w:w="2195"/>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361/3,228</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0.691</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0.238</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0.105</w:t>
            </w:r>
          </w:p>
        </w:tc>
        <w:tc>
          <w:tcPr>
            <w:tcW w:type="dxa" w:w="2195"/>
            <w:vAlign w:val="center"/>
          </w:tcPr>
          <w:p>
            <w:pPr>
              <w:keepLines/>
              <w:spacing w:before="0" w:after="0" w:line="240" w:lineRule="auto"/>
              <w:jc w:val="center"/>
            </w:pPr>
            <w:r>
              <w:rPr>
                <w:rFonts w:ascii="Times New Roman" w:hAnsi="Times New Roman" w:eastAsia="Times New Roman" w:cs="Times New Roman"/>
                <w:color w:val="000000"/>
                <w:sz w:val="18"/>
              </w:rPr>
              <w:t>-0.054</w:t>
            </w:r>
          </w:p>
        </w:tc>
      </w:tr>
    </w:tbl>
    <w:p>
      <w:pPr>
        <w:spacing w:before="0" w:after="0" w:line="480" w:lineRule="auto"/>
        <w:jc w:val="left"/>
      </w:pPr>
    </w:p>
    <w:p>
      <w:pPr>
        <w:spacing w:before="0" w:after="0" w:line="480" w:lineRule="auto"/>
        <w:jc w:val="left"/>
      </w:pPr>
      <w:r>
        <w:rPr>
          <w:rFonts w:ascii="Times New Roman" w:hAnsi="Times New Roman" w:eastAsia="Times New Roman" w:cs="Times New Roman"/>
          <w:color w:val="000000"/>
          <w:sz w:val="24"/>
        </w:rPr>
        <w:br w:type="page"/>
      </w:r>
    </w:p>
    <w:p>
      <w:pPr>
        <w:keepNext/>
        <w:keepLines/>
        <w:spacing w:before="0" w:after="20" w:line="240" w:lineRule="auto"/>
        <w:jc w:val="left"/>
      </w:pPr>
      <w:r>
        <w:rPr>
          <w:rFonts w:ascii="Times New Roman" w:hAnsi="Times New Roman" w:eastAsia="Times New Roman" w:cs="Times New Roman"/>
          <w:b/>
          <w:color w:val="000000"/>
          <w:sz w:val="18"/>
        </w:rPr>
        <w:t>Supplementary Table S11. Mutually exclusive post-landmark event-order states.</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5121"/>
        <w:gridCol w:w="5121"/>
        <w:gridCol w:w="5121"/>
      </w:tblGrid>
      <w:tr>
        <w:trPr>
          <w:tblHeader w:val="true"/>
          <w:cantSplit/>
        </w:trPr>
        <w:tc>
          <w:tcPr>
            <w:tcW w:type="dxa" w:w="5121"/>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8"/>
              </w:rPr>
              <w:t>Cohort</w:t>
            </w:r>
          </w:p>
        </w:tc>
        <w:tc>
          <w:tcPr>
            <w:tcW w:type="dxa" w:w="512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First state</w:t>
            </w:r>
          </w:p>
        </w:tc>
        <w:tc>
          <w:tcPr>
            <w:tcW w:type="dxa" w:w="5121"/>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n</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actual_rrt_first</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155</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death_first</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163</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discharged_before_72h_without_recorded_event</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614</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event_free_through_72h</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1325</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MIMIC-IV</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operational_composite_first</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200</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actual_rrt_first</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230</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death_first</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208</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discharged_before_72h_without_recorded_event</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1082</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event_free_through_72h</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1573</w:t>
            </w:r>
          </w:p>
        </w:tc>
      </w:tr>
      <w:tr>
        <w:trPr>
          <w:cantSplit/>
        </w:trPr>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eICU-CRD</w:t>
            </w:r>
          </w:p>
        </w:tc>
        <w:tc>
          <w:tcPr>
            <w:tcW w:type="dxa" w:w="5121"/>
            <w:vAlign w:val="center"/>
          </w:tcPr>
          <w:p>
            <w:pPr>
              <w:keepLines/>
              <w:spacing w:before="0" w:after="0" w:line="240" w:lineRule="auto"/>
              <w:jc w:val="left"/>
            </w:pPr>
            <w:r>
              <w:rPr>
                <w:rFonts w:ascii="Times New Roman" w:hAnsi="Times New Roman" w:eastAsia="Times New Roman" w:cs="Times New Roman"/>
                <w:color w:val="000000"/>
                <w:sz w:val="18"/>
              </w:rPr>
              <w:t>operational_composite_first</w:t>
            </w:r>
          </w:p>
        </w:tc>
        <w:tc>
          <w:tcPr>
            <w:tcW w:type="dxa" w:w="5121"/>
            <w:vAlign w:val="center"/>
          </w:tcPr>
          <w:p>
            <w:pPr>
              <w:keepLines/>
              <w:spacing w:before="0" w:after="0" w:line="240" w:lineRule="auto"/>
              <w:jc w:val="center"/>
            </w:pPr>
            <w:r>
              <w:rPr>
                <w:rFonts w:ascii="Times New Roman" w:hAnsi="Times New Roman" w:eastAsia="Times New Roman" w:cs="Times New Roman"/>
                <w:color w:val="000000"/>
                <w:sz w:val="18"/>
              </w:rPr>
              <w:t>135</w:t>
            </w:r>
          </w:p>
        </w:tc>
      </w:tr>
    </w:tbl>
    <w:p>
      <w:pPr>
        <w:spacing w:before="0" w:after="0" w:line="480" w:lineRule="auto"/>
        <w:jc w:val="left"/>
      </w:pPr>
    </w:p>
    <w:p>
      <w:pPr>
        <w:keepNext/>
        <w:keepLines/>
        <w:spacing w:before="0" w:after="20" w:line="240" w:lineRule="auto"/>
        <w:jc w:val="left"/>
      </w:pPr>
      <w:r>
        <w:rPr>
          <w:rFonts w:ascii="Times New Roman" w:hAnsi="Times New Roman" w:eastAsia="Times New Roman" w:cs="Times New Roman"/>
          <w:b/>
          <w:color w:val="000000"/>
          <w:sz w:val="18"/>
        </w:rPr>
        <w:t>Supplementary Table S12a. Characteristics according to post-landmark actual RRT.</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3073"/>
        <w:gridCol w:w="3073"/>
        <w:gridCol w:w="3073"/>
        <w:gridCol w:w="3073"/>
        <w:gridCol w:w="3073"/>
      </w:tblGrid>
      <w:tr>
        <w:trPr>
          <w:tblHeader w:val="true"/>
          <w:cantSplit/>
        </w:trPr>
        <w:tc>
          <w:tcPr>
            <w:tcW w:type="dxa" w:w="3073"/>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8"/>
              </w:rPr>
              <w:t>Characteristic</w:t>
            </w:r>
          </w:p>
        </w:tc>
        <w:tc>
          <w:tcPr>
            <w:tcW w:type="dxa" w:w="3073"/>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MIMIC: no RRT</w:t>
            </w:r>
          </w:p>
        </w:tc>
        <w:tc>
          <w:tcPr>
            <w:tcW w:type="dxa" w:w="3073"/>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MIMIC: RRT</w:t>
            </w:r>
          </w:p>
        </w:tc>
        <w:tc>
          <w:tcPr>
            <w:tcW w:type="dxa" w:w="3073"/>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eICU: no RRT</w:t>
            </w:r>
          </w:p>
        </w:tc>
        <w:tc>
          <w:tcPr>
            <w:tcW w:type="dxa" w:w="3073"/>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eICU: RRT</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N</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2,257</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200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2,987</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241</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Age, years</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64.0 (53.0–76.0)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58.0 (42.8–68.0)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65.0 (54.0–75.0)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62.0 (53.0–71.0)</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Male sex</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1116 (49.4%)</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118 (59.0%)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1700 (56.9%)</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148 (61.4%)</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Body weight, kg</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86.2 (71.8–104.9)</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89.3 (72.0–107.0)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87.5 (71.8–107.0)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92.4 (75.9–114.3)</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SOFA score</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8.0 (5.0–11.0)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12.0 (9.0–14.0)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5.0 (3.0–7.0)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8.0 (5.0–10.0)</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Mechanical ventilation [0,24)</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1233 (54.6%)</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140 (70.0%)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1402 (46.9%)</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149 (61.8%)</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Vasoactive drug [0,24)</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840 (37.2%)</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88 (44.0%)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425 (14.2%)</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35 (14.5%)</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Urine volume [0,24), mL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910 (480–1595)</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216 (68–523)</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670 (76–1445)</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98 (0–398)</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Maximum creatinine, mg/dL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1.80 (1.00–3.20)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4.50 (3.40–5.30)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3.83 (1.54–4.82)</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4.77 (4.00–5.92)</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Maximum BUN, mg/dL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36.0 (21.5–56.0)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55.0 (41.0–75.0)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50.0 (29.0–70.0)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60.0 (47.0–76.0)</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Primary operational composite</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155 (6.9%)</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83 (41.5%)</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124 (4.2%)</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21 (8.7%)</w:t>
            </w:r>
          </w:p>
        </w:tc>
      </w:tr>
    </w:tbl>
    <w:p>
      <w:pPr>
        <w:spacing w:before="0" w:after="0" w:line="480" w:lineRule="auto"/>
        <w:jc w:val="left"/>
      </w:pPr>
    </w:p>
    <w:p>
      <w:pPr>
        <w:keepNext/>
        <w:keepLines/>
        <w:spacing w:before="0" w:after="20" w:line="240" w:lineRule="auto"/>
        <w:jc w:val="left"/>
      </w:pPr>
      <w:r>
        <w:rPr>
          <w:rFonts w:ascii="Times New Roman" w:hAnsi="Times New Roman" w:eastAsia="Times New Roman" w:cs="Times New Roman"/>
          <w:b/>
          <w:color w:val="000000"/>
          <w:sz w:val="18"/>
        </w:rPr>
        <w:t>Supplementary Table S12b. Timing, available structured criteria, and primary-model predicted risk among post-landmark RRT patients.</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1182"/>
        <w:gridCol w:w="1182"/>
        <w:gridCol w:w="1182"/>
        <w:gridCol w:w="1182"/>
        <w:gridCol w:w="1182"/>
        <w:gridCol w:w="1182"/>
        <w:gridCol w:w="1182"/>
        <w:gridCol w:w="1182"/>
        <w:gridCol w:w="1182"/>
        <w:gridCol w:w="1182"/>
        <w:gridCol w:w="1182"/>
        <w:gridCol w:w="1182"/>
        <w:gridCol w:w="1182"/>
      </w:tblGrid>
      <w:tr>
        <w:trPr>
          <w:tblHeader w:val="true"/>
          <w:cantSplit/>
        </w:trPr>
        <w:tc>
          <w:tcPr>
            <w:tcW w:type="dxa" w:w="1182"/>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2"/>
              </w:rPr>
              <w:t>Cohort</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RRT n</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Hours to RRT</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Any composite</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K</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Acidosis</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Fluid/PF</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BUN</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Criterion after RRT</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Criterion before/at RRT</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No recorded criterion</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Risk-evaluation set</w:t>
            </w:r>
          </w:p>
        </w:tc>
        <w:tc>
          <w:tcPr>
            <w:tcW w:type="dxa" w:w="1182"/>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2"/>
              </w:rPr>
              <w:t>Predicted risk</w:t>
            </w:r>
          </w:p>
        </w:tc>
      </w:tr>
      <w:tr>
        <w:trPr>
          <w:cantSplit/>
        </w:trPr>
        <w:tc>
          <w:tcPr>
            <w:tcW w:type="dxa" w:w="1182"/>
            <w:vAlign w:val="center"/>
          </w:tcPr>
          <w:p>
            <w:pPr>
              <w:keepLines/>
              <w:spacing w:before="0" w:after="0" w:line="240" w:lineRule="auto"/>
              <w:jc w:val="left"/>
            </w:pPr>
            <w:r>
              <w:rPr>
                <w:rFonts w:ascii="Times New Roman" w:hAnsi="Times New Roman" w:eastAsia="Times New Roman" w:cs="Times New Roman"/>
                <w:color w:val="000000"/>
                <w:sz w:val="12"/>
              </w:rPr>
              <w:t>MIMIC-IV</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200</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20.5 (12.2–33.9)</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83</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15</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15</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54</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17</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38</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45</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117</w:t>
            </w:r>
          </w:p>
        </w:tc>
        <w:tc>
          <w:tcPr>
            <w:tcW w:type="dxa" w:w="1182"/>
            <w:vAlign w:val="center"/>
          </w:tcPr>
          <w:p>
            <w:pPr>
              <w:keepLines/>
              <w:spacing w:before="0" w:after="0" w:line="240" w:lineRule="auto"/>
              <w:jc w:val="left"/>
            </w:pPr>
            <w:r>
              <w:rPr>
                <w:rFonts w:ascii="Times New Roman" w:hAnsi="Times New Roman" w:eastAsia="Times New Roman" w:cs="Times New Roman"/>
                <w:color w:val="000000"/>
                <w:sz w:val="12"/>
              </w:rPr>
              <w:t>5-fold cross-fitted full cohort: n=200</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0.142 (0.104–0.219)</w:t>
            </w:r>
          </w:p>
        </w:tc>
      </w:tr>
      <w:tr>
        <w:trPr>
          <w:cantSplit/>
        </w:trPr>
        <w:tc>
          <w:tcPr>
            <w:tcW w:type="dxa" w:w="1182"/>
            <w:vAlign w:val="center"/>
          </w:tcPr>
          <w:p>
            <w:pPr>
              <w:keepLines/>
              <w:spacing w:before="0" w:after="0" w:line="240" w:lineRule="auto"/>
              <w:jc w:val="left"/>
            </w:pPr>
            <w:r>
              <w:rPr>
                <w:rFonts w:ascii="Times New Roman" w:hAnsi="Times New Roman" w:eastAsia="Times New Roman" w:cs="Times New Roman"/>
                <w:color w:val="000000"/>
                <w:sz w:val="12"/>
              </w:rPr>
              <w:t>eICU-CRD</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241</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17.1 (8.1–32.3)</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21</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6</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8</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5</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4</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10</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11</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220</w:t>
            </w:r>
          </w:p>
        </w:tc>
        <w:tc>
          <w:tcPr>
            <w:tcW w:type="dxa" w:w="1182"/>
            <w:vAlign w:val="center"/>
          </w:tcPr>
          <w:p>
            <w:pPr>
              <w:keepLines/>
              <w:spacing w:before="0" w:after="0" w:line="240" w:lineRule="auto"/>
              <w:jc w:val="left"/>
            </w:pPr>
            <w:r>
              <w:rPr>
                <w:rFonts w:ascii="Times New Roman" w:hAnsi="Times New Roman" w:eastAsia="Times New Roman" w:cs="Times New Roman"/>
                <w:color w:val="000000"/>
                <w:sz w:val="12"/>
              </w:rPr>
              <w:t>Full external cohort: n=241</w:t>
            </w:r>
          </w:p>
        </w:tc>
        <w:tc>
          <w:tcPr>
            <w:tcW w:type="dxa" w:w="1182"/>
            <w:vAlign w:val="center"/>
          </w:tcPr>
          <w:p>
            <w:pPr>
              <w:keepLines/>
              <w:spacing w:before="0" w:after="0" w:line="240" w:lineRule="auto"/>
              <w:jc w:val="center"/>
            </w:pPr>
            <w:r>
              <w:rPr>
                <w:rFonts w:ascii="Times New Roman" w:hAnsi="Times New Roman" w:eastAsia="Times New Roman" w:cs="Times New Roman"/>
                <w:color w:val="000000"/>
                <w:sz w:val="12"/>
              </w:rPr>
              <w:t>0.116 (0.083–0.181)</w:t>
            </w:r>
          </w:p>
        </w:tc>
      </w:tr>
    </w:tbl>
    <w:p>
      <w:pPr>
        <w:spacing w:before="0" w:after="0" w:line="480" w:lineRule="auto"/>
        <w:jc w:val="left"/>
      </w:pPr>
    </w:p>
    <w:p>
      <w:pPr>
        <w:spacing w:before="0" w:after="0" w:line="480" w:lineRule="auto"/>
        <w:jc w:val="left"/>
      </w:pPr>
      <w:r>
        <w:rPr>
          <w:rFonts w:ascii="Times New Roman" w:hAnsi="Times New Roman" w:eastAsia="Times New Roman" w:cs="Times New Roman"/>
          <w:color w:val="000000"/>
          <w:sz w:val="24"/>
        </w:rPr>
        <w:t>Predicted-risk summaries use Gradient Boosting probabilities averaged across five imputation-specific models. For MIMIC-IV, every patient was predicted using five-fold cross-fitting: each validation fold used an imputer, winsorisation limits, and model fitted without that fold, with hyperparameters locked from the original development analysis. eICU summaries use the full external cohort. Characteristics and structured-criterion counts use each full landmark cohort. 'Criterion after RRT' is the requested count of patients in whom a recorded operational criterion first appeared after treatment initiation.</w:t>
      </w:r>
    </w:p>
    <w:p>
      <w:pPr>
        <w:keepNext/>
        <w:keepLines/>
        <w:spacing w:before="0" w:after="20" w:line="240" w:lineRule="auto"/>
        <w:jc w:val="left"/>
      </w:pPr>
      <w:r>
        <w:rPr>
          <w:rFonts w:ascii="Times New Roman" w:hAnsi="Times New Roman" w:eastAsia="Times New Roman" w:cs="Times New Roman"/>
          <w:b/>
          <w:color w:val="000000"/>
          <w:sz w:val="18"/>
        </w:rPr>
        <w:t>Supplementary Table S13. Variation across the five imputation-specific Gradient Boosting models.</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1920"/>
        <w:gridCol w:w="1920"/>
        <w:gridCol w:w="1920"/>
        <w:gridCol w:w="1920"/>
        <w:gridCol w:w="1920"/>
        <w:gridCol w:w="1920"/>
        <w:gridCol w:w="1920"/>
        <w:gridCol w:w="1920"/>
      </w:tblGrid>
      <w:tr>
        <w:trPr>
          <w:tblHeader w:val="true"/>
          <w:cantSplit/>
        </w:trPr>
        <w:tc>
          <w:tcPr>
            <w:tcW w:type="dxa" w:w="1920"/>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8"/>
              </w:rPr>
              <w:t>Dataset</w:t>
            </w:r>
          </w:p>
        </w:tc>
        <w:tc>
          <w:tcPr>
            <w:tcW w:type="dxa" w:w="1920"/>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Models</w:t>
            </w:r>
          </w:p>
        </w:tc>
        <w:tc>
          <w:tcPr>
            <w:tcW w:type="dxa" w:w="1920"/>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AUROC range</w:t>
            </w:r>
          </w:p>
        </w:tc>
        <w:tc>
          <w:tcPr>
            <w:tcW w:type="dxa" w:w="1920"/>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AUPRC range</w:t>
            </w:r>
          </w:p>
        </w:tc>
        <w:tc>
          <w:tcPr>
            <w:tcW w:type="dxa" w:w="1920"/>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Brier range</w:t>
            </w:r>
          </w:p>
        </w:tc>
        <w:tc>
          <w:tcPr>
            <w:tcW w:type="dxa" w:w="1920"/>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Mean-risk range</w:t>
            </w:r>
          </w:p>
        </w:tc>
        <w:tc>
          <w:tcPr>
            <w:tcW w:type="dxa" w:w="1920"/>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Intercept range</w:t>
            </w:r>
          </w:p>
        </w:tc>
        <w:tc>
          <w:tcPr>
            <w:tcW w:type="dxa" w:w="1920"/>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Slope range</w:t>
            </w:r>
          </w:p>
        </w:tc>
      </w:tr>
      <w:tr>
        <w:trPr>
          <w:cantSplit/>
        </w:trPr>
        <w:tc>
          <w:tcPr>
            <w:tcW w:type="dxa" w:w="1920"/>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1920"/>
            <w:vAlign w:val="center"/>
          </w:tcPr>
          <w:p>
            <w:pPr>
              <w:keepLines/>
              <w:spacing w:before="0" w:after="0" w:line="240" w:lineRule="auto"/>
              <w:jc w:val="center"/>
            </w:pPr>
            <w:r>
              <w:rPr>
                <w:rFonts w:ascii="Times New Roman" w:hAnsi="Times New Roman" w:eastAsia="Times New Roman" w:cs="Times New Roman"/>
                <w:color w:val="000000"/>
                <w:sz w:val="18"/>
              </w:rPr>
              <w:t>5</w:t>
            </w:r>
          </w:p>
        </w:tc>
        <w:tc>
          <w:tcPr>
            <w:tcW w:type="dxa" w:w="1920"/>
            <w:vAlign w:val="center"/>
          </w:tcPr>
          <w:p>
            <w:pPr>
              <w:keepLines/>
              <w:spacing w:before="0" w:after="0" w:line="240" w:lineRule="auto"/>
              <w:jc w:val="center"/>
            </w:pPr>
            <w:r>
              <w:rPr>
                <w:rFonts w:ascii="Times New Roman" w:hAnsi="Times New Roman" w:eastAsia="Times New Roman" w:cs="Times New Roman"/>
                <w:color w:val="000000"/>
                <w:sz w:val="18"/>
              </w:rPr>
              <w:t>0.768–0.779</w:t>
            </w:r>
          </w:p>
        </w:tc>
        <w:tc>
          <w:tcPr>
            <w:tcW w:type="dxa" w:w="1920"/>
            <w:vAlign w:val="center"/>
          </w:tcPr>
          <w:p>
            <w:pPr>
              <w:keepLines/>
              <w:spacing w:before="0" w:after="0" w:line="240" w:lineRule="auto"/>
              <w:jc w:val="center"/>
            </w:pPr>
            <w:r>
              <w:rPr>
                <w:rFonts w:ascii="Times New Roman" w:hAnsi="Times New Roman" w:eastAsia="Times New Roman" w:cs="Times New Roman"/>
                <w:color w:val="000000"/>
                <w:sz w:val="18"/>
              </w:rPr>
              <w:t>0.272–0.286</w:t>
            </w:r>
          </w:p>
        </w:tc>
        <w:tc>
          <w:tcPr>
            <w:tcW w:type="dxa" w:w="1920"/>
            <w:vAlign w:val="center"/>
          </w:tcPr>
          <w:p>
            <w:pPr>
              <w:keepLines/>
              <w:spacing w:before="0" w:after="0" w:line="240" w:lineRule="auto"/>
              <w:jc w:val="center"/>
            </w:pPr>
            <w:r>
              <w:rPr>
                <w:rFonts w:ascii="Times New Roman" w:hAnsi="Times New Roman" w:eastAsia="Times New Roman" w:cs="Times New Roman"/>
                <w:color w:val="000000"/>
                <w:sz w:val="18"/>
              </w:rPr>
              <w:t>0.078–0.080</w:t>
            </w:r>
          </w:p>
        </w:tc>
        <w:tc>
          <w:tcPr>
            <w:tcW w:type="dxa" w:w="1920"/>
            <w:vAlign w:val="center"/>
          </w:tcPr>
          <w:p>
            <w:pPr>
              <w:keepLines/>
              <w:spacing w:before="0" w:after="0" w:line="240" w:lineRule="auto"/>
              <w:jc w:val="center"/>
            </w:pPr>
            <w:r>
              <w:rPr>
                <w:rFonts w:ascii="Times New Roman" w:hAnsi="Times New Roman" w:eastAsia="Times New Roman" w:cs="Times New Roman"/>
                <w:color w:val="000000"/>
                <w:sz w:val="18"/>
              </w:rPr>
              <w:t>0.089–0.092</w:t>
            </w:r>
          </w:p>
        </w:tc>
        <w:tc>
          <w:tcPr>
            <w:tcW w:type="dxa" w:w="1920"/>
            <w:vAlign w:val="center"/>
          </w:tcPr>
          <w:p>
            <w:pPr>
              <w:keepLines/>
              <w:spacing w:before="0" w:after="0" w:line="240" w:lineRule="auto"/>
              <w:jc w:val="center"/>
            </w:pPr>
            <w:r>
              <w:rPr>
                <w:rFonts w:ascii="Times New Roman" w:hAnsi="Times New Roman" w:eastAsia="Times New Roman" w:cs="Times New Roman"/>
                <w:color w:val="000000"/>
                <w:sz w:val="18"/>
              </w:rPr>
              <w:t>-0.25–0.28</w:t>
            </w:r>
          </w:p>
        </w:tc>
        <w:tc>
          <w:tcPr>
            <w:tcW w:type="dxa" w:w="1920"/>
            <w:vAlign w:val="center"/>
          </w:tcPr>
          <w:p>
            <w:pPr>
              <w:keepLines/>
              <w:spacing w:before="0" w:after="0" w:line="240" w:lineRule="auto"/>
              <w:jc w:val="center"/>
            </w:pPr>
            <w:r>
              <w:rPr>
                <w:rFonts w:ascii="Times New Roman" w:hAnsi="Times New Roman" w:eastAsia="Times New Roman" w:cs="Times New Roman"/>
                <w:color w:val="000000"/>
                <w:sz w:val="18"/>
              </w:rPr>
              <w:t>0.83–1.10</w:t>
            </w:r>
          </w:p>
        </w:tc>
      </w:tr>
      <w:tr>
        <w:trPr>
          <w:cantSplit/>
        </w:trPr>
        <w:tc>
          <w:tcPr>
            <w:tcW w:type="dxa" w:w="1920"/>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1920"/>
            <w:vAlign w:val="center"/>
          </w:tcPr>
          <w:p>
            <w:pPr>
              <w:keepLines/>
              <w:spacing w:before="0" w:after="0" w:line="240" w:lineRule="auto"/>
              <w:jc w:val="center"/>
            </w:pPr>
            <w:r>
              <w:rPr>
                <w:rFonts w:ascii="Times New Roman" w:hAnsi="Times New Roman" w:eastAsia="Times New Roman" w:cs="Times New Roman"/>
                <w:color w:val="000000"/>
                <w:sz w:val="18"/>
              </w:rPr>
              <w:t>5</w:t>
            </w:r>
          </w:p>
        </w:tc>
        <w:tc>
          <w:tcPr>
            <w:tcW w:type="dxa" w:w="1920"/>
            <w:vAlign w:val="center"/>
          </w:tcPr>
          <w:p>
            <w:pPr>
              <w:keepLines/>
              <w:spacing w:before="0" w:after="0" w:line="240" w:lineRule="auto"/>
              <w:jc w:val="center"/>
            </w:pPr>
            <w:r>
              <w:rPr>
                <w:rFonts w:ascii="Times New Roman" w:hAnsi="Times New Roman" w:eastAsia="Times New Roman" w:cs="Times New Roman"/>
                <w:color w:val="000000"/>
                <w:sz w:val="18"/>
              </w:rPr>
              <w:t>0.707–0.728</w:t>
            </w:r>
          </w:p>
        </w:tc>
        <w:tc>
          <w:tcPr>
            <w:tcW w:type="dxa" w:w="1920"/>
            <w:vAlign w:val="center"/>
          </w:tcPr>
          <w:p>
            <w:pPr>
              <w:keepLines/>
              <w:spacing w:before="0" w:after="0" w:line="240" w:lineRule="auto"/>
              <w:jc w:val="center"/>
            </w:pPr>
            <w:r>
              <w:rPr>
                <w:rFonts w:ascii="Times New Roman" w:hAnsi="Times New Roman" w:eastAsia="Times New Roman" w:cs="Times New Roman"/>
                <w:color w:val="000000"/>
                <w:sz w:val="18"/>
              </w:rPr>
              <w:t>0.119–0.133</w:t>
            </w:r>
          </w:p>
        </w:tc>
        <w:tc>
          <w:tcPr>
            <w:tcW w:type="dxa" w:w="1920"/>
            <w:vAlign w:val="center"/>
          </w:tcPr>
          <w:p>
            <w:pPr>
              <w:keepLines/>
              <w:spacing w:before="0" w:after="0" w:line="240" w:lineRule="auto"/>
              <w:jc w:val="center"/>
            </w:pPr>
            <w:r>
              <w:rPr>
                <w:rFonts w:ascii="Times New Roman" w:hAnsi="Times New Roman" w:eastAsia="Times New Roman" w:cs="Times New Roman"/>
                <w:color w:val="000000"/>
                <w:sz w:val="18"/>
              </w:rPr>
              <w:t>0.051–0.057</w:t>
            </w:r>
          </w:p>
        </w:tc>
        <w:tc>
          <w:tcPr>
            <w:tcW w:type="dxa" w:w="1920"/>
            <w:vAlign w:val="center"/>
          </w:tcPr>
          <w:p>
            <w:pPr>
              <w:keepLines/>
              <w:spacing w:before="0" w:after="0" w:line="240" w:lineRule="auto"/>
              <w:jc w:val="center"/>
            </w:pPr>
            <w:r>
              <w:rPr>
                <w:rFonts w:ascii="Times New Roman" w:hAnsi="Times New Roman" w:eastAsia="Times New Roman" w:cs="Times New Roman"/>
                <w:color w:val="000000"/>
                <w:sz w:val="18"/>
              </w:rPr>
              <w:t>0.116–0.121</w:t>
            </w:r>
          </w:p>
        </w:tc>
        <w:tc>
          <w:tcPr>
            <w:tcW w:type="dxa" w:w="1920"/>
            <w:vAlign w:val="center"/>
          </w:tcPr>
          <w:p>
            <w:pPr>
              <w:keepLines/>
              <w:spacing w:before="0" w:after="0" w:line="240" w:lineRule="auto"/>
              <w:jc w:val="center"/>
            </w:pPr>
            <w:r>
              <w:rPr>
                <w:rFonts w:ascii="Times New Roman" w:hAnsi="Times New Roman" w:eastAsia="Times New Roman" w:cs="Times New Roman"/>
                <w:color w:val="000000"/>
                <w:sz w:val="18"/>
              </w:rPr>
              <w:t>-1.77–-1.44</w:t>
            </w:r>
          </w:p>
        </w:tc>
        <w:tc>
          <w:tcPr>
            <w:tcW w:type="dxa" w:w="1920"/>
            <w:vAlign w:val="center"/>
          </w:tcPr>
          <w:p>
            <w:pPr>
              <w:keepLines/>
              <w:spacing w:before="0" w:after="0" w:line="240" w:lineRule="auto"/>
              <w:jc w:val="center"/>
            </w:pPr>
            <w:r>
              <w:rPr>
                <w:rFonts w:ascii="Times New Roman" w:hAnsi="Times New Roman" w:eastAsia="Times New Roman" w:cs="Times New Roman"/>
                <w:color w:val="000000"/>
                <w:sz w:val="18"/>
              </w:rPr>
              <w:t>0.62–0.82</w:t>
            </w:r>
          </w:p>
        </w:tc>
      </w:tr>
    </w:tbl>
    <w:p>
      <w:pPr>
        <w:spacing w:before="0" w:after="0" w:line="480" w:lineRule="auto"/>
        <w:jc w:val="left"/>
      </w:pPr>
    </w:p>
    <w:p>
      <w:pPr>
        <w:spacing w:before="0" w:after="0" w:line="480" w:lineRule="auto"/>
        <w:jc w:val="left"/>
      </w:pPr>
      <w:r>
        <w:rPr>
          <w:rFonts w:ascii="Times New Roman" w:hAnsi="Times New Roman" w:eastAsia="Times New Roman" w:cs="Times New Roman"/>
          <w:color w:val="000000"/>
          <w:sz w:val="24"/>
        </w:rPr>
        <w:t>Primary confidence intervals were obtained by patient-level bootstrap of the final probability averaged across the five imputation-specific models. These intervals quantify patient-sampling uncertainty for the deployed combined prediction. The ranges above describe, but do not constitute Rubin-rule pooling of, between-imputation performance variation.</w:t>
      </w:r>
    </w:p>
    <w:p>
      <w:pPr>
        <w:keepNext/>
        <w:keepLines/>
        <w:spacing w:before="0" w:after="20" w:line="240" w:lineRule="auto"/>
        <w:jc w:val="left"/>
      </w:pPr>
      <w:r>
        <w:rPr>
          <w:rFonts w:ascii="Times New Roman" w:hAnsi="Times New Roman" w:eastAsia="Times New Roman" w:cs="Times New Roman"/>
          <w:b/>
          <w:color w:val="000000"/>
          <w:sz w:val="18"/>
        </w:rPr>
        <w:t>Supplementary Table S14. SHAP contribution ranking for the nine-predictor Gradient Boosting model.</w:t>
      </w:r>
    </w:p>
    <w:tbl>
      <w:tblPr>
        <w:tblW w:type="pct" w:w="5000"/>
        <w:jc w:val="center"/>
        <w:tblLayout w:type="autofit"/>
        <w:tblLook w:firstColumn="1" w:firstRow="1" w:lastColumn="0" w:lastRow="0" w:noHBand="0" w:noVBand="1" w:val="04A0"/>
        <w:tblBorders>
          <w:top w:val="single" w:sz="8" w:color="000000"/>
          <w:bottom w:val="single" w:sz="8" w:color="000000"/>
          <w:left w:val="nil"/>
          <w:right w:val="nil"/>
          <w:insideH w:val="nil"/>
          <w:insideV w:val="nil"/>
        </w:tblBorders>
      </w:tblPr>
      <w:tblGrid>
        <w:gridCol w:w="3073"/>
        <w:gridCol w:w="3073"/>
        <w:gridCol w:w="3073"/>
        <w:gridCol w:w="3073"/>
        <w:gridCol w:w="3073"/>
      </w:tblGrid>
      <w:tr>
        <w:trPr>
          <w:tblHeader w:val="true"/>
          <w:cantSplit/>
        </w:trPr>
        <w:tc>
          <w:tcPr>
            <w:tcW w:type="dxa" w:w="3073"/>
            <w:vAlign w:val="center"/>
            <w:tcBorders>
              <w:bottom w:val="single" w:sz="8" w:color="000000"/>
            </w:tcBorders>
          </w:tcPr>
          <w:p>
            <w:pPr>
              <w:keepLines/>
              <w:spacing w:before="0" w:after="0" w:line="240" w:lineRule="auto"/>
              <w:jc w:val="left"/>
            </w:pPr>
            <w:r>
              <w:rPr>
                <w:rFonts w:ascii="Times New Roman" w:hAnsi="Times New Roman" w:eastAsia="Times New Roman" w:cs="Times New Roman"/>
                <w:b/>
                <w:color w:val="000000"/>
                <w:sz w:val="18"/>
              </w:rPr>
              <w:t>Dataset</w:t>
            </w:r>
          </w:p>
        </w:tc>
        <w:tc>
          <w:tcPr>
            <w:tcW w:type="dxa" w:w="3073"/>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Within-dataset rank</w:t>
            </w:r>
          </w:p>
        </w:tc>
        <w:tc>
          <w:tcPr>
            <w:tcW w:type="dxa" w:w="3073"/>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Predictor</w:t>
            </w:r>
          </w:p>
        </w:tc>
        <w:tc>
          <w:tcPr>
            <w:tcW w:type="dxa" w:w="3073"/>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Mean absolute SHAP</w:t>
            </w:r>
          </w:p>
        </w:tc>
        <w:tc>
          <w:tcPr>
            <w:tcW w:type="dxa" w:w="3073"/>
            <w:vAlign w:val="center"/>
            <w:tcBorders>
              <w:bottom w:val="single" w:sz="8" w:color="000000"/>
            </w:tcBorders>
          </w:tcPr>
          <w:p>
            <w:pPr>
              <w:keepLines/>
              <w:spacing w:before="0" w:after="0" w:line="240" w:lineRule="auto"/>
              <w:jc w:val="center"/>
            </w:pPr>
            <w:r>
              <w:rPr>
                <w:rFonts w:ascii="Times New Roman" w:hAnsi="Times New Roman" w:eastAsia="Times New Roman" w:cs="Times New Roman"/>
                <w:b/>
                <w:color w:val="000000"/>
                <w:sz w:val="18"/>
              </w:rPr>
              <w:t>Shared figure order</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Maximum BUN</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0.284</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2</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Urine output, 0–24 h</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0.265</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2</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3</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Maximum creatinine</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0.135</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4</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4</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Minimum potassium</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0.128</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3</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5</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Minimum platelet count</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0.116</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5</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6</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Maximum heart rate</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0.094</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6</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7</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Minimum creatinine</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0.069</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7</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8</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Maximum platelet count</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0.037</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8</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MIMIC internal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9</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Minimum BUN</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0.024</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9</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Maximum BUN</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0.370</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1</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2</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Urine output, 0–24 h</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0.244</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2</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3</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Minimum potassium</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0.157</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3</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4</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Maximum creatinine</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0.149</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4</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5</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Maximum heart rate</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0.108</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6</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6</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Minimum platelet count</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0.104</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5</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7</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Minimum creatinine</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0.069</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7</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8</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Maximum platelet count</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0.042</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8</w:t>
            </w:r>
          </w:p>
        </w:tc>
      </w:tr>
      <w:tr>
        <w:trPr>
          <w:cantSplit/>
        </w:trPr>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eICU external</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9</w:t>
            </w:r>
          </w:p>
        </w:tc>
        <w:tc>
          <w:tcPr>
            <w:tcW w:type="dxa" w:w="3073"/>
            <w:vAlign w:val="center"/>
          </w:tcPr>
          <w:p>
            <w:pPr>
              <w:keepLines/>
              <w:spacing w:before="0" w:after="0" w:line="240" w:lineRule="auto"/>
              <w:jc w:val="left"/>
            </w:pPr>
            <w:r>
              <w:rPr>
                <w:rFonts w:ascii="Times New Roman" w:hAnsi="Times New Roman" w:eastAsia="Times New Roman" w:cs="Times New Roman"/>
                <w:color w:val="000000"/>
                <w:sz w:val="18"/>
              </w:rPr>
              <w:t>Minimum BUN</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0.025</w:t>
            </w:r>
          </w:p>
        </w:tc>
        <w:tc>
          <w:tcPr>
            <w:tcW w:type="dxa" w:w="3073"/>
            <w:vAlign w:val="center"/>
          </w:tcPr>
          <w:p>
            <w:pPr>
              <w:keepLines/>
              <w:spacing w:before="0" w:after="0" w:line="240" w:lineRule="auto"/>
              <w:jc w:val="center"/>
            </w:pPr>
            <w:r>
              <w:rPr>
                <w:rFonts w:ascii="Times New Roman" w:hAnsi="Times New Roman" w:eastAsia="Times New Roman" w:cs="Times New Roman"/>
                <w:color w:val="000000"/>
                <w:sz w:val="18"/>
              </w:rPr>
              <w:t>9</w:t>
            </w:r>
          </w:p>
        </w:tc>
      </w:tr>
    </w:tbl>
    <w:p>
      <w:pPr>
        <w:spacing w:before="0" w:after="0" w:line="480" w:lineRule="auto"/>
        <w:jc w:val="left"/>
      </w:pPr>
    </w:p>
    <w:p>
      <w:pPr>
        <w:spacing w:before="0" w:after="0" w:line="480" w:lineRule="auto"/>
        <w:jc w:val="left"/>
      </w:pPr>
      <w:r>
        <w:rPr>
          <w:rFonts w:ascii="Times New Roman" w:hAnsi="Times New Roman" w:eastAsia="Times New Roman" w:cs="Times New Roman"/>
          <w:color w:val="000000"/>
          <w:sz w:val="24"/>
        </w:rPr>
        <w:t>SHAP magnitudes are on the model-output scale. They summarize how the fitted model distributed predictions across recorded variables; they do not identify causal effects, treatment effects, or independently adjudicated indications for RRT.</w:t>
      </w:r>
    </w:p>
    <w:p>
      <w:pPr>
        <w:keepNext/>
        <w:keepLines/>
        <w:spacing w:before="0" w:after="0" w:line="480" w:lineRule="auto"/>
        <w:jc w:val="left"/>
      </w:pPr>
      <w:r>
        <w:rPr>
          <w:rFonts w:ascii="Times New Roman" w:hAnsi="Times New Roman" w:eastAsia="Times New Roman" w:cs="Times New Roman"/>
          <w:b/>
          <w:color w:val="000000"/>
          <w:sz w:val="28"/>
        </w:rPr>
        <w:t>Supplementary Code</w:t>
      </w:r>
    </w:p>
    <w:p>
      <w:pPr>
        <w:spacing w:before="0" w:after="0" w:line="480" w:lineRule="auto"/>
        <w:jc w:val="left"/>
      </w:pPr>
      <w:r>
        <w:rPr>
          <w:rFonts w:ascii="Times New Roman" w:hAnsi="Times New Roman" w:eastAsia="Times New Roman" w:cs="Times New Roman"/>
          <w:color w:val="000000"/>
          <w:sz w:val="24"/>
        </w:rPr>
        <w:t>Supplementary Code contains the complete MIMIC-IV and eICU-CRD SQL extraction scripts, database-specific export and validation scripts, aggregate body-weight audit outputs, Python modelling and post-processing scripts, cross-fitted MIMIC prediction code, SHAP source code and aggregate source data, the final predictor order, five fitted imputers, 45 fitted models for the three primary and sensitivity targets (3 targets × 3 algorithms × 5 imputations), 15 fitted models for the death-alternative target, preprocessing limits, hyperparameters, and a deployment manifest. Database credentials and patient-level source data are not included.</w:t>
      </w:r>
    </w:p>
    <w:p>
      <w:pPr>
        <w:keepNext/>
        <w:keepLines/>
        <w:pageBreakBefore/>
        <w:spacing w:before="0" w:after="0" w:line="480" w:lineRule="auto"/>
        <w:jc w:val="left"/>
      </w:pPr>
      <w:r>
        <w:rPr>
          <w:rFonts w:ascii="Times New Roman" w:hAnsi="Times New Roman" w:eastAsia="Times New Roman" w:cs="Times New Roman"/>
          <w:b/>
          <w:color w:val="000000"/>
          <w:sz w:val="28"/>
        </w:rPr>
        <w:t>Supplementary Figure S1</w:t>
      </w:r>
    </w:p>
    <w:p>
      <w:pPr>
        <w:keepNext/>
        <w:keepLines/>
        <w:spacing w:before="0" w:after="0" w:line="240" w:lineRule="auto"/>
        <w:jc w:val="center"/>
      </w:pPr>
      <w:r>
        <w:rPr>
          <w:rFonts w:ascii="Times New Roman" w:hAnsi="Times New Roman" w:eastAsia="Times New Roman" w:cs="Times New Roman"/>
          <w:color w:val="000000"/>
          <w:sz w:val="24"/>
        </w:rPr>
        <w:drawing>
          <wp:inline xmlns:a="http://schemas.openxmlformats.org/drawingml/2006/main" xmlns:pic="http://schemas.openxmlformats.org/drawingml/2006/picture">
            <wp:extent cx="5760000" cy="3922838"/>
            <wp:docPr id="1" name="Picture 1"/>
            <wp:cNvGraphicFramePr>
              <a:graphicFrameLocks noChangeAspect="1"/>
            </wp:cNvGraphicFramePr>
            <a:graphic>
              <a:graphicData uri="http://schemas.openxmlformats.org/drawingml/2006/picture">
                <pic:pic>
                  <pic:nvPicPr>
                    <pic:cNvPr id="0" name="Supplementary_Figure_SHAP_revised_final_model_v1.png"/>
                    <pic:cNvPicPr/>
                  </pic:nvPicPr>
                  <pic:blipFill>
                    <a:blip r:embed="rId9"/>
                    <a:stretch>
                      <a:fillRect/>
                    </a:stretch>
                  </pic:blipFill>
                  <pic:spPr>
                    <a:xfrm>
                      <a:off x="0" y="0"/>
                      <a:ext cx="5760000" cy="3922838"/>
                    </a:xfrm>
                    <a:prstGeom prst="rect"/>
                  </pic:spPr>
                </pic:pic>
              </a:graphicData>
            </a:graphic>
          </wp:inline>
        </w:drawing>
      </w:r>
    </w:p>
    <w:p>
      <w:pPr>
        <w:keepLines/>
        <w:spacing w:before="0" w:after="0" w:line="240" w:lineRule="auto"/>
        <w:jc w:val="left"/>
      </w:pPr>
      <w:r>
        <w:rPr>
          <w:rFonts w:ascii="Times New Roman" w:hAnsi="Times New Roman" w:eastAsia="Times New Roman" w:cs="Times New Roman"/>
          <w:color w:val="000000"/>
          <w:sz w:val="24"/>
        </w:rPr>
        <w:t>Supplementary Figure S1. SHAP summary for the Gradient Boosting model. SHAP values were calculated separately for each of the five imputation-specific models and averaged per patient and predictor. Panel a uses the held-out MIMIC-IV internal test set (n=738); panel b uses the full eICU-CRD external cohort (n=3,228). Red indicates a higher feature value and blue a lower value within each dataset and feature. Horizontal position represents contribution on the model-output scale. The display is explanatory and not causal.</w:t>
      </w:r>
    </w:p>
    <w:sectPr w:rsidR="00FC693F" w:rsidRPr="0006063C" w:rsidSect="00034616">
      <w:footerReference w:type="default" r:id="rId10"/>
      <w:pgSz w:w="16838" w:h="11906" w:orient="landscape"/>
      <w:pgMar w:top="1800" w:right="1440" w:bottom="1800" w:left="1440" w:header="851" w:footer="99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Times New Roman" w:hAnsi="Times New Roman" w:eastAsia="Times New Roman" w:cs="Times New Roman"/>
        <w:color w:val="000000"/>
        <w:sz w:val="20"/>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480" w:lineRule="auto" w:before="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