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60D22" w:rsidRPr="00D60D22" w:rsidRDefault="00D60D22" w:rsidP="00D60D22">
      <w:pPr>
        <w:rPr>
          <w:rFonts w:ascii="Times New Roman" w:hAnsi="Times New Roman" w:cs="Times New Roman"/>
          <w:sz w:val="22"/>
          <w:szCs w:val="22"/>
        </w:rPr>
      </w:pPr>
      <w:r w:rsidRPr="00D60D22">
        <w:rPr>
          <w:rFonts w:ascii="Times New Roman" w:hAnsi="Times New Roman" w:cs="Times New Roman"/>
          <w:sz w:val="22"/>
          <w:szCs w:val="22"/>
        </w:rPr>
        <w:t>Table S</w:t>
      </w:r>
      <w:r w:rsidR="000939C9">
        <w:rPr>
          <w:rFonts w:ascii="Times New Roman" w:hAnsi="Times New Roman" w:cs="Times New Roman"/>
          <w:sz w:val="22"/>
          <w:szCs w:val="22"/>
        </w:rPr>
        <w:t>7</w:t>
      </w:r>
      <w:r w:rsidRPr="00D60D22">
        <w:rPr>
          <w:rFonts w:ascii="Times New Roman" w:hAnsi="Times New Roman" w:cs="Times New Roman"/>
          <w:sz w:val="22"/>
          <w:szCs w:val="22"/>
        </w:rPr>
        <w:t>. Summary of the seven-gene signature: full names, functions, and potential roles in preeclampsia</w:t>
      </w:r>
    </w:p>
    <w:p w:rsidR="00D60D22" w:rsidRPr="00D60D22" w:rsidRDefault="00D60D22">
      <w:pPr>
        <w:rPr>
          <w:rFonts w:ascii="Times New Roman" w:hAnsi="Times New Roman" w:cs="Times New Roman"/>
          <w:sz w:val="22"/>
          <w:szCs w:val="22"/>
        </w:rPr>
      </w:pPr>
    </w:p>
    <w:tbl>
      <w:tblPr>
        <w:tblStyle w:val="ae"/>
        <w:tblW w:w="14454" w:type="dxa"/>
        <w:tblLook w:val="04A0" w:firstRow="1" w:lastRow="0" w:firstColumn="1" w:lastColumn="0" w:noHBand="0" w:noVBand="1"/>
      </w:tblPr>
      <w:tblGrid>
        <w:gridCol w:w="1239"/>
        <w:gridCol w:w="2442"/>
        <w:gridCol w:w="10773"/>
      </w:tblGrid>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Fonts w:ascii="Times New Roman" w:hAnsi="Times New Roman" w:cs="Times New Roman"/>
                <w:color w:val="0F1115"/>
                <w:sz w:val="22"/>
                <w:szCs w:val="22"/>
              </w:rPr>
              <w:t>Gene symbol</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Full name</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Gene function and potential role in PE</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t>ACOXL</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Acyl-CoA oxidase-like</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Catalyzes the rate-limiting step in peroxisomal fatty acid β-oxidation, a critical pathway for lipid metabolism and energy homeostasis in the placenta. Downregulation in PE placentas may impair fatty acid oxidation, leading to lipid accumulation, oxidative stress, and trophoblast dysfunction.</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t>FADS2</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Fatty acid desaturase 2</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Encodes a rate-limiting enzyme in the biosynthesis of polyunsaturated fatty acids (PUFAs) from essential fatty acid precursors. PUFAs are essential for placental membrane fluidity, eicosanoid signaling, and fetal neurodevelopment. Downregulation in PE may reflect impaired lipid remodeling and altered availability of prostaglandin precursors.</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t>HPGD</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15-hydroxyprostaglandin dehydrogenase</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Catalyzes the degradation of prostaglandins (PGs), key lipid mediators involved in inflammation, vasodilation, and uterine contractility. Upregulation in PE may represent a compensatory anti-inflammatory response to counteract the exaggerated systemic inflammation characteristic of PE.</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t>CPOX</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Coproporphyrinogen oxidase</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Key enzyme in the heme biosynthesis pathway, catalyzing the oxidative decarboxylation of coproporphyrinogen III to protoporphyrinogen IX. Heme metabolism is closely linked to oxidative stress responses. Upregulation in PE placentas may reflect a compensatory response to increased oxidative stress and placental ischemia-reperfusion injury.</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t>LDHA</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Lactate dehydrogenase A</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Central regulator of anaerobic glycolysis, catalyzing the conversion of pyruvate to lactate under hypoxic conditions. In PE, impaired spiral artery remodeling leads to chronic placental hypoxia, driving LDHA upregulation as an adaptive metabolic response to maintain cellular energy homeostasis. LDHA showed the highest individual discriminative accuracy among the seven genes.</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t>BMPR1B</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Bone morphogenetic protein receptor type 1B</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 xml:space="preserve">A TGF-β superfamily receptor involved in trophoblast differentiation, migration, and invasion during placentation. Disrupted TGF-β/BMP signaling may contribute to defective spiral artery remodeling and shallow trophoblast invasion, </w:t>
            </w:r>
            <w:r w:rsidRPr="00D60D22">
              <w:rPr>
                <w:rFonts w:ascii="Times New Roman" w:hAnsi="Times New Roman" w:cs="Times New Roman"/>
                <w:color w:val="0F1115"/>
                <w:sz w:val="22"/>
                <w:szCs w:val="22"/>
              </w:rPr>
              <w:lastRenderedPageBreak/>
              <w:t>key pathogenic events in PE.</w:t>
            </w:r>
          </w:p>
        </w:tc>
      </w:tr>
      <w:tr w:rsidR="00D60D22" w:rsidRPr="00D60D22" w:rsidTr="00060484">
        <w:tc>
          <w:tcPr>
            <w:tcW w:w="1239" w:type="dxa"/>
            <w:vAlign w:val="center"/>
          </w:tcPr>
          <w:p w:rsidR="00D60D22" w:rsidRPr="00D60D22" w:rsidRDefault="00D60D22" w:rsidP="006658E3">
            <w:pPr>
              <w:widowControl/>
              <w:spacing w:line="375" w:lineRule="atLeast"/>
              <w:jc w:val="left"/>
              <w:rPr>
                <w:rFonts w:ascii="Times New Roman" w:hAnsi="Times New Roman" w:cs="Times New Roman"/>
                <w:color w:val="0F1115"/>
                <w:sz w:val="22"/>
                <w:szCs w:val="22"/>
              </w:rPr>
            </w:pPr>
            <w:r w:rsidRPr="00D60D22">
              <w:rPr>
                <w:rStyle w:val="af"/>
                <w:rFonts w:ascii="Times New Roman" w:hAnsi="Times New Roman" w:cs="Times New Roman"/>
                <w:b w:val="0"/>
                <w:bCs w:val="0"/>
                <w:color w:val="0F1115"/>
                <w:sz w:val="22"/>
                <w:szCs w:val="22"/>
              </w:rPr>
              <w:lastRenderedPageBreak/>
              <w:t>GAPDHS</w:t>
            </w:r>
          </w:p>
        </w:tc>
        <w:tc>
          <w:tcPr>
            <w:tcW w:w="2442"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Glyceraldehyde-3-phosphate dehydrogenase, spermatogenic</w:t>
            </w:r>
          </w:p>
        </w:tc>
        <w:tc>
          <w:tcPr>
            <w:tcW w:w="10773" w:type="dxa"/>
            <w:vAlign w:val="center"/>
          </w:tcPr>
          <w:p w:rsidR="00D60D22" w:rsidRPr="00D60D22" w:rsidRDefault="00D60D22" w:rsidP="006658E3">
            <w:pPr>
              <w:spacing w:line="375" w:lineRule="atLeast"/>
              <w:rPr>
                <w:rFonts w:ascii="Times New Roman" w:hAnsi="Times New Roman" w:cs="Times New Roman"/>
                <w:color w:val="0F1115"/>
                <w:sz w:val="22"/>
                <w:szCs w:val="22"/>
              </w:rPr>
            </w:pPr>
            <w:r w:rsidRPr="00D60D22">
              <w:rPr>
                <w:rFonts w:ascii="Times New Roman" w:hAnsi="Times New Roman" w:cs="Times New Roman"/>
                <w:color w:val="0F1115"/>
                <w:sz w:val="22"/>
                <w:szCs w:val="22"/>
              </w:rPr>
              <w:t>A sperm-specific isoform of GAPDH involved in spermatogenesis. Although predominantly expressed in testis, low-level expression has been documented in placental tissues. Upregulation in PE placentas may reflect metabolic reprogramming under chronic hypoxia, potentially involving glycolysis dysregulation as an adaptive response to oxygen deprivation.</w:t>
            </w:r>
          </w:p>
        </w:tc>
      </w:tr>
    </w:tbl>
    <w:p w:rsidR="00D60D22" w:rsidRPr="00D60D22" w:rsidRDefault="00D60D22">
      <w:pPr>
        <w:rPr>
          <w:rFonts w:ascii="Times New Roman" w:hAnsi="Times New Roman" w:cs="Times New Roman"/>
          <w:sz w:val="22"/>
          <w:szCs w:val="22"/>
        </w:rPr>
      </w:pPr>
    </w:p>
    <w:p w:rsidR="00D60D22" w:rsidRPr="00D60D22" w:rsidRDefault="00D60D22">
      <w:pPr>
        <w:rPr>
          <w:rFonts w:ascii="Times New Roman" w:hAnsi="Times New Roman" w:cs="Times New Roman"/>
          <w:sz w:val="22"/>
          <w:szCs w:val="22"/>
        </w:rPr>
      </w:pPr>
    </w:p>
    <w:sectPr w:rsidR="00D60D22" w:rsidRPr="00D60D22" w:rsidSect="00060484">
      <w:pgSz w:w="16838" w:h="11906" w:orient="landscape"/>
      <w:pgMar w:top="1800" w:right="1440" w:bottom="180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B92"/>
    <w:rsid w:val="00005C51"/>
    <w:rsid w:val="00060484"/>
    <w:rsid w:val="000939C9"/>
    <w:rsid w:val="00102E4F"/>
    <w:rsid w:val="001441B2"/>
    <w:rsid w:val="00173D8F"/>
    <w:rsid w:val="001A5F8B"/>
    <w:rsid w:val="001E2AFD"/>
    <w:rsid w:val="00236443"/>
    <w:rsid w:val="00257C3B"/>
    <w:rsid w:val="00267D5A"/>
    <w:rsid w:val="00281EAB"/>
    <w:rsid w:val="00353EDB"/>
    <w:rsid w:val="00364241"/>
    <w:rsid w:val="003C3212"/>
    <w:rsid w:val="004045B6"/>
    <w:rsid w:val="004215A0"/>
    <w:rsid w:val="004A608F"/>
    <w:rsid w:val="0058245B"/>
    <w:rsid w:val="005E562C"/>
    <w:rsid w:val="006461EB"/>
    <w:rsid w:val="00672EAB"/>
    <w:rsid w:val="0067753A"/>
    <w:rsid w:val="006867AF"/>
    <w:rsid w:val="007A7FE0"/>
    <w:rsid w:val="007B11F7"/>
    <w:rsid w:val="007D62CD"/>
    <w:rsid w:val="00812790"/>
    <w:rsid w:val="0082147F"/>
    <w:rsid w:val="00890A99"/>
    <w:rsid w:val="008C59DA"/>
    <w:rsid w:val="00900FF5"/>
    <w:rsid w:val="009C2427"/>
    <w:rsid w:val="009D606D"/>
    <w:rsid w:val="00B41F86"/>
    <w:rsid w:val="00BD1CF1"/>
    <w:rsid w:val="00C00909"/>
    <w:rsid w:val="00C0510F"/>
    <w:rsid w:val="00C82BBC"/>
    <w:rsid w:val="00C95B92"/>
    <w:rsid w:val="00CC770C"/>
    <w:rsid w:val="00CE0DA8"/>
    <w:rsid w:val="00D146F3"/>
    <w:rsid w:val="00D3726E"/>
    <w:rsid w:val="00D60D22"/>
    <w:rsid w:val="00DA6DE0"/>
    <w:rsid w:val="00DB2CB0"/>
    <w:rsid w:val="00DB39CA"/>
    <w:rsid w:val="00DF7806"/>
    <w:rsid w:val="00E17CD4"/>
    <w:rsid w:val="00E42DC6"/>
    <w:rsid w:val="00E4679E"/>
    <w:rsid w:val="00EA14DE"/>
    <w:rsid w:val="00F720CB"/>
    <w:rsid w:val="00FE4EB3"/>
    <w:rsid w:val="00FF26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7478F6"/>
  <w15:chartTrackingRefBased/>
  <w15:docId w15:val="{6932F5B9-133B-7548-BA7A-E7055F836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95B92"/>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95B92"/>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95B92"/>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95B92"/>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95B92"/>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C95B92"/>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95B92"/>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95B92"/>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95B92"/>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95B92"/>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95B92"/>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95B92"/>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95B92"/>
    <w:rPr>
      <w:rFonts w:cstheme="majorBidi"/>
      <w:color w:val="0F4761" w:themeColor="accent1" w:themeShade="BF"/>
      <w:sz w:val="28"/>
      <w:szCs w:val="28"/>
    </w:rPr>
  </w:style>
  <w:style w:type="character" w:customStyle="1" w:styleId="50">
    <w:name w:val="标题 5 字符"/>
    <w:basedOn w:val="a0"/>
    <w:link w:val="5"/>
    <w:uiPriority w:val="9"/>
    <w:semiHidden/>
    <w:rsid w:val="00C95B92"/>
    <w:rPr>
      <w:rFonts w:cstheme="majorBidi"/>
      <w:color w:val="0F4761" w:themeColor="accent1" w:themeShade="BF"/>
      <w:sz w:val="24"/>
    </w:rPr>
  </w:style>
  <w:style w:type="character" w:customStyle="1" w:styleId="60">
    <w:name w:val="标题 6 字符"/>
    <w:basedOn w:val="a0"/>
    <w:link w:val="6"/>
    <w:uiPriority w:val="9"/>
    <w:semiHidden/>
    <w:rsid w:val="00C95B92"/>
    <w:rPr>
      <w:rFonts w:cstheme="majorBidi"/>
      <w:b/>
      <w:bCs/>
      <w:color w:val="0F4761" w:themeColor="accent1" w:themeShade="BF"/>
    </w:rPr>
  </w:style>
  <w:style w:type="character" w:customStyle="1" w:styleId="70">
    <w:name w:val="标题 7 字符"/>
    <w:basedOn w:val="a0"/>
    <w:link w:val="7"/>
    <w:uiPriority w:val="9"/>
    <w:semiHidden/>
    <w:rsid w:val="00C95B92"/>
    <w:rPr>
      <w:rFonts w:cstheme="majorBidi"/>
      <w:b/>
      <w:bCs/>
      <w:color w:val="595959" w:themeColor="text1" w:themeTint="A6"/>
    </w:rPr>
  </w:style>
  <w:style w:type="character" w:customStyle="1" w:styleId="80">
    <w:name w:val="标题 8 字符"/>
    <w:basedOn w:val="a0"/>
    <w:link w:val="8"/>
    <w:uiPriority w:val="9"/>
    <w:semiHidden/>
    <w:rsid w:val="00C95B92"/>
    <w:rPr>
      <w:rFonts w:cstheme="majorBidi"/>
      <w:color w:val="595959" w:themeColor="text1" w:themeTint="A6"/>
    </w:rPr>
  </w:style>
  <w:style w:type="character" w:customStyle="1" w:styleId="90">
    <w:name w:val="标题 9 字符"/>
    <w:basedOn w:val="a0"/>
    <w:link w:val="9"/>
    <w:uiPriority w:val="9"/>
    <w:semiHidden/>
    <w:rsid w:val="00C95B92"/>
    <w:rPr>
      <w:rFonts w:eastAsiaTheme="majorEastAsia" w:cstheme="majorBidi"/>
      <w:color w:val="595959" w:themeColor="text1" w:themeTint="A6"/>
    </w:rPr>
  </w:style>
  <w:style w:type="paragraph" w:styleId="a3">
    <w:name w:val="Title"/>
    <w:basedOn w:val="a"/>
    <w:next w:val="a"/>
    <w:link w:val="a4"/>
    <w:uiPriority w:val="10"/>
    <w:qFormat/>
    <w:rsid w:val="00C95B9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95B9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95B9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95B9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95B92"/>
    <w:pPr>
      <w:spacing w:before="160" w:after="160"/>
      <w:jc w:val="center"/>
    </w:pPr>
    <w:rPr>
      <w:i/>
      <w:iCs/>
      <w:color w:val="404040" w:themeColor="text1" w:themeTint="BF"/>
    </w:rPr>
  </w:style>
  <w:style w:type="character" w:customStyle="1" w:styleId="a8">
    <w:name w:val="引用 字符"/>
    <w:basedOn w:val="a0"/>
    <w:link w:val="a7"/>
    <w:uiPriority w:val="29"/>
    <w:rsid w:val="00C95B92"/>
    <w:rPr>
      <w:i/>
      <w:iCs/>
      <w:color w:val="404040" w:themeColor="text1" w:themeTint="BF"/>
    </w:rPr>
  </w:style>
  <w:style w:type="paragraph" w:styleId="a9">
    <w:name w:val="List Paragraph"/>
    <w:basedOn w:val="a"/>
    <w:uiPriority w:val="34"/>
    <w:qFormat/>
    <w:rsid w:val="00C95B92"/>
    <w:pPr>
      <w:ind w:left="720"/>
      <w:contextualSpacing/>
    </w:pPr>
  </w:style>
  <w:style w:type="character" w:styleId="aa">
    <w:name w:val="Intense Emphasis"/>
    <w:basedOn w:val="a0"/>
    <w:uiPriority w:val="21"/>
    <w:qFormat/>
    <w:rsid w:val="00C95B92"/>
    <w:rPr>
      <w:i/>
      <w:iCs/>
      <w:color w:val="0F4761" w:themeColor="accent1" w:themeShade="BF"/>
    </w:rPr>
  </w:style>
  <w:style w:type="paragraph" w:styleId="ab">
    <w:name w:val="Intense Quote"/>
    <w:basedOn w:val="a"/>
    <w:next w:val="a"/>
    <w:link w:val="ac"/>
    <w:uiPriority w:val="30"/>
    <w:qFormat/>
    <w:rsid w:val="00C95B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95B92"/>
    <w:rPr>
      <w:i/>
      <w:iCs/>
      <w:color w:val="0F4761" w:themeColor="accent1" w:themeShade="BF"/>
    </w:rPr>
  </w:style>
  <w:style w:type="character" w:styleId="ad">
    <w:name w:val="Intense Reference"/>
    <w:basedOn w:val="a0"/>
    <w:uiPriority w:val="32"/>
    <w:qFormat/>
    <w:rsid w:val="00C95B92"/>
    <w:rPr>
      <w:b/>
      <w:bCs/>
      <w:smallCaps/>
      <w:color w:val="0F4761" w:themeColor="accent1" w:themeShade="BF"/>
      <w:spacing w:val="5"/>
    </w:rPr>
  </w:style>
  <w:style w:type="table" w:styleId="ae">
    <w:name w:val="Table Grid"/>
    <w:basedOn w:val="a1"/>
    <w:uiPriority w:val="39"/>
    <w:rsid w:val="00C95B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a"/>
    <w:rsid w:val="00C95B92"/>
    <w:pPr>
      <w:widowControl/>
      <w:spacing w:before="100" w:beforeAutospacing="1" w:after="100" w:afterAutospacing="1"/>
      <w:jc w:val="left"/>
    </w:pPr>
    <w:rPr>
      <w:rFonts w:ascii="宋体" w:eastAsia="宋体" w:hAnsi="宋体" w:cs="宋体"/>
      <w:kern w:val="0"/>
      <w:sz w:val="24"/>
      <w14:ligatures w14:val="none"/>
    </w:rPr>
  </w:style>
  <w:style w:type="character" w:styleId="af">
    <w:name w:val="Strong"/>
    <w:basedOn w:val="a0"/>
    <w:uiPriority w:val="22"/>
    <w:qFormat/>
    <w:rsid w:val="00C95B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263614">
      <w:bodyDiv w:val="1"/>
      <w:marLeft w:val="0"/>
      <w:marRight w:val="0"/>
      <w:marTop w:val="0"/>
      <w:marBottom w:val="0"/>
      <w:divBdr>
        <w:top w:val="none" w:sz="0" w:space="0" w:color="auto"/>
        <w:left w:val="none" w:sz="0" w:space="0" w:color="auto"/>
        <w:bottom w:val="none" w:sz="0" w:space="0" w:color="auto"/>
        <w:right w:val="none" w:sz="0" w:space="0" w:color="auto"/>
      </w:divBdr>
      <w:divsChild>
        <w:div w:id="2010674949">
          <w:marLeft w:val="0"/>
          <w:marRight w:val="0"/>
          <w:marTop w:val="0"/>
          <w:marBottom w:val="0"/>
          <w:divBdr>
            <w:top w:val="none" w:sz="0" w:space="0" w:color="auto"/>
            <w:left w:val="none" w:sz="0" w:space="0" w:color="auto"/>
            <w:bottom w:val="none" w:sz="0" w:space="0" w:color="auto"/>
            <w:right w:val="none" w:sz="0" w:space="0" w:color="auto"/>
          </w:divBdr>
        </w:div>
      </w:divsChild>
    </w:div>
    <w:div w:id="126249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7CD6F0-3CE3-134D-BBD4-002BE181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404</Words>
  <Characters>2307</Characters>
  <Application>Microsoft Office Word</Application>
  <DocSecurity>0</DocSecurity>
  <Lines>19</Lines>
  <Paragraphs>5</Paragraphs>
  <ScaleCrop>false</ScaleCrop>
  <Company/>
  <LinksUpToDate>false</LinksUpToDate>
  <CharactersWithSpaces>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editor</cp:lastModifiedBy>
  <cp:revision>4</cp:revision>
  <dcterms:created xsi:type="dcterms:W3CDTF">2026-07-25T07:32:00Z</dcterms:created>
  <dcterms:modified xsi:type="dcterms:W3CDTF">2026-07-26T22:52:00Z</dcterms:modified>
</cp:coreProperties>
</file>