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37E6" w14:textId="77777777" w:rsidR="00FD36D1" w:rsidRPr="00FD36D1" w:rsidRDefault="00FD36D1" w:rsidP="00FD36D1">
      <w:pPr>
        <w:spacing w:after="0" w:line="240" w:lineRule="auto"/>
        <w:jc w:val="both"/>
        <w:rPr>
          <w:rFonts w:asciiTheme="majorBidi" w:hAnsiTheme="majorBidi" w:cstheme="majorBidi"/>
        </w:rPr>
      </w:pPr>
    </w:p>
    <w:p w14:paraId="5A58F4C6" w14:textId="77777777" w:rsidR="00FD36D1" w:rsidRPr="00FD36D1" w:rsidRDefault="00FD36D1" w:rsidP="00FD36D1">
      <w:pPr>
        <w:spacing w:after="0" w:line="240" w:lineRule="auto"/>
        <w:jc w:val="both"/>
        <w:rPr>
          <w:rFonts w:asciiTheme="majorBidi" w:hAnsiTheme="majorBidi" w:cstheme="majorBidi"/>
        </w:rPr>
      </w:pPr>
    </w:p>
    <w:p w14:paraId="7604E64E" w14:textId="77777777" w:rsidR="00FD36D1" w:rsidRPr="00FD36D1" w:rsidRDefault="00FD36D1" w:rsidP="00FD36D1">
      <w:pPr>
        <w:spacing w:after="0" w:line="240" w:lineRule="auto"/>
        <w:jc w:val="both"/>
        <w:rPr>
          <w:rFonts w:asciiTheme="majorBidi" w:hAnsiTheme="majorBidi" w:cstheme="majorBidi"/>
        </w:rPr>
      </w:pPr>
    </w:p>
    <w:p w14:paraId="7FFC9926" w14:textId="77777777" w:rsidR="00FD36D1" w:rsidRPr="00FD36D1" w:rsidRDefault="00FD36D1" w:rsidP="00FD36D1">
      <w:pPr>
        <w:spacing w:after="0" w:line="240" w:lineRule="auto"/>
        <w:jc w:val="both"/>
        <w:rPr>
          <w:rFonts w:asciiTheme="majorBidi" w:hAnsiTheme="majorBidi" w:cstheme="majorBidi"/>
        </w:rPr>
      </w:pPr>
    </w:p>
    <w:p w14:paraId="56EC1C4D" w14:textId="5D4E9FB0" w:rsidR="00FD36D1" w:rsidRPr="00FD36D1" w:rsidRDefault="00353693" w:rsidP="00677A3E">
      <w:pPr>
        <w:spacing w:after="0" w:line="240" w:lineRule="auto"/>
        <w:jc w:val="both"/>
        <w:rPr>
          <w:rFonts w:asciiTheme="majorBidi" w:hAnsiTheme="majorBidi" w:cstheme="majorBidi"/>
        </w:rPr>
      </w:pPr>
      <w:r>
        <w:rPr>
          <w:noProof/>
        </w:rPr>
        <w:drawing>
          <wp:inline distT="0" distB="0" distL="0" distR="0" wp14:anchorId="0A632216" wp14:editId="34C98B44">
            <wp:extent cx="5943600" cy="3343275"/>
            <wp:effectExtent l="0" t="0" r="0" b="9525"/>
            <wp:docPr id="19855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55D9506" w14:textId="77777777" w:rsidR="00FD36D1" w:rsidRPr="00FD36D1" w:rsidRDefault="00FD36D1" w:rsidP="00FD36D1">
      <w:pPr>
        <w:spacing w:after="0" w:line="240" w:lineRule="auto"/>
        <w:jc w:val="both"/>
        <w:rPr>
          <w:rFonts w:asciiTheme="majorBidi" w:hAnsiTheme="majorBidi" w:cstheme="majorBidi"/>
        </w:rPr>
      </w:pPr>
    </w:p>
    <w:p w14:paraId="7D62213F" w14:textId="77777777" w:rsidR="000F763F" w:rsidRDefault="000F763F" w:rsidP="00677A3E">
      <w:pPr>
        <w:spacing w:after="0" w:line="240" w:lineRule="auto"/>
        <w:jc w:val="both"/>
        <w:rPr>
          <w:rFonts w:asciiTheme="majorBidi" w:hAnsiTheme="majorBidi" w:cstheme="majorBidi"/>
        </w:rPr>
      </w:pPr>
    </w:p>
    <w:p w14:paraId="745F39E3" w14:textId="6A6C9378" w:rsidR="00FD36D1" w:rsidRDefault="00FD36D1" w:rsidP="002025B4">
      <w:pPr>
        <w:spacing w:after="0" w:line="240" w:lineRule="auto"/>
        <w:jc w:val="both"/>
        <w:rPr>
          <w:rFonts w:asciiTheme="majorBidi" w:hAnsiTheme="majorBidi" w:cstheme="majorBidi"/>
        </w:rPr>
      </w:pPr>
      <w:r w:rsidRPr="002025B4">
        <w:rPr>
          <w:rFonts w:asciiTheme="majorBidi" w:hAnsiTheme="majorBidi" w:cstheme="majorBidi"/>
          <w:b/>
          <w:bCs/>
        </w:rPr>
        <w:t>Figure supplementary 1:</w:t>
      </w:r>
      <w:r w:rsidRPr="00FD36D1">
        <w:rPr>
          <w:rFonts w:asciiTheme="majorBidi" w:hAnsiTheme="majorBidi" w:cstheme="majorBidi"/>
        </w:rPr>
        <w:t xml:space="preserve"> </w:t>
      </w:r>
      <w:r w:rsidR="002025B4" w:rsidRPr="002025B4">
        <w:rPr>
          <w:rFonts w:asciiTheme="majorBidi" w:hAnsiTheme="majorBidi" w:cstheme="majorBidi"/>
        </w:rPr>
        <w:t xml:space="preserve">Maximum likelihood phylogenetic analysis of the </w:t>
      </w:r>
      <w:r w:rsidR="002025B4" w:rsidRPr="002025B4">
        <w:rPr>
          <w:rFonts w:asciiTheme="majorBidi" w:hAnsiTheme="majorBidi" w:cstheme="majorBidi"/>
          <w:i/>
          <w:iCs/>
        </w:rPr>
        <w:t>tpi</w:t>
      </w:r>
      <w:r w:rsidR="002025B4" w:rsidRPr="002025B4">
        <w:rPr>
          <w:rFonts w:asciiTheme="majorBidi" w:hAnsiTheme="majorBidi" w:cstheme="majorBidi"/>
        </w:rPr>
        <w:t xml:space="preserve"> locus for </w:t>
      </w:r>
      <w:r w:rsidR="002025B4" w:rsidRPr="002025B4">
        <w:rPr>
          <w:rFonts w:asciiTheme="majorBidi" w:hAnsiTheme="majorBidi" w:cstheme="majorBidi"/>
          <w:i/>
          <w:iCs/>
        </w:rPr>
        <w:t>Giardia duodenalis</w:t>
      </w:r>
      <w:r w:rsidR="002025B4" w:rsidRPr="002025B4">
        <w:rPr>
          <w:rFonts w:asciiTheme="majorBidi" w:hAnsiTheme="majorBidi" w:cstheme="majorBidi"/>
        </w:rPr>
        <w:t xml:space="preserve"> assemblages A and B.</w:t>
      </w:r>
      <w:r w:rsidR="002025B4">
        <w:rPr>
          <w:rFonts w:asciiTheme="majorBidi" w:hAnsiTheme="majorBidi" w:cstheme="majorBidi"/>
        </w:rPr>
        <w:t xml:space="preserve"> </w:t>
      </w:r>
      <w:r w:rsidR="002025B4" w:rsidRPr="002025B4">
        <w:rPr>
          <w:rFonts w:asciiTheme="majorBidi" w:hAnsiTheme="majorBidi" w:cstheme="majorBidi"/>
        </w:rPr>
        <w:t xml:space="preserve">Maximum likelihood phylogenetic trees were constructed from partial </w:t>
      </w:r>
      <w:r w:rsidR="002025B4" w:rsidRPr="002025B4">
        <w:rPr>
          <w:rFonts w:asciiTheme="majorBidi" w:hAnsiTheme="majorBidi" w:cstheme="majorBidi"/>
          <w:i/>
          <w:iCs/>
        </w:rPr>
        <w:t>tpi</w:t>
      </w:r>
      <w:r w:rsidR="002025B4" w:rsidRPr="002025B4">
        <w:rPr>
          <w:rFonts w:asciiTheme="majorBidi" w:hAnsiTheme="majorBidi" w:cstheme="majorBidi"/>
        </w:rPr>
        <w:t xml:space="preserve"> gene sequences to infer evolutionary relationships among </w:t>
      </w:r>
      <w:r w:rsidR="002025B4" w:rsidRPr="002025B4">
        <w:rPr>
          <w:rFonts w:asciiTheme="majorBidi" w:hAnsiTheme="majorBidi" w:cstheme="majorBidi"/>
          <w:i/>
          <w:iCs/>
        </w:rPr>
        <w:t>Giardia duodenalis</w:t>
      </w:r>
      <w:r w:rsidR="002025B4" w:rsidRPr="002025B4">
        <w:rPr>
          <w:rFonts w:asciiTheme="majorBidi" w:hAnsiTheme="majorBidi" w:cstheme="majorBidi"/>
        </w:rPr>
        <w:t xml:space="preserve"> isolates. (A) Circular phylogenetic tree showing overall clustering patterns of assemblages A and B. (B) Linear phylogenetic tree of assemblage A, including reference strains WB and BE2. (C) Linear phylogenetic tree of assemblage B, with GS and BAH15C1 included as reference strains. Sample identifiers are shown at terminal branches. Bootstrap support values are indicated by colored circles, with yellow representing lower support (0–50), pink representing moderate support (51–75), and red representing high support (76–100). Scale bars denote the number of nucleotide substitutions per site. All trees were inferred using the maximum likelihood method with 1,000 bootstrap replicates.</w:t>
      </w:r>
    </w:p>
    <w:p w14:paraId="0494C0B1" w14:textId="77777777" w:rsidR="00677A3E" w:rsidRDefault="00677A3E" w:rsidP="007064C0">
      <w:pPr>
        <w:spacing w:after="0" w:line="240" w:lineRule="auto"/>
        <w:jc w:val="both"/>
        <w:rPr>
          <w:rFonts w:asciiTheme="majorBidi" w:hAnsiTheme="majorBidi" w:cstheme="majorBidi"/>
        </w:rPr>
      </w:pPr>
    </w:p>
    <w:p w14:paraId="7753C2FA" w14:textId="77777777" w:rsidR="00677A3E" w:rsidRDefault="00677A3E" w:rsidP="007064C0">
      <w:pPr>
        <w:spacing w:after="0" w:line="240" w:lineRule="auto"/>
        <w:jc w:val="both"/>
        <w:rPr>
          <w:rFonts w:asciiTheme="majorBidi" w:hAnsiTheme="majorBidi" w:cstheme="majorBidi"/>
        </w:rPr>
      </w:pPr>
    </w:p>
    <w:p w14:paraId="3D77D708" w14:textId="77777777" w:rsidR="00677A3E" w:rsidRDefault="00677A3E" w:rsidP="007064C0">
      <w:pPr>
        <w:spacing w:after="0" w:line="240" w:lineRule="auto"/>
        <w:jc w:val="both"/>
        <w:rPr>
          <w:rFonts w:asciiTheme="majorBidi" w:hAnsiTheme="majorBidi" w:cstheme="majorBidi"/>
        </w:rPr>
      </w:pPr>
    </w:p>
    <w:p w14:paraId="2C122E39" w14:textId="77777777" w:rsidR="00677A3E" w:rsidRDefault="00677A3E" w:rsidP="007064C0">
      <w:pPr>
        <w:spacing w:after="0" w:line="240" w:lineRule="auto"/>
        <w:jc w:val="both"/>
        <w:rPr>
          <w:rFonts w:asciiTheme="majorBidi" w:hAnsiTheme="majorBidi" w:cstheme="majorBidi"/>
        </w:rPr>
      </w:pPr>
    </w:p>
    <w:p w14:paraId="7412C006" w14:textId="77777777" w:rsidR="00677A3E" w:rsidRDefault="00677A3E" w:rsidP="007064C0">
      <w:pPr>
        <w:spacing w:after="0" w:line="240" w:lineRule="auto"/>
        <w:jc w:val="both"/>
        <w:rPr>
          <w:rFonts w:asciiTheme="majorBidi" w:hAnsiTheme="majorBidi" w:cstheme="majorBidi"/>
        </w:rPr>
      </w:pPr>
    </w:p>
    <w:p w14:paraId="38ADFBF8" w14:textId="77777777" w:rsidR="00677A3E" w:rsidRDefault="00677A3E" w:rsidP="007064C0">
      <w:pPr>
        <w:spacing w:after="0" w:line="240" w:lineRule="auto"/>
        <w:jc w:val="both"/>
        <w:rPr>
          <w:rFonts w:asciiTheme="majorBidi" w:hAnsiTheme="majorBidi" w:cstheme="majorBidi"/>
        </w:rPr>
      </w:pPr>
    </w:p>
    <w:p w14:paraId="1F667BA1" w14:textId="77777777" w:rsidR="00677A3E" w:rsidRDefault="00677A3E" w:rsidP="007064C0">
      <w:pPr>
        <w:spacing w:after="0" w:line="240" w:lineRule="auto"/>
        <w:jc w:val="both"/>
        <w:rPr>
          <w:rFonts w:asciiTheme="majorBidi" w:hAnsiTheme="majorBidi" w:cstheme="majorBidi"/>
        </w:rPr>
      </w:pPr>
    </w:p>
    <w:p w14:paraId="075D4A8C" w14:textId="784E9E6C" w:rsidR="00677A3E" w:rsidRPr="00FD36D1" w:rsidRDefault="00353693" w:rsidP="00677A3E">
      <w:pPr>
        <w:spacing w:after="0" w:line="240" w:lineRule="auto"/>
        <w:jc w:val="both"/>
        <w:rPr>
          <w:rFonts w:asciiTheme="majorBidi" w:hAnsiTheme="majorBidi" w:cstheme="majorBidi"/>
        </w:rPr>
      </w:pPr>
      <w:r>
        <w:rPr>
          <w:noProof/>
        </w:rPr>
        <w:lastRenderedPageBreak/>
        <w:drawing>
          <wp:inline distT="0" distB="0" distL="0" distR="0" wp14:anchorId="4CE66A02" wp14:editId="26E64E38">
            <wp:extent cx="5943600" cy="3343275"/>
            <wp:effectExtent l="0" t="0" r="0" b="9525"/>
            <wp:docPr id="827845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50570FA" w14:textId="77777777" w:rsidR="00FD36D1" w:rsidRPr="00FD36D1" w:rsidRDefault="00FD36D1" w:rsidP="007064C0">
      <w:pPr>
        <w:spacing w:after="0" w:line="240" w:lineRule="auto"/>
        <w:jc w:val="both"/>
        <w:rPr>
          <w:rFonts w:asciiTheme="majorBidi" w:hAnsiTheme="majorBidi" w:cstheme="majorBidi"/>
        </w:rPr>
      </w:pPr>
    </w:p>
    <w:p w14:paraId="150675D3" w14:textId="77777777" w:rsidR="00FD36D1" w:rsidRPr="00FD36D1" w:rsidRDefault="00FD36D1" w:rsidP="007064C0">
      <w:pPr>
        <w:spacing w:after="0" w:line="240" w:lineRule="auto"/>
        <w:jc w:val="both"/>
        <w:rPr>
          <w:rFonts w:asciiTheme="majorBidi" w:hAnsiTheme="majorBidi" w:cstheme="majorBidi"/>
        </w:rPr>
      </w:pPr>
    </w:p>
    <w:p w14:paraId="22962A76" w14:textId="77777777" w:rsidR="00FD36D1" w:rsidRPr="00FD36D1" w:rsidRDefault="00FD36D1" w:rsidP="007064C0">
      <w:pPr>
        <w:spacing w:after="0" w:line="240" w:lineRule="auto"/>
        <w:jc w:val="both"/>
        <w:rPr>
          <w:rFonts w:asciiTheme="majorBidi" w:hAnsiTheme="majorBidi" w:cstheme="majorBidi"/>
        </w:rPr>
      </w:pPr>
    </w:p>
    <w:p w14:paraId="53FA25BC" w14:textId="77777777" w:rsidR="00FD36D1" w:rsidRPr="00FD36D1" w:rsidRDefault="00FD36D1" w:rsidP="007064C0">
      <w:pPr>
        <w:spacing w:after="0" w:line="240" w:lineRule="auto"/>
        <w:jc w:val="both"/>
        <w:rPr>
          <w:rFonts w:asciiTheme="majorBidi" w:hAnsiTheme="majorBidi" w:cstheme="majorBidi"/>
        </w:rPr>
      </w:pPr>
    </w:p>
    <w:p w14:paraId="63DC8DBE" w14:textId="66587425" w:rsidR="002025B4" w:rsidRPr="002025B4" w:rsidRDefault="00677A3E" w:rsidP="002025B4">
      <w:pPr>
        <w:spacing w:after="0" w:line="240" w:lineRule="auto"/>
        <w:jc w:val="both"/>
        <w:rPr>
          <w:rFonts w:asciiTheme="majorBidi" w:hAnsiTheme="majorBidi"/>
        </w:rPr>
      </w:pPr>
      <w:r w:rsidRPr="00FD36D1">
        <w:rPr>
          <w:rFonts w:asciiTheme="majorBidi" w:hAnsiTheme="majorBidi" w:cstheme="majorBidi"/>
        </w:rPr>
        <w:t xml:space="preserve">Figure supplementary </w:t>
      </w:r>
      <w:r>
        <w:rPr>
          <w:rFonts w:asciiTheme="majorBidi" w:hAnsiTheme="majorBidi" w:cstheme="majorBidi"/>
        </w:rPr>
        <w:t>2</w:t>
      </w:r>
      <w:r w:rsidRPr="00FD36D1">
        <w:rPr>
          <w:rFonts w:asciiTheme="majorBidi" w:hAnsiTheme="majorBidi" w:cstheme="majorBidi"/>
        </w:rPr>
        <w:t xml:space="preserve">: </w:t>
      </w:r>
      <w:r w:rsidR="002025B4" w:rsidRPr="002025B4">
        <w:rPr>
          <w:rFonts w:asciiTheme="majorBidi" w:hAnsiTheme="majorBidi"/>
        </w:rPr>
        <w:t xml:space="preserve">Maximum likelihood phylogenetic analysis of the </w:t>
      </w:r>
      <w:r w:rsidR="002025B4" w:rsidRPr="002025B4">
        <w:rPr>
          <w:rFonts w:asciiTheme="majorBidi" w:hAnsiTheme="majorBidi"/>
          <w:i/>
          <w:iCs/>
        </w:rPr>
        <w:t>bg</w:t>
      </w:r>
      <w:r w:rsidR="002025B4" w:rsidRPr="002025B4">
        <w:rPr>
          <w:rFonts w:asciiTheme="majorBidi" w:hAnsiTheme="majorBidi"/>
        </w:rPr>
        <w:t xml:space="preserve"> locus for </w:t>
      </w:r>
      <w:r w:rsidR="002025B4" w:rsidRPr="002025B4">
        <w:rPr>
          <w:rFonts w:asciiTheme="majorBidi" w:hAnsiTheme="majorBidi"/>
          <w:i/>
          <w:iCs/>
        </w:rPr>
        <w:t>Giardia duodenalis</w:t>
      </w:r>
      <w:r w:rsidR="002025B4" w:rsidRPr="002025B4">
        <w:rPr>
          <w:rFonts w:asciiTheme="majorBidi" w:hAnsiTheme="majorBidi"/>
        </w:rPr>
        <w:t xml:space="preserve"> assemblages A and B. </w:t>
      </w:r>
      <w:r w:rsidR="002025B4" w:rsidRPr="002025B4">
        <w:rPr>
          <w:rFonts w:asciiTheme="majorBidi" w:hAnsiTheme="majorBidi" w:cstheme="majorBidi"/>
        </w:rPr>
        <w:t>Maximum likelihood phylogenetic trees were constructed from partial β</w:t>
      </w:r>
      <w:r w:rsidR="002025B4" w:rsidRPr="002025B4">
        <w:rPr>
          <w:rFonts w:asciiTheme="majorBidi" w:hAnsiTheme="majorBidi" w:cstheme="majorBidi"/>
        </w:rPr>
        <w:noBreakHyphen/>
        <w:t xml:space="preserve">giardin (bg) gene sequences to examine evolutionary relationships among </w:t>
      </w:r>
      <w:r w:rsidR="002025B4" w:rsidRPr="002025B4">
        <w:rPr>
          <w:rFonts w:asciiTheme="majorBidi" w:hAnsiTheme="majorBidi" w:cstheme="majorBidi"/>
          <w:i/>
          <w:iCs/>
        </w:rPr>
        <w:t>Giardia duodenalis</w:t>
      </w:r>
      <w:r w:rsidR="002025B4" w:rsidRPr="002025B4">
        <w:rPr>
          <w:rFonts w:asciiTheme="majorBidi" w:hAnsiTheme="majorBidi" w:cstheme="majorBidi"/>
        </w:rPr>
        <w:t xml:space="preserve"> isolates. (A) Circular phylogenetic tree showing the overall placement of assemblage A and assemblage B sequences relative to published reference sequences. (B) Linear phylogenetic tree of assemblage A, including reference strains WB and BE2. (C) Linear phylogenetic tree of assemblage B, including reference strains GS and BAH15C1. Sample identifiers are shown at terminal branches.</w:t>
      </w:r>
      <w:r w:rsidR="002025B4">
        <w:rPr>
          <w:rFonts w:asciiTheme="majorBidi" w:hAnsiTheme="majorBidi" w:cstheme="majorBidi"/>
        </w:rPr>
        <w:t xml:space="preserve"> </w:t>
      </w:r>
      <w:r w:rsidR="002025B4" w:rsidRPr="002025B4">
        <w:rPr>
          <w:rFonts w:asciiTheme="majorBidi" w:hAnsiTheme="majorBidi" w:cstheme="majorBidi"/>
        </w:rPr>
        <w:t>Bootstrap support values are indicated by colored circles, with yellow representing lower support (0</w:t>
      </w:r>
      <w:r w:rsidR="002025B4">
        <w:rPr>
          <w:rFonts w:asciiTheme="majorBidi" w:hAnsiTheme="majorBidi" w:cstheme="majorBidi"/>
        </w:rPr>
        <w:t>-</w:t>
      </w:r>
      <w:r w:rsidR="002025B4" w:rsidRPr="002025B4">
        <w:rPr>
          <w:rFonts w:asciiTheme="majorBidi" w:hAnsiTheme="majorBidi" w:cstheme="majorBidi"/>
        </w:rPr>
        <w:t>50) and red representing higher support (51</w:t>
      </w:r>
      <w:r w:rsidR="002025B4">
        <w:rPr>
          <w:rFonts w:asciiTheme="majorBidi" w:hAnsiTheme="majorBidi" w:cstheme="majorBidi"/>
        </w:rPr>
        <w:t>-</w:t>
      </w:r>
      <w:r w:rsidR="002025B4" w:rsidRPr="002025B4">
        <w:rPr>
          <w:rFonts w:asciiTheme="majorBidi" w:hAnsiTheme="majorBidi" w:cstheme="majorBidi"/>
        </w:rPr>
        <w:t>100). Scale bars indicate the number of nucleotide substitutions per site. All trees were inferred using the maximum likelihood method with 1,000 bootstrap replicates.</w:t>
      </w:r>
    </w:p>
    <w:p w14:paraId="464D9A21" w14:textId="1F36A557" w:rsidR="00FD36D1" w:rsidRPr="00FD36D1" w:rsidRDefault="00FD36D1" w:rsidP="002025B4">
      <w:pPr>
        <w:spacing w:after="0" w:line="240" w:lineRule="auto"/>
        <w:jc w:val="both"/>
        <w:rPr>
          <w:rFonts w:asciiTheme="majorBidi" w:hAnsiTheme="majorBidi" w:cstheme="majorBidi"/>
        </w:rPr>
      </w:pPr>
    </w:p>
    <w:p w14:paraId="79BE302A" w14:textId="77777777" w:rsidR="00FD36D1" w:rsidRPr="00FD36D1" w:rsidRDefault="00FD36D1" w:rsidP="007064C0">
      <w:pPr>
        <w:spacing w:after="0" w:line="240" w:lineRule="auto"/>
        <w:jc w:val="both"/>
        <w:rPr>
          <w:rFonts w:asciiTheme="majorBidi" w:hAnsiTheme="majorBidi" w:cstheme="majorBidi"/>
        </w:rPr>
      </w:pPr>
    </w:p>
    <w:p w14:paraId="1E962926" w14:textId="77777777" w:rsidR="00FD36D1" w:rsidRPr="00FD36D1" w:rsidRDefault="00FD36D1" w:rsidP="007064C0">
      <w:pPr>
        <w:spacing w:after="0" w:line="240" w:lineRule="auto"/>
        <w:jc w:val="both"/>
        <w:rPr>
          <w:rFonts w:asciiTheme="majorBidi" w:hAnsiTheme="majorBidi" w:cstheme="majorBidi"/>
        </w:rPr>
      </w:pPr>
    </w:p>
    <w:p w14:paraId="278728F0" w14:textId="77777777" w:rsidR="00FD36D1" w:rsidRPr="00FD36D1" w:rsidRDefault="00FD36D1" w:rsidP="007064C0">
      <w:pPr>
        <w:spacing w:after="0" w:line="240" w:lineRule="auto"/>
        <w:jc w:val="both"/>
        <w:rPr>
          <w:rFonts w:asciiTheme="majorBidi" w:hAnsiTheme="majorBidi" w:cstheme="majorBidi"/>
        </w:rPr>
      </w:pPr>
    </w:p>
    <w:p w14:paraId="5F0428F0" w14:textId="77777777" w:rsidR="00FD36D1" w:rsidRPr="00FD36D1" w:rsidRDefault="00FD36D1" w:rsidP="007064C0">
      <w:pPr>
        <w:spacing w:after="0" w:line="240" w:lineRule="auto"/>
        <w:jc w:val="both"/>
        <w:rPr>
          <w:rFonts w:asciiTheme="majorBidi" w:hAnsiTheme="majorBidi" w:cstheme="majorBidi"/>
        </w:rPr>
      </w:pPr>
    </w:p>
    <w:p w14:paraId="43807AD4" w14:textId="77777777" w:rsidR="00FD36D1" w:rsidRPr="00FD36D1" w:rsidRDefault="00FD36D1" w:rsidP="007064C0">
      <w:pPr>
        <w:spacing w:after="0" w:line="240" w:lineRule="auto"/>
        <w:jc w:val="both"/>
        <w:rPr>
          <w:rFonts w:asciiTheme="majorBidi" w:hAnsiTheme="majorBidi" w:cstheme="majorBidi"/>
        </w:rPr>
      </w:pPr>
    </w:p>
    <w:p w14:paraId="7AA90924" w14:textId="77777777" w:rsidR="00FD36D1" w:rsidRPr="00FD36D1" w:rsidRDefault="00FD36D1" w:rsidP="007064C0">
      <w:pPr>
        <w:spacing w:after="0" w:line="240" w:lineRule="auto"/>
        <w:jc w:val="both"/>
        <w:rPr>
          <w:rFonts w:asciiTheme="majorBidi" w:hAnsiTheme="majorBidi" w:cstheme="majorBidi"/>
        </w:rPr>
      </w:pPr>
    </w:p>
    <w:p w14:paraId="7AE277C4" w14:textId="77777777" w:rsidR="00FD36D1" w:rsidRPr="00FD36D1" w:rsidRDefault="00FD36D1" w:rsidP="007064C0">
      <w:pPr>
        <w:spacing w:after="0" w:line="240" w:lineRule="auto"/>
        <w:jc w:val="both"/>
        <w:rPr>
          <w:rFonts w:asciiTheme="majorBidi" w:hAnsiTheme="majorBidi" w:cstheme="majorBidi"/>
        </w:rPr>
      </w:pPr>
    </w:p>
    <w:p w14:paraId="3848907F" w14:textId="77777777" w:rsidR="00FD36D1" w:rsidRPr="00FD36D1" w:rsidRDefault="00FD36D1" w:rsidP="007064C0">
      <w:pPr>
        <w:spacing w:after="0" w:line="240" w:lineRule="auto"/>
        <w:jc w:val="both"/>
        <w:rPr>
          <w:rFonts w:asciiTheme="majorBidi" w:hAnsiTheme="majorBidi" w:cstheme="majorBidi"/>
        </w:rPr>
      </w:pPr>
    </w:p>
    <w:p w14:paraId="60CFDF85" w14:textId="77777777" w:rsidR="00FD36D1" w:rsidRPr="00FD36D1" w:rsidRDefault="00FD36D1" w:rsidP="007064C0">
      <w:pPr>
        <w:spacing w:after="0" w:line="240" w:lineRule="auto"/>
        <w:jc w:val="both"/>
        <w:rPr>
          <w:rFonts w:asciiTheme="majorBidi" w:hAnsiTheme="majorBidi" w:cstheme="majorBidi"/>
        </w:rPr>
      </w:pPr>
    </w:p>
    <w:p w14:paraId="34B1B396" w14:textId="77777777" w:rsidR="00FD36D1" w:rsidRPr="00FD36D1" w:rsidRDefault="00FD36D1" w:rsidP="007064C0">
      <w:pPr>
        <w:spacing w:after="0" w:line="240" w:lineRule="auto"/>
        <w:jc w:val="both"/>
        <w:rPr>
          <w:rFonts w:asciiTheme="majorBidi" w:hAnsiTheme="majorBidi" w:cstheme="majorBidi"/>
        </w:rPr>
      </w:pPr>
    </w:p>
    <w:p w14:paraId="5002E0DB" w14:textId="77777777" w:rsidR="00FD36D1" w:rsidRPr="00FD36D1" w:rsidRDefault="00FD36D1" w:rsidP="007064C0">
      <w:pPr>
        <w:spacing w:after="0" w:line="240" w:lineRule="auto"/>
        <w:jc w:val="both"/>
        <w:rPr>
          <w:rFonts w:asciiTheme="majorBidi" w:hAnsiTheme="majorBidi" w:cstheme="majorBidi"/>
        </w:rPr>
      </w:pPr>
    </w:p>
    <w:p w14:paraId="5585E4E7" w14:textId="77777777" w:rsidR="00FD36D1" w:rsidRPr="00FD36D1" w:rsidRDefault="00FD36D1" w:rsidP="007064C0">
      <w:pPr>
        <w:spacing w:after="0" w:line="240" w:lineRule="auto"/>
        <w:jc w:val="both"/>
        <w:rPr>
          <w:rFonts w:asciiTheme="majorBidi" w:hAnsiTheme="majorBidi" w:cstheme="majorBidi"/>
        </w:rPr>
      </w:pPr>
    </w:p>
    <w:p w14:paraId="2682953D" w14:textId="77777777" w:rsidR="00FD36D1" w:rsidRPr="00FD36D1" w:rsidRDefault="00FD36D1" w:rsidP="007064C0">
      <w:pPr>
        <w:spacing w:after="0" w:line="240" w:lineRule="auto"/>
        <w:jc w:val="both"/>
        <w:rPr>
          <w:rFonts w:asciiTheme="majorBidi" w:hAnsiTheme="majorBidi" w:cstheme="majorBidi"/>
        </w:rPr>
      </w:pPr>
    </w:p>
    <w:p w14:paraId="3D41FAE1" w14:textId="4376022A" w:rsidR="00677A3E" w:rsidRDefault="00353693" w:rsidP="00677A3E">
      <w:pPr>
        <w:spacing w:after="0" w:line="240" w:lineRule="auto"/>
        <w:jc w:val="both"/>
        <w:rPr>
          <w:rFonts w:asciiTheme="majorBidi" w:hAnsiTheme="majorBidi" w:cstheme="majorBidi"/>
        </w:rPr>
      </w:pPr>
      <w:r>
        <w:rPr>
          <w:noProof/>
        </w:rPr>
        <w:drawing>
          <wp:inline distT="0" distB="0" distL="0" distR="0" wp14:anchorId="2CFCBFE9" wp14:editId="4A9E9626">
            <wp:extent cx="5943600" cy="3343275"/>
            <wp:effectExtent l="0" t="0" r="0" b="9525"/>
            <wp:docPr id="875402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613178C" w14:textId="77777777" w:rsidR="00677A3E" w:rsidRDefault="00677A3E" w:rsidP="007064C0">
      <w:pPr>
        <w:spacing w:after="0" w:line="240" w:lineRule="auto"/>
        <w:jc w:val="both"/>
        <w:rPr>
          <w:rFonts w:asciiTheme="majorBidi" w:hAnsiTheme="majorBidi" w:cstheme="majorBidi"/>
        </w:rPr>
      </w:pPr>
    </w:p>
    <w:p w14:paraId="2EF09995" w14:textId="77777777" w:rsidR="00677A3E" w:rsidRDefault="00677A3E" w:rsidP="007064C0">
      <w:pPr>
        <w:spacing w:after="0" w:line="240" w:lineRule="auto"/>
        <w:jc w:val="both"/>
        <w:rPr>
          <w:rFonts w:asciiTheme="majorBidi" w:hAnsiTheme="majorBidi" w:cstheme="majorBidi"/>
        </w:rPr>
      </w:pPr>
    </w:p>
    <w:p w14:paraId="5347ECF8" w14:textId="77777777" w:rsidR="00677A3E" w:rsidRDefault="00677A3E" w:rsidP="007064C0">
      <w:pPr>
        <w:spacing w:after="0" w:line="240" w:lineRule="auto"/>
        <w:jc w:val="both"/>
        <w:rPr>
          <w:rFonts w:asciiTheme="majorBidi" w:hAnsiTheme="majorBidi" w:cstheme="majorBidi"/>
        </w:rPr>
      </w:pPr>
    </w:p>
    <w:p w14:paraId="7D70183B" w14:textId="77777777" w:rsidR="00677A3E" w:rsidRDefault="00677A3E" w:rsidP="007064C0">
      <w:pPr>
        <w:spacing w:after="0" w:line="240" w:lineRule="auto"/>
        <w:jc w:val="both"/>
        <w:rPr>
          <w:rFonts w:asciiTheme="majorBidi" w:hAnsiTheme="majorBidi" w:cstheme="majorBidi"/>
        </w:rPr>
      </w:pPr>
    </w:p>
    <w:p w14:paraId="26B1C011" w14:textId="6341975B" w:rsidR="002025B4" w:rsidRPr="002025B4" w:rsidRDefault="00677A3E" w:rsidP="00A57451">
      <w:pPr>
        <w:spacing w:after="0" w:line="240" w:lineRule="auto"/>
        <w:jc w:val="both"/>
        <w:rPr>
          <w:rFonts w:asciiTheme="majorBidi" w:hAnsiTheme="majorBidi"/>
        </w:rPr>
      </w:pPr>
      <w:r w:rsidRPr="002025B4">
        <w:rPr>
          <w:rFonts w:asciiTheme="majorBidi" w:hAnsiTheme="majorBidi" w:cstheme="majorBidi"/>
          <w:b/>
          <w:bCs/>
        </w:rPr>
        <w:t>Figure supplementary 3</w:t>
      </w:r>
      <w:r w:rsidRPr="002025B4">
        <w:rPr>
          <w:rFonts w:asciiTheme="majorBidi" w:hAnsiTheme="majorBidi" w:cstheme="majorBidi"/>
        </w:rPr>
        <w:t xml:space="preserve">: </w:t>
      </w:r>
      <w:r w:rsidR="002025B4" w:rsidRPr="002025B4">
        <w:rPr>
          <w:rFonts w:asciiTheme="majorBidi" w:hAnsiTheme="majorBidi"/>
        </w:rPr>
        <w:t xml:space="preserve">Maximum likelihood phylogenetic analysis of the </w:t>
      </w:r>
      <w:r w:rsidR="002025B4" w:rsidRPr="002025B4">
        <w:rPr>
          <w:rFonts w:asciiTheme="majorBidi" w:hAnsiTheme="majorBidi"/>
          <w:i/>
          <w:iCs/>
        </w:rPr>
        <w:t>gdh</w:t>
      </w:r>
      <w:r w:rsidR="002025B4" w:rsidRPr="002025B4">
        <w:rPr>
          <w:rFonts w:asciiTheme="majorBidi" w:hAnsiTheme="majorBidi"/>
        </w:rPr>
        <w:t xml:space="preserve"> locus for </w:t>
      </w:r>
      <w:r w:rsidR="002025B4" w:rsidRPr="002025B4">
        <w:rPr>
          <w:rFonts w:asciiTheme="majorBidi" w:hAnsiTheme="majorBidi"/>
          <w:i/>
          <w:iCs/>
        </w:rPr>
        <w:t>Giardia duodenalis</w:t>
      </w:r>
      <w:r w:rsidR="002025B4" w:rsidRPr="002025B4">
        <w:rPr>
          <w:rFonts w:asciiTheme="majorBidi" w:hAnsiTheme="majorBidi"/>
        </w:rPr>
        <w:t xml:space="preserve"> assemblages A and B. </w:t>
      </w:r>
      <w:r w:rsidR="002025B4" w:rsidRPr="002025B4">
        <w:rPr>
          <w:rFonts w:asciiTheme="majorBidi" w:hAnsiTheme="majorBidi" w:cstheme="majorBidi"/>
        </w:rPr>
        <w:t xml:space="preserve">Maximum likelihood phylogenetic trees were constructed from partial </w:t>
      </w:r>
      <w:r w:rsidR="002025B4" w:rsidRPr="002025B4">
        <w:rPr>
          <w:rFonts w:asciiTheme="majorBidi" w:hAnsiTheme="majorBidi" w:cstheme="majorBidi"/>
          <w:i/>
          <w:iCs/>
        </w:rPr>
        <w:t>gdh</w:t>
      </w:r>
      <w:r w:rsidR="002025B4" w:rsidRPr="002025B4">
        <w:rPr>
          <w:rFonts w:asciiTheme="majorBidi" w:hAnsiTheme="majorBidi" w:cstheme="majorBidi"/>
        </w:rPr>
        <w:t xml:space="preserve"> gene sequences to examine evolutionary relationships among </w:t>
      </w:r>
      <w:r w:rsidR="002025B4" w:rsidRPr="002025B4">
        <w:rPr>
          <w:rFonts w:asciiTheme="majorBidi" w:hAnsiTheme="majorBidi" w:cstheme="majorBidi"/>
          <w:i/>
          <w:iCs/>
        </w:rPr>
        <w:t>Giardia duodenalis</w:t>
      </w:r>
      <w:r w:rsidR="002025B4" w:rsidRPr="002025B4">
        <w:rPr>
          <w:rFonts w:asciiTheme="majorBidi" w:hAnsiTheme="majorBidi" w:cstheme="majorBidi"/>
        </w:rPr>
        <w:t xml:space="preserve"> isolates. (A) Circular phylogenetic tree showing the overall placement of assemblage A and assemblage B sequences relative to published reference sequences. (B) Linear phylogenetic tree of assemblage A, including reference strains WB and BE2 (C) Linear phylogenetic tree of assemblage B, including reference strains GS and BAH15C1. Sample identifiers are shown at terminal branches. Bootstrap support values are indicated by colored circles, with yellow representing lower support (0–50) and red representing higher support (51–100). Scale bars denote the number of nucleotide substitutions per site. All trees were inferred using the maximum likelihood method with 1,000 bootstrap replicates</w:t>
      </w:r>
      <w:r w:rsidR="00A57451">
        <w:rPr>
          <w:rFonts w:asciiTheme="majorBidi" w:hAnsiTheme="majorBidi" w:cstheme="majorBidi"/>
        </w:rPr>
        <w:t>.</w:t>
      </w:r>
    </w:p>
    <w:p w14:paraId="09413744" w14:textId="0C22195B" w:rsidR="00FD36D1" w:rsidRPr="00FD36D1" w:rsidRDefault="00FD36D1" w:rsidP="002025B4">
      <w:pPr>
        <w:spacing w:after="0" w:line="240" w:lineRule="auto"/>
        <w:jc w:val="both"/>
        <w:rPr>
          <w:rFonts w:asciiTheme="majorBidi" w:hAnsiTheme="majorBidi" w:cstheme="majorBidi"/>
        </w:rPr>
      </w:pPr>
    </w:p>
    <w:p w14:paraId="4D675E39" w14:textId="77777777" w:rsidR="00FD36D1" w:rsidRPr="00FD36D1" w:rsidRDefault="00FD36D1" w:rsidP="007064C0">
      <w:pPr>
        <w:spacing w:after="0" w:line="240" w:lineRule="auto"/>
        <w:jc w:val="both"/>
        <w:rPr>
          <w:rFonts w:asciiTheme="majorBidi" w:hAnsiTheme="majorBidi" w:cstheme="majorBidi"/>
        </w:rPr>
      </w:pPr>
    </w:p>
    <w:p w14:paraId="59C65214" w14:textId="77777777" w:rsidR="00FD36D1" w:rsidRPr="00FD36D1" w:rsidRDefault="00FD36D1" w:rsidP="007064C0">
      <w:pPr>
        <w:spacing w:after="0" w:line="240" w:lineRule="auto"/>
        <w:jc w:val="both"/>
        <w:rPr>
          <w:rFonts w:asciiTheme="majorBidi" w:hAnsiTheme="majorBidi" w:cstheme="majorBidi"/>
        </w:rPr>
      </w:pPr>
    </w:p>
    <w:p w14:paraId="61543CF1" w14:textId="77777777" w:rsidR="00FD36D1" w:rsidRPr="00FD36D1" w:rsidRDefault="00FD36D1" w:rsidP="007064C0">
      <w:pPr>
        <w:spacing w:after="0" w:line="240" w:lineRule="auto"/>
        <w:jc w:val="both"/>
        <w:rPr>
          <w:rFonts w:asciiTheme="majorBidi" w:hAnsiTheme="majorBidi" w:cstheme="majorBidi"/>
        </w:rPr>
      </w:pPr>
    </w:p>
    <w:p w14:paraId="22828808" w14:textId="77777777" w:rsidR="00FD36D1" w:rsidRPr="00FD36D1" w:rsidRDefault="00FD36D1" w:rsidP="007064C0">
      <w:pPr>
        <w:spacing w:after="0" w:line="240" w:lineRule="auto"/>
        <w:jc w:val="both"/>
        <w:rPr>
          <w:rFonts w:asciiTheme="majorBidi" w:hAnsiTheme="majorBidi" w:cstheme="majorBidi"/>
        </w:rPr>
      </w:pPr>
    </w:p>
    <w:p w14:paraId="738919B6" w14:textId="77777777" w:rsidR="00FD36D1" w:rsidRPr="00FD36D1" w:rsidRDefault="00FD36D1" w:rsidP="007064C0">
      <w:pPr>
        <w:spacing w:after="0" w:line="240" w:lineRule="auto"/>
        <w:jc w:val="both"/>
        <w:rPr>
          <w:rFonts w:asciiTheme="majorBidi" w:hAnsiTheme="majorBidi" w:cstheme="majorBidi"/>
        </w:rPr>
      </w:pPr>
    </w:p>
    <w:p w14:paraId="0763741C" w14:textId="77777777" w:rsidR="00FD36D1" w:rsidRPr="00FD36D1" w:rsidRDefault="00FD36D1" w:rsidP="007064C0">
      <w:pPr>
        <w:spacing w:after="0" w:line="240" w:lineRule="auto"/>
        <w:jc w:val="both"/>
        <w:rPr>
          <w:rFonts w:asciiTheme="majorBidi" w:hAnsiTheme="majorBidi" w:cstheme="majorBidi"/>
        </w:rPr>
      </w:pPr>
    </w:p>
    <w:p w14:paraId="38B32EF6" w14:textId="77777777" w:rsidR="00FD36D1" w:rsidRPr="00FD36D1" w:rsidRDefault="00FD36D1" w:rsidP="007064C0">
      <w:pPr>
        <w:spacing w:after="0" w:line="240" w:lineRule="auto"/>
        <w:jc w:val="both"/>
        <w:rPr>
          <w:rFonts w:asciiTheme="majorBidi" w:hAnsiTheme="majorBidi" w:cstheme="majorBidi"/>
        </w:rPr>
      </w:pPr>
    </w:p>
    <w:p w14:paraId="26F12630" w14:textId="77777777" w:rsidR="00FD36D1" w:rsidRPr="00FD36D1" w:rsidRDefault="00FD36D1" w:rsidP="007064C0">
      <w:pPr>
        <w:spacing w:after="0" w:line="240" w:lineRule="auto"/>
        <w:jc w:val="both"/>
        <w:rPr>
          <w:rFonts w:asciiTheme="majorBidi" w:hAnsiTheme="majorBidi" w:cstheme="majorBidi"/>
        </w:rPr>
      </w:pPr>
    </w:p>
    <w:p w14:paraId="5FB43DFE" w14:textId="77777777" w:rsidR="00FD36D1" w:rsidRPr="00FD36D1" w:rsidRDefault="00FD36D1" w:rsidP="007064C0">
      <w:pPr>
        <w:spacing w:after="0" w:line="240" w:lineRule="auto"/>
        <w:jc w:val="both"/>
        <w:rPr>
          <w:rFonts w:asciiTheme="majorBidi" w:hAnsiTheme="majorBidi" w:cstheme="majorBidi"/>
        </w:rPr>
      </w:pPr>
    </w:p>
    <w:p w14:paraId="450CA35F" w14:textId="77777777" w:rsidR="00FD36D1" w:rsidRPr="00FD36D1" w:rsidRDefault="00FD36D1" w:rsidP="007064C0">
      <w:pPr>
        <w:spacing w:after="0" w:line="240" w:lineRule="auto"/>
        <w:jc w:val="both"/>
        <w:rPr>
          <w:rFonts w:asciiTheme="majorBidi" w:hAnsiTheme="majorBidi" w:cstheme="majorBidi"/>
        </w:rPr>
      </w:pPr>
    </w:p>
    <w:p w14:paraId="1E8FC8DD" w14:textId="77777777" w:rsidR="00FD36D1" w:rsidRPr="00FD36D1" w:rsidRDefault="00FD36D1" w:rsidP="007064C0">
      <w:pPr>
        <w:spacing w:after="0" w:line="240" w:lineRule="auto"/>
        <w:jc w:val="both"/>
        <w:rPr>
          <w:rFonts w:asciiTheme="majorBidi" w:hAnsiTheme="majorBidi" w:cstheme="majorBidi"/>
        </w:rPr>
      </w:pPr>
    </w:p>
    <w:p w14:paraId="2A09E9D8" w14:textId="77777777" w:rsidR="00FD36D1" w:rsidRPr="00FD36D1" w:rsidRDefault="00FD36D1" w:rsidP="007064C0">
      <w:pPr>
        <w:spacing w:after="0" w:line="240" w:lineRule="auto"/>
        <w:jc w:val="both"/>
        <w:rPr>
          <w:rFonts w:asciiTheme="majorBidi" w:hAnsiTheme="majorBidi" w:cstheme="majorBidi"/>
        </w:rPr>
      </w:pPr>
    </w:p>
    <w:p w14:paraId="643B11C1" w14:textId="77777777" w:rsidR="007064C0" w:rsidRPr="00FD36D1" w:rsidRDefault="007064C0" w:rsidP="007064C0">
      <w:pPr>
        <w:spacing w:after="0" w:line="240" w:lineRule="auto"/>
        <w:jc w:val="both"/>
        <w:rPr>
          <w:rFonts w:asciiTheme="majorBidi" w:hAnsiTheme="majorBidi" w:cstheme="majorBidi"/>
        </w:rPr>
      </w:pPr>
    </w:p>
    <w:p w14:paraId="1166B4BB" w14:textId="77777777" w:rsidR="007064C0" w:rsidRPr="00FD36D1" w:rsidRDefault="007064C0" w:rsidP="007064C0">
      <w:pPr>
        <w:spacing w:after="0" w:line="240" w:lineRule="auto"/>
        <w:jc w:val="both"/>
        <w:rPr>
          <w:rFonts w:asciiTheme="majorBidi" w:hAnsiTheme="majorBidi" w:cstheme="majorBidi"/>
        </w:rPr>
      </w:pPr>
    </w:p>
    <w:p w14:paraId="4D04B565" w14:textId="5024045D" w:rsidR="007064C0" w:rsidRPr="00FD36D1" w:rsidRDefault="000F763F" w:rsidP="007064C0">
      <w:pPr>
        <w:spacing w:after="0" w:line="240" w:lineRule="auto"/>
        <w:jc w:val="both"/>
        <w:rPr>
          <w:rFonts w:asciiTheme="majorBidi" w:hAnsiTheme="majorBidi" w:cstheme="majorBidi"/>
        </w:rPr>
      </w:pPr>
      <w:r>
        <w:rPr>
          <w:noProof/>
        </w:rPr>
        <w:drawing>
          <wp:anchor distT="0" distB="0" distL="114300" distR="114300" simplePos="0" relativeHeight="251658240" behindDoc="0" locked="0" layoutInCell="1" allowOverlap="1" wp14:anchorId="18B059CE" wp14:editId="4B33C3AA">
            <wp:simplePos x="0" y="0"/>
            <wp:positionH relativeFrom="margin">
              <wp:align>center</wp:align>
            </wp:positionH>
            <wp:positionV relativeFrom="paragraph">
              <wp:posOffset>0</wp:posOffset>
            </wp:positionV>
            <wp:extent cx="6991350" cy="3857625"/>
            <wp:effectExtent l="0" t="0" r="0" b="9525"/>
            <wp:wrapSquare wrapText="bothSides"/>
            <wp:docPr id="528856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1282" t="10826" r="4167" b="20228"/>
                    <a:stretch>
                      <a:fillRect/>
                    </a:stretch>
                  </pic:blipFill>
                  <pic:spPr bwMode="auto">
                    <a:xfrm>
                      <a:off x="0" y="0"/>
                      <a:ext cx="6991350" cy="38576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7EA48E2" w14:textId="77777777" w:rsidR="007064C0" w:rsidRPr="00FD36D1" w:rsidRDefault="007064C0" w:rsidP="007064C0">
      <w:pPr>
        <w:spacing w:after="0" w:line="240" w:lineRule="auto"/>
        <w:jc w:val="both"/>
        <w:rPr>
          <w:rFonts w:asciiTheme="majorBidi" w:hAnsiTheme="majorBidi" w:cstheme="majorBidi"/>
        </w:rPr>
      </w:pPr>
    </w:p>
    <w:p w14:paraId="394E8D04" w14:textId="77777777" w:rsidR="007064C0" w:rsidRPr="00FD36D1" w:rsidRDefault="007064C0" w:rsidP="007064C0">
      <w:pPr>
        <w:spacing w:after="0" w:line="240" w:lineRule="auto"/>
        <w:jc w:val="both"/>
        <w:rPr>
          <w:rFonts w:asciiTheme="majorBidi" w:hAnsiTheme="majorBidi" w:cstheme="majorBidi"/>
        </w:rPr>
      </w:pPr>
    </w:p>
    <w:p w14:paraId="5DB6926A" w14:textId="344EA2FB" w:rsidR="007064C0" w:rsidRPr="007064C0" w:rsidRDefault="007064C0" w:rsidP="00A57451">
      <w:pPr>
        <w:spacing w:after="0" w:line="240" w:lineRule="auto"/>
        <w:jc w:val="both"/>
        <w:rPr>
          <w:rFonts w:asciiTheme="majorBidi" w:hAnsiTheme="majorBidi" w:cstheme="majorBidi"/>
        </w:rPr>
      </w:pPr>
      <w:r w:rsidRPr="00A57451">
        <w:rPr>
          <w:rFonts w:asciiTheme="majorBidi" w:hAnsiTheme="majorBidi" w:cstheme="majorBidi"/>
          <w:b/>
          <w:bCs/>
        </w:rPr>
        <w:t xml:space="preserve">Figure </w:t>
      </w:r>
      <w:r w:rsidR="000F763F" w:rsidRPr="00A57451">
        <w:rPr>
          <w:rFonts w:asciiTheme="majorBidi" w:hAnsiTheme="majorBidi" w:cstheme="majorBidi"/>
          <w:b/>
          <w:bCs/>
        </w:rPr>
        <w:t>supplementary 4</w:t>
      </w:r>
      <w:r w:rsidRPr="00A57451">
        <w:rPr>
          <w:rFonts w:asciiTheme="majorBidi" w:hAnsiTheme="majorBidi" w:cstheme="majorBidi"/>
          <w:b/>
          <w:bCs/>
        </w:rPr>
        <w:t>.</w:t>
      </w:r>
      <w:r w:rsidRPr="007064C0">
        <w:rPr>
          <w:rFonts w:asciiTheme="majorBidi" w:hAnsiTheme="majorBidi" w:cstheme="majorBidi"/>
        </w:rPr>
        <w:t xml:space="preserve"> </w:t>
      </w:r>
      <w:r w:rsidR="00A57451" w:rsidRPr="00A57451">
        <w:rPr>
          <w:rFonts w:asciiTheme="majorBidi" w:hAnsiTheme="majorBidi" w:cstheme="majorBidi"/>
        </w:rPr>
        <w:t xml:space="preserve">Determination of the optimal number of genetic clusters (K) for </w:t>
      </w:r>
      <w:r w:rsidR="00A57451" w:rsidRPr="00A57451">
        <w:rPr>
          <w:rFonts w:asciiTheme="majorBidi" w:hAnsiTheme="majorBidi" w:cstheme="majorBidi"/>
          <w:i/>
          <w:iCs/>
        </w:rPr>
        <w:t>Giardia duodenalis</w:t>
      </w:r>
      <w:r w:rsidR="00A57451" w:rsidRPr="00A57451">
        <w:rPr>
          <w:rFonts w:asciiTheme="majorBidi" w:hAnsiTheme="majorBidi" w:cstheme="majorBidi"/>
        </w:rPr>
        <w:t xml:space="preserve"> assemblages using STRUCTURE analysis.</w:t>
      </w:r>
      <w:r w:rsidR="00A57451">
        <w:rPr>
          <w:rFonts w:asciiTheme="majorBidi" w:hAnsiTheme="majorBidi" w:cstheme="majorBidi"/>
        </w:rPr>
        <w:t xml:space="preserve"> </w:t>
      </w:r>
      <w:r w:rsidR="00A57451" w:rsidRPr="00A57451">
        <w:rPr>
          <w:rFonts w:asciiTheme="majorBidi" w:hAnsiTheme="majorBidi" w:cstheme="majorBidi"/>
        </w:rPr>
        <w:t>(A) ΔK plots for the combined dataset (</w:t>
      </w:r>
      <w:r w:rsidR="00A57451">
        <w:rPr>
          <w:rFonts w:asciiTheme="majorBidi" w:hAnsiTheme="majorBidi" w:cstheme="majorBidi"/>
        </w:rPr>
        <w:t>a</w:t>
      </w:r>
      <w:r w:rsidR="00A57451" w:rsidRPr="00A57451">
        <w:rPr>
          <w:rFonts w:asciiTheme="majorBidi" w:hAnsiTheme="majorBidi" w:cstheme="majorBidi"/>
        </w:rPr>
        <w:t>ssemblage</w:t>
      </w:r>
      <w:r w:rsidR="00A57451">
        <w:rPr>
          <w:rFonts w:asciiTheme="majorBidi" w:hAnsiTheme="majorBidi" w:cstheme="majorBidi"/>
        </w:rPr>
        <w:t>s</w:t>
      </w:r>
      <w:r w:rsidR="00A57451" w:rsidRPr="00A57451">
        <w:rPr>
          <w:rFonts w:asciiTheme="majorBidi" w:hAnsiTheme="majorBidi" w:cstheme="majorBidi"/>
        </w:rPr>
        <w:t xml:space="preserve"> A and B), assemblage A only, and assemblage B only, showing the rate of change in the log probability of the data across K = 1–10. Peaks in ΔK indicate the most likely number of genetic clusters, with K = 2 for the combined dataset, K = 4 for assemblage A, and K = 9 for assemblage B.</w:t>
      </w:r>
      <w:r w:rsidR="00A57451">
        <w:rPr>
          <w:rFonts w:asciiTheme="majorBidi" w:hAnsiTheme="majorBidi" w:cstheme="majorBidi"/>
        </w:rPr>
        <w:t xml:space="preserve"> </w:t>
      </w:r>
      <w:r w:rsidR="00A57451" w:rsidRPr="00A57451">
        <w:rPr>
          <w:rFonts w:asciiTheme="majorBidi" w:hAnsiTheme="majorBidi" w:cstheme="majorBidi"/>
        </w:rPr>
        <w:t xml:space="preserve">(B) Mean </w:t>
      </w:r>
      <w:proofErr w:type="spellStart"/>
      <w:r w:rsidR="00A57451" w:rsidRPr="00A57451">
        <w:rPr>
          <w:rFonts w:asciiTheme="majorBidi" w:hAnsiTheme="majorBidi" w:cstheme="majorBidi"/>
        </w:rPr>
        <w:t>LnP</w:t>
      </w:r>
      <w:proofErr w:type="spellEnd"/>
      <w:r w:rsidR="00A57451" w:rsidRPr="00A57451">
        <w:rPr>
          <w:rFonts w:asciiTheme="majorBidi" w:hAnsiTheme="majorBidi" w:cstheme="majorBidi"/>
        </w:rPr>
        <w:t xml:space="preserve">(K) and standard deviation (SD) </w:t>
      </w:r>
      <w:proofErr w:type="spellStart"/>
      <w:r w:rsidR="00A57451" w:rsidRPr="00A57451">
        <w:rPr>
          <w:rFonts w:asciiTheme="majorBidi" w:hAnsiTheme="majorBidi" w:cstheme="majorBidi"/>
        </w:rPr>
        <w:t>LnP</w:t>
      </w:r>
      <w:proofErr w:type="spellEnd"/>
      <w:r w:rsidR="00A57451" w:rsidRPr="00A57451">
        <w:rPr>
          <w:rFonts w:asciiTheme="majorBidi" w:hAnsiTheme="majorBidi" w:cstheme="majorBidi"/>
        </w:rPr>
        <w:t xml:space="preserve">(K) values across K = 1–10 for the same datasets. Black lines represent mean </w:t>
      </w:r>
      <w:proofErr w:type="spellStart"/>
      <w:r w:rsidR="00A57451" w:rsidRPr="00A57451">
        <w:rPr>
          <w:rFonts w:asciiTheme="majorBidi" w:hAnsiTheme="majorBidi" w:cstheme="majorBidi"/>
        </w:rPr>
        <w:t>LnP</w:t>
      </w:r>
      <w:proofErr w:type="spellEnd"/>
      <w:r w:rsidR="00A57451" w:rsidRPr="00A57451">
        <w:rPr>
          <w:rFonts w:asciiTheme="majorBidi" w:hAnsiTheme="majorBidi" w:cstheme="majorBidi"/>
        </w:rPr>
        <w:t xml:space="preserve">(K), and green lines represent SD </w:t>
      </w:r>
      <w:proofErr w:type="spellStart"/>
      <w:r w:rsidR="00A57451" w:rsidRPr="00A57451">
        <w:rPr>
          <w:rFonts w:asciiTheme="majorBidi" w:hAnsiTheme="majorBidi" w:cstheme="majorBidi"/>
        </w:rPr>
        <w:t>LnP</w:t>
      </w:r>
      <w:proofErr w:type="spellEnd"/>
      <w:r w:rsidR="00A57451" w:rsidRPr="00A57451">
        <w:rPr>
          <w:rFonts w:asciiTheme="majorBidi" w:hAnsiTheme="majorBidi" w:cstheme="majorBidi"/>
        </w:rPr>
        <w:t>(K). These plots illustrate the stability and variance of likelihood estimates across K values and support the ΔK‑based identification of optimal clustering levels.</w:t>
      </w:r>
      <w:r w:rsidR="00A57451">
        <w:rPr>
          <w:rFonts w:asciiTheme="majorBidi" w:hAnsiTheme="majorBidi" w:cstheme="majorBidi"/>
        </w:rPr>
        <w:t xml:space="preserve"> These</w:t>
      </w:r>
      <w:r w:rsidR="00A57451" w:rsidRPr="00A57451">
        <w:rPr>
          <w:rFonts w:asciiTheme="majorBidi" w:hAnsiTheme="majorBidi" w:cstheme="majorBidi"/>
        </w:rPr>
        <w:t xml:space="preserve"> analyses identify the most probable population structure within </w:t>
      </w:r>
      <w:r w:rsidR="00A57451" w:rsidRPr="00A57451">
        <w:rPr>
          <w:rFonts w:asciiTheme="majorBidi" w:hAnsiTheme="majorBidi" w:cstheme="majorBidi"/>
          <w:i/>
          <w:iCs/>
        </w:rPr>
        <w:t>G. duodenalis</w:t>
      </w:r>
      <w:r w:rsidR="00A57451" w:rsidRPr="00A57451">
        <w:rPr>
          <w:rFonts w:asciiTheme="majorBidi" w:hAnsiTheme="majorBidi" w:cstheme="majorBidi"/>
        </w:rPr>
        <w:t xml:space="preserve"> assemblages A and B and highlight the greater genetic complexity observed in assemblage B.</w:t>
      </w:r>
    </w:p>
    <w:p w14:paraId="656D6951" w14:textId="77777777" w:rsidR="009B3BC9" w:rsidRPr="00FD36D1" w:rsidRDefault="009B3BC9">
      <w:pPr>
        <w:rPr>
          <w:rFonts w:asciiTheme="majorBidi" w:hAnsiTheme="majorBidi" w:cstheme="majorBidi"/>
        </w:rPr>
      </w:pPr>
    </w:p>
    <w:sectPr w:rsidR="009B3BC9" w:rsidRPr="00FD3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C0"/>
    <w:rsid w:val="000436EC"/>
    <w:rsid w:val="000D16D9"/>
    <w:rsid w:val="000F763F"/>
    <w:rsid w:val="001603C0"/>
    <w:rsid w:val="001F7254"/>
    <w:rsid w:val="002025B4"/>
    <w:rsid w:val="002D3FCB"/>
    <w:rsid w:val="00353693"/>
    <w:rsid w:val="004056F5"/>
    <w:rsid w:val="00510067"/>
    <w:rsid w:val="005E0A63"/>
    <w:rsid w:val="00677A3E"/>
    <w:rsid w:val="00696D25"/>
    <w:rsid w:val="007064C0"/>
    <w:rsid w:val="007E3DC2"/>
    <w:rsid w:val="0084790A"/>
    <w:rsid w:val="009B3BC9"/>
    <w:rsid w:val="009E40C8"/>
    <w:rsid w:val="00A55300"/>
    <w:rsid w:val="00A57451"/>
    <w:rsid w:val="00A57D67"/>
    <w:rsid w:val="00C66D37"/>
    <w:rsid w:val="00EC0A20"/>
    <w:rsid w:val="00EF0FB1"/>
    <w:rsid w:val="00F13F04"/>
    <w:rsid w:val="00F26D3E"/>
    <w:rsid w:val="00FD3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EDE1"/>
  <w15:chartTrackingRefBased/>
  <w15:docId w15:val="{5F105382-7979-4332-9286-34A8D8A5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4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4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4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4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4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4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4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4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4C0"/>
    <w:rPr>
      <w:rFonts w:eastAsiaTheme="majorEastAsia" w:cstheme="majorBidi"/>
      <w:color w:val="272727" w:themeColor="text1" w:themeTint="D8"/>
    </w:rPr>
  </w:style>
  <w:style w:type="paragraph" w:styleId="Title">
    <w:name w:val="Title"/>
    <w:basedOn w:val="Normal"/>
    <w:next w:val="Normal"/>
    <w:link w:val="TitleChar"/>
    <w:uiPriority w:val="10"/>
    <w:qFormat/>
    <w:rsid w:val="00706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4C0"/>
    <w:pPr>
      <w:spacing w:before="160"/>
      <w:jc w:val="center"/>
    </w:pPr>
    <w:rPr>
      <w:i/>
      <w:iCs/>
      <w:color w:val="404040" w:themeColor="text1" w:themeTint="BF"/>
    </w:rPr>
  </w:style>
  <w:style w:type="character" w:customStyle="1" w:styleId="QuoteChar">
    <w:name w:val="Quote Char"/>
    <w:basedOn w:val="DefaultParagraphFont"/>
    <w:link w:val="Quote"/>
    <w:uiPriority w:val="29"/>
    <w:rsid w:val="007064C0"/>
    <w:rPr>
      <w:i/>
      <w:iCs/>
      <w:color w:val="404040" w:themeColor="text1" w:themeTint="BF"/>
    </w:rPr>
  </w:style>
  <w:style w:type="paragraph" w:styleId="ListParagraph">
    <w:name w:val="List Paragraph"/>
    <w:basedOn w:val="Normal"/>
    <w:uiPriority w:val="34"/>
    <w:qFormat/>
    <w:rsid w:val="007064C0"/>
    <w:pPr>
      <w:ind w:left="720"/>
      <w:contextualSpacing/>
    </w:pPr>
  </w:style>
  <w:style w:type="character" w:styleId="IntenseEmphasis">
    <w:name w:val="Intense Emphasis"/>
    <w:basedOn w:val="DefaultParagraphFont"/>
    <w:uiPriority w:val="21"/>
    <w:qFormat/>
    <w:rsid w:val="007064C0"/>
    <w:rPr>
      <w:i/>
      <w:iCs/>
      <w:color w:val="0F4761" w:themeColor="accent1" w:themeShade="BF"/>
    </w:rPr>
  </w:style>
  <w:style w:type="paragraph" w:styleId="IntenseQuote">
    <w:name w:val="Intense Quote"/>
    <w:basedOn w:val="Normal"/>
    <w:next w:val="Normal"/>
    <w:link w:val="IntenseQuoteChar"/>
    <w:uiPriority w:val="30"/>
    <w:qFormat/>
    <w:rsid w:val="00706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4C0"/>
    <w:rPr>
      <w:i/>
      <w:iCs/>
      <w:color w:val="0F4761" w:themeColor="accent1" w:themeShade="BF"/>
    </w:rPr>
  </w:style>
  <w:style w:type="character" w:styleId="IntenseReference">
    <w:name w:val="Intense Reference"/>
    <w:basedOn w:val="DefaultParagraphFont"/>
    <w:uiPriority w:val="32"/>
    <w:qFormat/>
    <w:rsid w:val="007064C0"/>
    <w:rPr>
      <w:b/>
      <w:bCs/>
      <w:smallCaps/>
      <w:color w:val="0F4761" w:themeColor="accent1" w:themeShade="BF"/>
      <w:spacing w:val="5"/>
    </w:rPr>
  </w:style>
  <w:style w:type="paragraph" w:styleId="NormalWeb">
    <w:name w:val="Normal (Web)"/>
    <w:basedOn w:val="Normal"/>
    <w:uiPriority w:val="99"/>
    <w:semiHidden/>
    <w:unhideWhenUsed/>
    <w:rsid w:val="00FD36D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Doaa Nageeb Elsaid Hassan</dc:creator>
  <cp:keywords/>
  <dc:description/>
  <cp:lastModifiedBy>Doaa Nageeb Elsaid Hassan</cp:lastModifiedBy>
  <cp:revision>2</cp:revision>
  <dcterms:created xsi:type="dcterms:W3CDTF">2026-04-17T18:12:00Z</dcterms:created>
  <dcterms:modified xsi:type="dcterms:W3CDTF">2026-04-17T18:12:00Z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a9c1551e-41d0-4198-8a54-cf9982111b6a</vt:lpwstr>
  </property>
</Properties>
</file>