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4D1" w:rsidRPr="006A0DAA" w:rsidRDefault="00FB74D1" w:rsidP="00FB74D1">
      <w:pPr>
        <w:spacing w:line="480" w:lineRule="auto"/>
        <w:rPr>
          <w:b/>
          <w:bCs/>
        </w:rPr>
      </w:pPr>
      <w:r w:rsidRPr="006A0DAA">
        <w:rPr>
          <w:b/>
          <w:bCs/>
        </w:rPr>
        <w:t>Supplementary Figure 1. Sequencing depth and quality-control assessment of fecal 16S rRNA sequencing.</w:t>
      </w:r>
    </w:p>
    <w:p w:rsidR="00FB74D1" w:rsidRPr="006A0DAA" w:rsidRDefault="00FB74D1" w:rsidP="00FB74D1">
      <w:pPr>
        <w:spacing w:line="480" w:lineRule="auto"/>
      </w:pPr>
      <w:r w:rsidRPr="006A0DAA">
        <w:t>Rarefaction and species accumulation analyses were used to evaluate sequencing depth and sampling adequacy in the fecal 16S rRNA sequencing subset. The rarefaction curves of observed species approached a plateau, indicating that the sequencing depth was sufficient to capture most bacterial diversity within samples. The species accumulation curve further suggested that the sample size captured the major microbial diversity represented in the cohort. Shannon rarefaction curves also tended to stabilize with increasing sequencing depth, supporting adequate sequencing coverage for downstream diversity and taxonomic analyses. In this figure, “NC” denotes the cognitively healthy control group and is equivalent to “CH” in the main text.</w:t>
      </w:r>
    </w:p>
    <w:p w:rsidR="00FB74D1" w:rsidRPr="006A0DAA" w:rsidRDefault="00FB74D1" w:rsidP="00FB74D1">
      <w:pPr>
        <w:spacing w:line="480" w:lineRule="auto"/>
      </w:pPr>
    </w:p>
    <w:p w:rsidR="00FB74D1" w:rsidRPr="006A0DAA" w:rsidRDefault="00FB74D1" w:rsidP="00FB74D1">
      <w:pPr>
        <w:spacing w:line="480" w:lineRule="auto"/>
        <w:rPr>
          <w:b/>
          <w:bCs/>
        </w:rPr>
      </w:pPr>
      <w:r w:rsidRPr="006A0DAA">
        <w:rPr>
          <w:b/>
          <w:bCs/>
        </w:rPr>
        <w:t>Supplementary Figure 2. Alpha-diversity indices of fecal microbiota across clinical groups.</w:t>
      </w:r>
    </w:p>
    <w:p w:rsidR="00FB74D1" w:rsidRPr="006A0DAA" w:rsidRDefault="00FB74D1" w:rsidP="00FB74D1">
      <w:pPr>
        <w:spacing w:line="480" w:lineRule="auto"/>
        <w:rPr>
          <w:noProof/>
          <w14:ligatures w14:val="standardContextual"/>
        </w:rPr>
      </w:pPr>
      <w:r w:rsidRPr="006A0DAA">
        <w:t>Alpha-diversity was evaluated using ACE, Chao1, Shannon, and Simpson indices across Alzheimer’s disease (AD), mild cognitive impairment (MCI), and cognitively healthy control (CH) groups. Data are shown as boxplots. Group differences were assessed using the Kruskal–Wallis test. No significant differences were observed among the three clinical groups for ACE, Chao1, Shannon, or Simpson indices, indicating that alpha diversity did not emerge as a major distinguishing feature across clinical stages.</w:t>
      </w:r>
      <w:r w:rsidRPr="006A0DAA">
        <w:rPr>
          <w:noProof/>
          <w14:ligatures w14:val="standardContextual"/>
        </w:rPr>
        <w:t xml:space="preserve"> </w:t>
      </w:r>
    </w:p>
    <w:p w:rsidR="00FB74D1" w:rsidRPr="006A0DAA" w:rsidRDefault="00FB74D1" w:rsidP="00FB74D1">
      <w:pPr>
        <w:spacing w:line="480" w:lineRule="auto"/>
        <w:rPr>
          <w:b/>
          <w:bCs/>
        </w:rPr>
      </w:pPr>
      <w:r w:rsidRPr="006A0DAA">
        <w:rPr>
          <w:b/>
          <w:bCs/>
        </w:rPr>
        <w:t>Supplementary Figure 3. Additional beta-diversity analyses of fecal microbial communities.</w:t>
      </w:r>
    </w:p>
    <w:p w:rsidR="00FB74D1" w:rsidRPr="006A0DAA" w:rsidRDefault="00FB74D1" w:rsidP="00FB74D1">
      <w:pPr>
        <w:spacing w:line="480" w:lineRule="auto"/>
        <w:rPr>
          <w:noProof/>
          <w14:ligatures w14:val="standardContextual"/>
        </w:rPr>
      </w:pPr>
      <w:r w:rsidRPr="006A0DAA">
        <w:t>Additional beta-diversity analyses were performed using weighted and unweighted UniFrac distances. The upper panels show groupwise distributions of weighted and unweighted UniFrac distances across AD, MCI, and CH groups. Statistical comparisons were performed using the Kruskal</w:t>
      </w:r>
      <w:r w:rsidRPr="006A0DAA">
        <w:rPr>
          <w:rFonts w:hint="eastAsia"/>
        </w:rPr>
        <w:t>-</w:t>
      </w:r>
      <w:r w:rsidRPr="006A0DAA">
        <w:t xml:space="preserve">Wallis test. The lower panels show non-metric multidimensional scaling (NMDS) ordination based on weighted and unweighted UniFrac distances. NMDS stress values are shown in each panel. </w:t>
      </w:r>
      <w:r w:rsidRPr="006A0DAA">
        <w:rPr>
          <w:noProof/>
          <w14:ligatures w14:val="standardContextual"/>
        </w:rPr>
        <w:t xml:space="preserve">These analyses provide supplementary visualization of fecal microbial community patterns beyond the Bray–Curtis PCoA shown in the main text. </w:t>
      </w:r>
      <w:r w:rsidRPr="006A0DAA">
        <w:t>In this figure, “NC” denotes the cognitively healthy control group and is equivalent to “CH” in the main text.</w:t>
      </w:r>
      <w:r w:rsidRPr="006A0DAA">
        <w:rPr>
          <w:noProof/>
          <w14:ligatures w14:val="standardContextual"/>
        </w:rPr>
        <w:t xml:space="preserve"> </w:t>
      </w:r>
    </w:p>
    <w:p w:rsidR="00FB74D1" w:rsidRPr="006A0DAA" w:rsidRDefault="00FB74D1" w:rsidP="00FB74D1">
      <w:pPr>
        <w:spacing w:line="480" w:lineRule="auto"/>
        <w:rPr>
          <w:noProof/>
          <w14:ligatures w14:val="standardContextual"/>
        </w:rPr>
      </w:pPr>
    </w:p>
    <w:p w:rsidR="00FB74D1" w:rsidRPr="006A0DAA" w:rsidRDefault="00FB74D1" w:rsidP="00FB74D1">
      <w:pPr>
        <w:spacing w:line="480" w:lineRule="auto"/>
        <w:rPr>
          <w:noProof/>
          <w14:ligatures w14:val="standardContextual"/>
        </w:rPr>
      </w:pPr>
    </w:p>
    <w:p w:rsidR="00FB74D1" w:rsidRPr="006A0DAA" w:rsidRDefault="00FB74D1" w:rsidP="00FB74D1">
      <w:pPr>
        <w:spacing w:line="480" w:lineRule="auto"/>
        <w:rPr>
          <w:b/>
          <w:bCs/>
          <w:noProof/>
          <w14:ligatures w14:val="standardContextual"/>
        </w:rPr>
      </w:pPr>
      <w:r w:rsidRPr="006A0DAA">
        <w:rPr>
          <w:b/>
          <w:bCs/>
          <w:noProof/>
          <w14:ligatures w14:val="standardContextual"/>
        </w:rPr>
        <w:t>Supplementary Figure 4. Pairwise ANOSIM analysis based on weighted and unweighted UniFrac distances.</w:t>
      </w:r>
    </w:p>
    <w:p w:rsidR="00FB74D1" w:rsidRPr="006A0DAA" w:rsidRDefault="00FB74D1" w:rsidP="00FB74D1">
      <w:pPr>
        <w:spacing w:line="480" w:lineRule="auto"/>
        <w:rPr>
          <w:noProof/>
          <w14:ligatures w14:val="standardContextual"/>
        </w:rPr>
      </w:pPr>
      <w:r w:rsidRPr="006A0DAA">
        <w:rPr>
          <w:noProof/>
          <w14:ligatures w14:val="standardContextual"/>
        </w:rPr>
        <w:t xml:space="preserve">Pairwise analysis of similarities (ANOSIM) was performed using weighted and unweighted UniFrac distances to assess fecal microbial community differences between clinical groups. Comparisons included AD vs MCI, MCI vs CH, and AD vs CH. R statistics and P values are shown in each panel. Overall, pairwise ANOSIM results did not support strong categorical separation between groups based on UniFrac distances. </w:t>
      </w:r>
    </w:p>
    <w:p w:rsidR="00FB74D1" w:rsidRPr="006A0DAA" w:rsidRDefault="00FB74D1" w:rsidP="00FB74D1">
      <w:pPr>
        <w:spacing w:line="480" w:lineRule="auto"/>
        <w:rPr>
          <w:noProof/>
          <w14:ligatures w14:val="standardContextual"/>
        </w:rPr>
      </w:pPr>
    </w:p>
    <w:p w:rsidR="00FB74D1" w:rsidRPr="006A0DAA" w:rsidRDefault="00FB74D1" w:rsidP="00FB74D1">
      <w:pPr>
        <w:spacing w:line="480" w:lineRule="auto"/>
        <w:rPr>
          <w:noProof/>
          <w14:ligatures w14:val="standardContextual"/>
        </w:rPr>
      </w:pPr>
    </w:p>
    <w:p w:rsidR="00FB74D1" w:rsidRPr="006A0DAA" w:rsidRDefault="00FB74D1" w:rsidP="00FB74D1">
      <w:pPr>
        <w:spacing w:line="480" w:lineRule="auto"/>
        <w:rPr>
          <w:b/>
          <w:bCs/>
          <w:noProof/>
          <w14:ligatures w14:val="standardContextual"/>
        </w:rPr>
      </w:pPr>
      <w:r w:rsidRPr="006A0DAA">
        <w:rPr>
          <w:b/>
          <w:bCs/>
          <w:noProof/>
          <w14:ligatures w14:val="standardContextual"/>
        </w:rPr>
        <w:t>Supplementary Figure 5. Exploratory LEfSe analysis of candidate discriminatory taxa across clinical groups.</w:t>
      </w:r>
    </w:p>
    <w:p w:rsidR="00FB74D1" w:rsidRPr="006A0DAA" w:rsidRDefault="00FB74D1" w:rsidP="00FB74D1">
      <w:pPr>
        <w:spacing w:line="480" w:lineRule="auto"/>
        <w:rPr>
          <w:noProof/>
          <w14:ligatures w14:val="standardContextual"/>
        </w:rPr>
      </w:pPr>
      <w:r w:rsidRPr="006A0DAA">
        <w:rPr>
          <w:noProof/>
          <w14:ligatures w14:val="standardContextual"/>
        </w:rPr>
        <w:t>Linear discriminant analysis effect size (LEfSe) was used as an exploratory approach to identify candidate taxa contributing to between-group differences in fecal microbiota composition. LDA score plots are shown for AD vs CH, MCI vs CH, and AD vs MCI comparisons. Taxa enriched in each comparison group are shown by color, and bar length indicates the LDA score. These LEfSe results are presented as exploratory taxonomic signals and should not be interpreted as definitive FDR-significant microbial biomarkers.</w:t>
      </w:r>
    </w:p>
    <w:p w:rsidR="00FB74D1" w:rsidRPr="006A0DAA" w:rsidRDefault="00FB74D1" w:rsidP="00FB74D1">
      <w:pPr>
        <w:spacing w:line="480" w:lineRule="auto"/>
      </w:pPr>
    </w:p>
    <w:p w:rsidR="00FB74D1" w:rsidRPr="006A0DAA" w:rsidRDefault="00FB74D1" w:rsidP="00FB74D1">
      <w:pPr>
        <w:spacing w:line="480" w:lineRule="auto"/>
        <w:rPr>
          <w:b/>
          <w:bCs/>
        </w:rPr>
      </w:pPr>
      <w:r w:rsidRPr="006A0DAA">
        <w:rPr>
          <w:b/>
          <w:bCs/>
        </w:rPr>
        <w:t>Supplementary Figure 6. Predicted functional profiles of fecal microbiota based on 16S rRNA sequencing.</w:t>
      </w:r>
    </w:p>
    <w:p w:rsidR="00FB74D1" w:rsidRPr="006A0DAA" w:rsidRDefault="00FB74D1" w:rsidP="00FB74D1">
      <w:pPr>
        <w:spacing w:line="480" w:lineRule="auto"/>
      </w:pPr>
      <w:r w:rsidRPr="006A0DAA">
        <w:t>Predicted microbial functional profiles were generated from 16S rRNA sequencing data and summarized at the pathway/category level. The heatmap shows relative predicted functional abundance patterns across AD, MCI, and CH samples. Rows represent predicted functional categories, and columns represent individual samples. Values are row-scaled, with red indicating relatively higher predicted abundance and blue indicating relatively lower predicted abundance. These results are provided as supplementary exploratory functional inference and should be interpreted cautiously because they are based on 16S-derived prediction rather than direct metagenomic or metatranscriptomic measurement.</w:t>
      </w:r>
      <w:r w:rsidRPr="006A0DAA">
        <w:rPr>
          <w:noProof/>
          <w14:ligatures w14:val="standardContextual"/>
        </w:rPr>
        <w:t xml:space="preserve"> </w:t>
      </w:r>
      <w:r w:rsidRPr="006A0DAA">
        <w:t>In this figure, “NC” denotes the cognitively healthy control group and is equivalent to “CH” in the main text.</w:t>
      </w:r>
    </w:p>
    <w:p w:rsidR="00FB74D1" w:rsidRPr="006A0DAA" w:rsidRDefault="00FB74D1" w:rsidP="00FB74D1">
      <w:pPr>
        <w:spacing w:line="480" w:lineRule="auto"/>
        <w:jc w:val="center"/>
      </w:pPr>
    </w:p>
    <w:p w:rsidR="00FB74D1" w:rsidRPr="006A0DAA" w:rsidRDefault="00FB74D1" w:rsidP="00FB74D1">
      <w:pPr>
        <w:spacing w:line="480" w:lineRule="auto"/>
        <w:rPr>
          <w:b/>
          <w:bCs/>
        </w:rPr>
      </w:pPr>
      <w:r w:rsidRPr="006A0DAA">
        <w:rPr>
          <w:b/>
          <w:bCs/>
        </w:rPr>
        <w:t>Supplementary Figure 7. Quality-control total ion chromatograms for fecal untargeted metabolomics.</w:t>
      </w:r>
    </w:p>
    <w:p w:rsidR="00FB74D1" w:rsidRPr="00996532" w:rsidRDefault="00FB74D1" w:rsidP="00FB74D1">
      <w:pPr>
        <w:spacing w:line="480" w:lineRule="auto"/>
      </w:pPr>
      <w:r w:rsidRPr="006A0DAA">
        <w:t>Representative total ion chromatograms (TICs) of pooled quality-control (QC) samples are shown for fecal untargeted metabolomics analysis in positive and negative ion modes. The high degree of overlap among QC TIC profiles indicates stable chromatographic retention, signal intensity, and overall analytical reproducibility during LC–MS/MS acquisition. These QC results support the reliability of the fecal metabolomics dataset for downstream exploratory metabolite profiling.</w:t>
      </w:r>
    </w:p>
    <w:p w:rsidR="00577C64" w:rsidRDefault="00577C64">
      <w:bookmarkStart w:id="0" w:name="_GoBack"/>
      <w:bookmarkEnd w:id="0"/>
    </w:p>
    <w:sectPr w:rsidR="00577C64">
      <w:footerReference w:type="default" r:id="rId4"/>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BC3" w:rsidRDefault="00FB74D1">
    <w:pPr>
      <w:jc w:val="center"/>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F6E"/>
    <w:rsid w:val="000129E7"/>
    <w:rsid w:val="00040F20"/>
    <w:rsid w:val="000442FD"/>
    <w:rsid w:val="000460AE"/>
    <w:rsid w:val="00066A79"/>
    <w:rsid w:val="0006785A"/>
    <w:rsid w:val="000851CB"/>
    <w:rsid w:val="00086F12"/>
    <w:rsid w:val="000C240D"/>
    <w:rsid w:val="000C4272"/>
    <w:rsid w:val="000C7B9D"/>
    <w:rsid w:val="000D457B"/>
    <w:rsid w:val="000D741E"/>
    <w:rsid w:val="00102C2E"/>
    <w:rsid w:val="001213A6"/>
    <w:rsid w:val="0012330E"/>
    <w:rsid w:val="00144605"/>
    <w:rsid w:val="00161611"/>
    <w:rsid w:val="00176371"/>
    <w:rsid w:val="001A10A6"/>
    <w:rsid w:val="001A278E"/>
    <w:rsid w:val="001C0F54"/>
    <w:rsid w:val="001C6D3F"/>
    <w:rsid w:val="00243656"/>
    <w:rsid w:val="002452BF"/>
    <w:rsid w:val="00246D92"/>
    <w:rsid w:val="002569E7"/>
    <w:rsid w:val="00261EB7"/>
    <w:rsid w:val="00274E8C"/>
    <w:rsid w:val="00281282"/>
    <w:rsid w:val="00287D65"/>
    <w:rsid w:val="002B6916"/>
    <w:rsid w:val="002C6BE2"/>
    <w:rsid w:val="002D48D1"/>
    <w:rsid w:val="002E5E8B"/>
    <w:rsid w:val="003059BC"/>
    <w:rsid w:val="0037041D"/>
    <w:rsid w:val="003732F1"/>
    <w:rsid w:val="003835D6"/>
    <w:rsid w:val="003929CC"/>
    <w:rsid w:val="003A5898"/>
    <w:rsid w:val="003C2759"/>
    <w:rsid w:val="003C5820"/>
    <w:rsid w:val="003E623B"/>
    <w:rsid w:val="0040286F"/>
    <w:rsid w:val="0041787B"/>
    <w:rsid w:val="00431933"/>
    <w:rsid w:val="00445E22"/>
    <w:rsid w:val="0044602A"/>
    <w:rsid w:val="004505AA"/>
    <w:rsid w:val="00450F86"/>
    <w:rsid w:val="00460E46"/>
    <w:rsid w:val="00471F1F"/>
    <w:rsid w:val="004A5057"/>
    <w:rsid w:val="004A6489"/>
    <w:rsid w:val="004B7706"/>
    <w:rsid w:val="004B7E5C"/>
    <w:rsid w:val="004E01F9"/>
    <w:rsid w:val="004E30C0"/>
    <w:rsid w:val="004F43E9"/>
    <w:rsid w:val="005019F9"/>
    <w:rsid w:val="00503E8F"/>
    <w:rsid w:val="005059BD"/>
    <w:rsid w:val="0053240B"/>
    <w:rsid w:val="005367FB"/>
    <w:rsid w:val="0055069F"/>
    <w:rsid w:val="00565F66"/>
    <w:rsid w:val="00577C64"/>
    <w:rsid w:val="0058651E"/>
    <w:rsid w:val="005B01DA"/>
    <w:rsid w:val="005B6F74"/>
    <w:rsid w:val="005C0954"/>
    <w:rsid w:val="005C0BEA"/>
    <w:rsid w:val="005D3543"/>
    <w:rsid w:val="005E03F2"/>
    <w:rsid w:val="00602D9B"/>
    <w:rsid w:val="00627A91"/>
    <w:rsid w:val="00630465"/>
    <w:rsid w:val="006509C8"/>
    <w:rsid w:val="00682179"/>
    <w:rsid w:val="00692A87"/>
    <w:rsid w:val="0069338A"/>
    <w:rsid w:val="0069392E"/>
    <w:rsid w:val="00695CCE"/>
    <w:rsid w:val="006A4FD5"/>
    <w:rsid w:val="006B5A33"/>
    <w:rsid w:val="006B7CB0"/>
    <w:rsid w:val="006C1639"/>
    <w:rsid w:val="006C2016"/>
    <w:rsid w:val="006D3A9C"/>
    <w:rsid w:val="006F58D4"/>
    <w:rsid w:val="006F62EA"/>
    <w:rsid w:val="006F774A"/>
    <w:rsid w:val="007156D0"/>
    <w:rsid w:val="00725D0E"/>
    <w:rsid w:val="00726704"/>
    <w:rsid w:val="00741761"/>
    <w:rsid w:val="007418E8"/>
    <w:rsid w:val="00763E1E"/>
    <w:rsid w:val="00763FE8"/>
    <w:rsid w:val="00780B3D"/>
    <w:rsid w:val="00786F7B"/>
    <w:rsid w:val="007C0751"/>
    <w:rsid w:val="007C2E3D"/>
    <w:rsid w:val="007D6F6E"/>
    <w:rsid w:val="007E4BFA"/>
    <w:rsid w:val="007F1E0B"/>
    <w:rsid w:val="00803BA7"/>
    <w:rsid w:val="0082236A"/>
    <w:rsid w:val="00854AC8"/>
    <w:rsid w:val="008725AC"/>
    <w:rsid w:val="00895687"/>
    <w:rsid w:val="008C2D43"/>
    <w:rsid w:val="008C6CF7"/>
    <w:rsid w:val="008D7B18"/>
    <w:rsid w:val="009018CB"/>
    <w:rsid w:val="00920CDE"/>
    <w:rsid w:val="00932F5D"/>
    <w:rsid w:val="00952023"/>
    <w:rsid w:val="00952C48"/>
    <w:rsid w:val="00960B3B"/>
    <w:rsid w:val="00976B31"/>
    <w:rsid w:val="009930E0"/>
    <w:rsid w:val="009A7412"/>
    <w:rsid w:val="009D480C"/>
    <w:rsid w:val="009E1DFF"/>
    <w:rsid w:val="00A22420"/>
    <w:rsid w:val="00A4071F"/>
    <w:rsid w:val="00A449F3"/>
    <w:rsid w:val="00A57FD3"/>
    <w:rsid w:val="00A71797"/>
    <w:rsid w:val="00A77193"/>
    <w:rsid w:val="00A87888"/>
    <w:rsid w:val="00A9746F"/>
    <w:rsid w:val="00AB007E"/>
    <w:rsid w:val="00AB018C"/>
    <w:rsid w:val="00AB7AAE"/>
    <w:rsid w:val="00AC0024"/>
    <w:rsid w:val="00AD0D87"/>
    <w:rsid w:val="00AD26A7"/>
    <w:rsid w:val="00AD57CA"/>
    <w:rsid w:val="00AE2791"/>
    <w:rsid w:val="00AF3711"/>
    <w:rsid w:val="00AF43AA"/>
    <w:rsid w:val="00B03DAD"/>
    <w:rsid w:val="00B15D53"/>
    <w:rsid w:val="00B201F7"/>
    <w:rsid w:val="00B3226C"/>
    <w:rsid w:val="00B606D8"/>
    <w:rsid w:val="00B65EC9"/>
    <w:rsid w:val="00B67560"/>
    <w:rsid w:val="00B8170D"/>
    <w:rsid w:val="00B92256"/>
    <w:rsid w:val="00BA7A6D"/>
    <w:rsid w:val="00BB4C8D"/>
    <w:rsid w:val="00BC7EE9"/>
    <w:rsid w:val="00BD0F4C"/>
    <w:rsid w:val="00BE1BE1"/>
    <w:rsid w:val="00BE4C8B"/>
    <w:rsid w:val="00BF540C"/>
    <w:rsid w:val="00C107EE"/>
    <w:rsid w:val="00C1194D"/>
    <w:rsid w:val="00C16848"/>
    <w:rsid w:val="00C40217"/>
    <w:rsid w:val="00C44958"/>
    <w:rsid w:val="00C45A44"/>
    <w:rsid w:val="00C51F98"/>
    <w:rsid w:val="00C5286B"/>
    <w:rsid w:val="00C62A1E"/>
    <w:rsid w:val="00C67EB0"/>
    <w:rsid w:val="00C737A8"/>
    <w:rsid w:val="00C93D55"/>
    <w:rsid w:val="00CB03E0"/>
    <w:rsid w:val="00CB2158"/>
    <w:rsid w:val="00CC3851"/>
    <w:rsid w:val="00CD4087"/>
    <w:rsid w:val="00CD4671"/>
    <w:rsid w:val="00CD6753"/>
    <w:rsid w:val="00D54516"/>
    <w:rsid w:val="00D679DF"/>
    <w:rsid w:val="00D715C9"/>
    <w:rsid w:val="00D7733F"/>
    <w:rsid w:val="00D93846"/>
    <w:rsid w:val="00DA792D"/>
    <w:rsid w:val="00DC3A04"/>
    <w:rsid w:val="00DC4E61"/>
    <w:rsid w:val="00DC615E"/>
    <w:rsid w:val="00DD1199"/>
    <w:rsid w:val="00DE0990"/>
    <w:rsid w:val="00DE2123"/>
    <w:rsid w:val="00DE3F4B"/>
    <w:rsid w:val="00E029FA"/>
    <w:rsid w:val="00E04824"/>
    <w:rsid w:val="00E1482F"/>
    <w:rsid w:val="00E14CA6"/>
    <w:rsid w:val="00E265BB"/>
    <w:rsid w:val="00E355A9"/>
    <w:rsid w:val="00E37E3C"/>
    <w:rsid w:val="00E665BA"/>
    <w:rsid w:val="00EA28AC"/>
    <w:rsid w:val="00EA6FE2"/>
    <w:rsid w:val="00EB7E00"/>
    <w:rsid w:val="00EC4F63"/>
    <w:rsid w:val="00ED0712"/>
    <w:rsid w:val="00ED6939"/>
    <w:rsid w:val="00EE20BC"/>
    <w:rsid w:val="00EF0F90"/>
    <w:rsid w:val="00EF63C4"/>
    <w:rsid w:val="00F114DE"/>
    <w:rsid w:val="00F12D6F"/>
    <w:rsid w:val="00F57902"/>
    <w:rsid w:val="00F57D0D"/>
    <w:rsid w:val="00F65AF1"/>
    <w:rsid w:val="00F670D9"/>
    <w:rsid w:val="00F7697E"/>
    <w:rsid w:val="00F85FB1"/>
    <w:rsid w:val="00F90966"/>
    <w:rsid w:val="00F9381F"/>
    <w:rsid w:val="00F96B85"/>
    <w:rsid w:val="00FA3ED2"/>
    <w:rsid w:val="00FB17B2"/>
    <w:rsid w:val="00FB74D1"/>
    <w:rsid w:val="00FD0581"/>
    <w:rsid w:val="00FE20E7"/>
    <w:rsid w:val="00FE7E61"/>
    <w:rsid w:val="00FF05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B2B923-69A4-46FD-AD0D-5AB767EB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725</Words>
  <Characters>4136</Characters>
  <Application>Microsoft Office Word</Application>
  <DocSecurity>0</DocSecurity>
  <Lines>34</Lines>
  <Paragraphs>9</Paragraphs>
  <ScaleCrop>false</ScaleCrop>
  <Company/>
  <LinksUpToDate>false</LinksUpToDate>
  <CharactersWithSpaces>4852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Jenifer T Thambi Durai A</dc:creator>
  <cp:keywords/>
  <dc:description/>
  <cp:lastModifiedBy>Mary Jenifer T Thambi Durai A</cp:lastModifiedBy>
  <cp:revision>2</cp:revision>
  <dcterms:created xsi:type="dcterms:W3CDTF">2026-09-23T16:27:00Z</dcterms:created>
  <dcterms:modified xsi:type="dcterms:W3CDTF">2026-09-23T16:28:00Z</dcterms:modified>
</cp:coreProperties>
</file>