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CC72C5A">
      <w:pPr>
        <w:pStyle w:val="3"/>
        <w:keepNext w:val="0"/>
        <w:keepLines w:val="0"/>
        <w:widowControl/>
        <w:shd w:val="clear" w:color="auto" w:fill="FFFFFF"/>
        <w:spacing w:before="375" w:after="0" w:line="360" w:lineRule="exact"/>
        <w:jc w:val="both"/>
        <w:rPr>
          <w:rFonts w:hint="default" w:ascii="Times New Roman" w:hAnsi="Times New Roman" w:cs="Times New Roman"/>
          <w:b/>
          <w:bCs/>
          <w:color w:val="333333"/>
          <w:sz w:val="30"/>
          <w:szCs w:val="30"/>
          <w:shd w:val="clear" w:color="auto" w:fill="FFFFFF"/>
        </w:rPr>
      </w:pPr>
      <w:r>
        <w:rPr>
          <w:rFonts w:hint="default" w:ascii="Times New Roman" w:hAnsi="Times New Roman" w:eastAsia="Times New Roman" w:cs="Times New Roman"/>
          <w:b/>
          <w:color w:val="333333"/>
          <w:sz w:val="30"/>
          <w:szCs w:val="30"/>
          <w:shd w:val="clear" w:color="auto" w:fill="FFFFFF"/>
        </w:rPr>
        <w:t>Tacrolimus attenuates BCL-2/BAX-mediated chondrocyte apoptosis and cartilage matrix degradation in experimental osteoarthritis</w:t>
      </w:r>
    </w:p>
    <w:p w14:paraId="0FFD5011">
      <w:pPr>
        <w:rPr>
          <w:rFonts w:hint="default" w:ascii="Times New Roman" w:hAnsi="Times New Roman" w:cs="Times New Roman"/>
          <w:b/>
          <w:bCs/>
        </w:rPr>
      </w:pPr>
    </w:p>
    <w:p w14:paraId="03F547B7">
      <w:pPr>
        <w:keepNext/>
        <w:rPr>
          <w:rFonts w:hint="default" w:ascii="Times New Roman" w:hAnsi="Times New Roman" w:cs="Times New Roman"/>
          <w:b/>
          <w:bCs/>
        </w:rPr>
      </w:pPr>
      <w:r>
        <w:rPr>
          <w:rFonts w:hint="default" w:ascii="Times New Roman" w:hAnsi="Times New Roman" w:eastAsia="Times New Roman" w:cs="Times New Roman"/>
          <w:b/>
        </w:rPr>
        <w:t>Table S1. qPCR Primer Sequences</w:t>
      </w:r>
    </w:p>
    <w:tbl>
      <w:tblPr>
        <w:tblStyle w:val="15"/>
        <w:tblW w:w="830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700"/>
        <w:gridCol w:w="1000"/>
        <w:gridCol w:w="1100"/>
        <w:gridCol w:w="2750"/>
        <w:gridCol w:w="2750"/>
      </w:tblGrid>
      <w:tr w14:paraId="61F73F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blHeader/>
        </w:trPr>
        <w:tc>
          <w:tcPr>
            <w:tcW w:w="700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3CCD90C">
            <w:pPr>
              <w:rPr>
                <w:rFonts w:hint="default" w:ascii="Times New Roman" w:hAnsi="Times New Roman" w:cs="Times New Roman"/>
                <w:b/>
                <w:bCs/>
              </w:rPr>
            </w:pPr>
            <w:r>
              <w:rPr>
                <w:rFonts w:hint="default" w:ascii="Times New Roman" w:hAnsi="Times New Roman" w:eastAsia="Times New Roman" w:cs="Times New Roman"/>
                <w:b/>
                <w:sz w:val="20"/>
                <w:szCs w:val="20"/>
              </w:rPr>
              <w:t>No.</w:t>
            </w:r>
          </w:p>
        </w:tc>
        <w:tc>
          <w:tcPr>
            <w:tcW w:w="1000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4AF8996">
            <w:pPr>
              <w:rPr>
                <w:rFonts w:hint="default" w:ascii="Times New Roman" w:hAnsi="Times New Roman" w:cs="Times New Roman"/>
                <w:b/>
                <w:bCs/>
              </w:rPr>
            </w:pPr>
            <w:r>
              <w:rPr>
                <w:rFonts w:hint="default" w:ascii="Times New Roman" w:hAnsi="Times New Roman" w:eastAsia="Times New Roman" w:cs="Times New Roman"/>
                <w:b/>
                <w:sz w:val="20"/>
                <w:szCs w:val="20"/>
              </w:rPr>
              <w:t>Gene Name</w:t>
            </w:r>
          </w:p>
        </w:tc>
        <w:tc>
          <w:tcPr>
            <w:tcW w:w="1100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D3E0C72">
            <w:pPr>
              <w:rPr>
                <w:rFonts w:hint="default" w:ascii="Times New Roman" w:hAnsi="Times New Roman" w:cs="Times New Roman"/>
                <w:b/>
                <w:bCs/>
              </w:rPr>
            </w:pPr>
            <w:r>
              <w:rPr>
                <w:rFonts w:hint="default" w:ascii="Times New Roman" w:hAnsi="Times New Roman" w:eastAsia="Times New Roman" w:cs="Times New Roman"/>
                <w:b/>
                <w:sz w:val="20"/>
                <w:szCs w:val="20"/>
              </w:rPr>
              <w:t>Species</w:t>
            </w:r>
          </w:p>
        </w:tc>
        <w:tc>
          <w:tcPr>
            <w:tcW w:w="2750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07039CC">
            <w:pPr>
              <w:rPr>
                <w:rFonts w:hint="default" w:ascii="Times New Roman" w:hAnsi="Times New Roman" w:cs="Times New Roman"/>
                <w:b/>
                <w:bCs/>
              </w:rPr>
            </w:pPr>
            <w:r>
              <w:rPr>
                <w:rFonts w:hint="default" w:ascii="Times New Roman" w:hAnsi="Times New Roman" w:eastAsia="Times New Roman" w:cs="Times New Roman"/>
                <w:b/>
                <w:sz w:val="20"/>
                <w:szCs w:val="20"/>
              </w:rPr>
              <w:t>Forward Sequence (5'→3')</w:t>
            </w:r>
          </w:p>
        </w:tc>
        <w:tc>
          <w:tcPr>
            <w:tcW w:w="2750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C660C6B">
            <w:pPr>
              <w:rPr>
                <w:rFonts w:hint="default" w:ascii="Times New Roman" w:hAnsi="Times New Roman" w:cs="Times New Roman"/>
                <w:b/>
                <w:bCs/>
              </w:rPr>
            </w:pPr>
            <w:r>
              <w:rPr>
                <w:rFonts w:hint="default" w:ascii="Times New Roman" w:hAnsi="Times New Roman" w:eastAsia="Times New Roman" w:cs="Times New Roman"/>
                <w:b/>
                <w:sz w:val="20"/>
                <w:szCs w:val="20"/>
              </w:rPr>
              <w:t>Reverse Sequence (5'→3')</w:t>
            </w:r>
          </w:p>
        </w:tc>
      </w:tr>
      <w:tr w14:paraId="13A741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</w:trPr>
        <w:tc>
          <w:tcPr>
            <w:tcW w:w="700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5477CA0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20"/>
                <w:szCs w:val="20"/>
              </w:rPr>
              <w:t>1</w:t>
            </w:r>
          </w:p>
        </w:tc>
        <w:tc>
          <w:tcPr>
            <w:tcW w:w="1000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284E0CB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20"/>
                <w:szCs w:val="20"/>
              </w:rPr>
              <w:t>CD86</w:t>
            </w:r>
          </w:p>
        </w:tc>
        <w:tc>
          <w:tcPr>
            <w:tcW w:w="1100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EB076FB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20"/>
                <w:szCs w:val="20"/>
              </w:rPr>
              <w:t>mouse</w:t>
            </w:r>
          </w:p>
        </w:tc>
        <w:tc>
          <w:tcPr>
            <w:tcW w:w="2750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2D14D9C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ATATGACCGTTGTGTGTGTTCTGGA</w:t>
            </w:r>
          </w:p>
        </w:tc>
        <w:tc>
          <w:tcPr>
            <w:tcW w:w="2750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29B1CA9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AGGGCCACAGTAACTGAAGCTGTAA</w:t>
            </w:r>
          </w:p>
        </w:tc>
      </w:tr>
      <w:tr w14:paraId="374614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</w:trPr>
        <w:tc>
          <w:tcPr>
            <w:tcW w:w="700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2908D15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20"/>
                <w:szCs w:val="20"/>
              </w:rPr>
              <w:t>2</w:t>
            </w:r>
          </w:p>
        </w:tc>
        <w:tc>
          <w:tcPr>
            <w:tcW w:w="1000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E811E51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20"/>
                <w:szCs w:val="20"/>
              </w:rPr>
              <w:t>IL-1β</w:t>
            </w:r>
          </w:p>
        </w:tc>
        <w:tc>
          <w:tcPr>
            <w:tcW w:w="1100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A74F266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20"/>
                <w:szCs w:val="20"/>
              </w:rPr>
              <w:t>mouse</w:t>
            </w:r>
          </w:p>
        </w:tc>
        <w:tc>
          <w:tcPr>
            <w:tcW w:w="2750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3841F41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GCAACTGTTCCTGAACTCAACT</w:t>
            </w:r>
          </w:p>
        </w:tc>
        <w:tc>
          <w:tcPr>
            <w:tcW w:w="2750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EAFBF2D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ATCTTTTGGGGTCCGTCAACT</w:t>
            </w:r>
          </w:p>
        </w:tc>
      </w:tr>
      <w:tr w14:paraId="158FF4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</w:trPr>
        <w:tc>
          <w:tcPr>
            <w:tcW w:w="700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69C25E7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20"/>
                <w:szCs w:val="20"/>
              </w:rPr>
              <w:t>3</w:t>
            </w:r>
          </w:p>
        </w:tc>
        <w:tc>
          <w:tcPr>
            <w:tcW w:w="1000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F66D5CC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20"/>
                <w:szCs w:val="20"/>
              </w:rPr>
              <w:t xml:space="preserve">CD206 </w:t>
            </w:r>
          </w:p>
        </w:tc>
        <w:tc>
          <w:tcPr>
            <w:tcW w:w="1100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724ECDF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20"/>
                <w:szCs w:val="20"/>
              </w:rPr>
              <w:t>mouse</w:t>
            </w:r>
          </w:p>
        </w:tc>
        <w:tc>
          <w:tcPr>
            <w:tcW w:w="2750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E9FE0EE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AGCTTCATCTTCGGGCCTTTG</w:t>
            </w:r>
          </w:p>
        </w:tc>
        <w:tc>
          <w:tcPr>
            <w:tcW w:w="2750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684F3F5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GGTGACCACTCCTGCTGCTTTAG</w:t>
            </w:r>
          </w:p>
        </w:tc>
      </w:tr>
      <w:tr w14:paraId="0896D7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</w:trPr>
        <w:tc>
          <w:tcPr>
            <w:tcW w:w="700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EA8197B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20"/>
                <w:szCs w:val="20"/>
              </w:rPr>
              <w:t>4</w:t>
            </w:r>
          </w:p>
        </w:tc>
        <w:tc>
          <w:tcPr>
            <w:tcW w:w="1000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1E6537C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20"/>
                <w:szCs w:val="20"/>
              </w:rPr>
              <w:t>IL-10</w:t>
            </w:r>
          </w:p>
        </w:tc>
        <w:tc>
          <w:tcPr>
            <w:tcW w:w="1100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C1D80AF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20"/>
                <w:szCs w:val="20"/>
              </w:rPr>
              <w:t>mouse</w:t>
            </w:r>
          </w:p>
        </w:tc>
        <w:tc>
          <w:tcPr>
            <w:tcW w:w="2750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2DE7BBD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GCTCTTACTGACTGGCATGAG</w:t>
            </w:r>
          </w:p>
        </w:tc>
        <w:tc>
          <w:tcPr>
            <w:tcW w:w="2750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C3DC40D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CGCAGCTCTAGGAGCATGTG</w:t>
            </w:r>
          </w:p>
        </w:tc>
      </w:tr>
      <w:tr w14:paraId="3B9541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</w:trPr>
        <w:tc>
          <w:tcPr>
            <w:tcW w:w="700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DDBEC99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20"/>
                <w:szCs w:val="20"/>
              </w:rPr>
              <w:t>5</w:t>
            </w:r>
          </w:p>
        </w:tc>
        <w:tc>
          <w:tcPr>
            <w:tcW w:w="1000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91075A3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20"/>
                <w:szCs w:val="20"/>
              </w:rPr>
              <w:t>Bax</w:t>
            </w:r>
          </w:p>
        </w:tc>
        <w:tc>
          <w:tcPr>
            <w:tcW w:w="1100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77DAFB4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20"/>
                <w:szCs w:val="20"/>
              </w:rPr>
              <w:t>rat</w:t>
            </w:r>
          </w:p>
        </w:tc>
        <w:tc>
          <w:tcPr>
            <w:tcW w:w="2750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BCA5CCB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CCAAGAAGCTGAGCGAGTGT</w:t>
            </w:r>
          </w:p>
        </w:tc>
        <w:tc>
          <w:tcPr>
            <w:tcW w:w="2750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D568767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CCAGTTGAAGTTGCCGTCTG</w:t>
            </w:r>
          </w:p>
        </w:tc>
      </w:tr>
      <w:tr w14:paraId="6060BD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</w:trPr>
        <w:tc>
          <w:tcPr>
            <w:tcW w:w="700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810D934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20"/>
                <w:szCs w:val="20"/>
              </w:rPr>
              <w:t>6</w:t>
            </w:r>
          </w:p>
        </w:tc>
        <w:tc>
          <w:tcPr>
            <w:tcW w:w="1000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969815F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20"/>
                <w:szCs w:val="20"/>
              </w:rPr>
              <w:t>Bcl-2</w:t>
            </w:r>
          </w:p>
        </w:tc>
        <w:tc>
          <w:tcPr>
            <w:tcW w:w="1100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F94FF6B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20"/>
                <w:szCs w:val="20"/>
              </w:rPr>
              <w:t>rat</w:t>
            </w:r>
          </w:p>
        </w:tc>
        <w:tc>
          <w:tcPr>
            <w:tcW w:w="2750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217608B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GAGTACCTGAACCGGCATCT</w:t>
            </w:r>
          </w:p>
        </w:tc>
        <w:tc>
          <w:tcPr>
            <w:tcW w:w="2750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5DFA8F0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GCATCCCAGCCTCCGTTAT</w:t>
            </w:r>
          </w:p>
        </w:tc>
      </w:tr>
      <w:tr w14:paraId="3B82EA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</w:trPr>
        <w:tc>
          <w:tcPr>
            <w:tcW w:w="700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A3FA394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20"/>
                <w:szCs w:val="20"/>
              </w:rPr>
              <w:t>7</w:t>
            </w:r>
          </w:p>
        </w:tc>
        <w:tc>
          <w:tcPr>
            <w:tcW w:w="1000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6736B42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20"/>
                <w:szCs w:val="20"/>
              </w:rPr>
              <w:t xml:space="preserve">GAPDH </w:t>
            </w:r>
          </w:p>
        </w:tc>
        <w:tc>
          <w:tcPr>
            <w:tcW w:w="1100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4E6C4FA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20"/>
                <w:szCs w:val="20"/>
              </w:rPr>
              <w:t>mouse</w:t>
            </w:r>
          </w:p>
        </w:tc>
        <w:tc>
          <w:tcPr>
            <w:tcW w:w="2750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41F8A5A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AGGTCGGTGTGAACGGATTTG</w:t>
            </w:r>
          </w:p>
        </w:tc>
        <w:tc>
          <w:tcPr>
            <w:tcW w:w="2750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90B8F3D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TGTAGACCATGTAGTTGAGGTCA</w:t>
            </w:r>
          </w:p>
        </w:tc>
      </w:tr>
      <w:tr w14:paraId="4F2103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</w:trPr>
        <w:tc>
          <w:tcPr>
            <w:tcW w:w="700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861AA50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20"/>
                <w:szCs w:val="20"/>
              </w:rPr>
              <w:t>8</w:t>
            </w:r>
          </w:p>
        </w:tc>
        <w:tc>
          <w:tcPr>
            <w:tcW w:w="1000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5CF8BB7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20"/>
                <w:szCs w:val="20"/>
              </w:rPr>
              <w:t xml:space="preserve">GAPDH </w:t>
            </w:r>
          </w:p>
        </w:tc>
        <w:tc>
          <w:tcPr>
            <w:tcW w:w="1100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62FBE5A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20"/>
                <w:szCs w:val="20"/>
              </w:rPr>
              <w:t>rat</w:t>
            </w:r>
          </w:p>
        </w:tc>
        <w:tc>
          <w:tcPr>
            <w:tcW w:w="2750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0A6587D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GGCACAGTCAAGGCTGAGAATG</w:t>
            </w:r>
          </w:p>
        </w:tc>
        <w:tc>
          <w:tcPr>
            <w:tcW w:w="2750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89D8C6C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ATGGTGGTGAAGACGCCAGTA</w:t>
            </w:r>
          </w:p>
        </w:tc>
      </w:tr>
      <w:tr w14:paraId="4C2D58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</w:trPr>
        <w:tc>
          <w:tcPr>
            <w:tcW w:w="700" w:type="dxa"/>
          </w:tcPr>
          <w:p w14:paraId="408A2767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000" w:type="dxa"/>
          </w:tcPr>
          <w:p w14:paraId="0F166B7E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COL2A1</w:t>
            </w:r>
          </w:p>
        </w:tc>
        <w:tc>
          <w:tcPr>
            <w:tcW w:w="1100" w:type="dxa"/>
          </w:tcPr>
          <w:p w14:paraId="6A2688C7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rat</w:t>
            </w:r>
          </w:p>
        </w:tc>
        <w:tc>
          <w:tcPr>
            <w:tcW w:w="2750" w:type="dxa"/>
          </w:tcPr>
          <w:p w14:paraId="635A297C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CCCCTGCAGTACATGCGG</w:t>
            </w:r>
          </w:p>
        </w:tc>
        <w:tc>
          <w:tcPr>
            <w:tcW w:w="2750" w:type="dxa"/>
          </w:tcPr>
          <w:p w14:paraId="14F6692B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CTCGACGTCATGCTGTCTCAAG</w:t>
            </w:r>
          </w:p>
        </w:tc>
      </w:tr>
      <w:tr w14:paraId="665CEE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</w:trPr>
        <w:tc>
          <w:tcPr>
            <w:tcW w:w="700" w:type="dxa"/>
          </w:tcPr>
          <w:p w14:paraId="02A57A0F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000" w:type="dxa"/>
          </w:tcPr>
          <w:p w14:paraId="2148309F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ACAN</w:t>
            </w:r>
          </w:p>
        </w:tc>
        <w:tc>
          <w:tcPr>
            <w:tcW w:w="1100" w:type="dxa"/>
          </w:tcPr>
          <w:p w14:paraId="697E0CD1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rat</w:t>
            </w:r>
          </w:p>
        </w:tc>
        <w:tc>
          <w:tcPr>
            <w:tcW w:w="2750" w:type="dxa"/>
          </w:tcPr>
          <w:p w14:paraId="23BEA297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GACAAGGACGAGTTCCCTGG</w:t>
            </w:r>
          </w:p>
        </w:tc>
        <w:tc>
          <w:tcPr>
            <w:tcW w:w="2750" w:type="dxa"/>
          </w:tcPr>
          <w:p w14:paraId="63704D93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CTCCGGGGATGTGGCATAAA</w:t>
            </w:r>
          </w:p>
        </w:tc>
      </w:tr>
      <w:tr w14:paraId="2C78E2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</w:trPr>
        <w:tc>
          <w:tcPr>
            <w:tcW w:w="700" w:type="dxa"/>
          </w:tcPr>
          <w:p w14:paraId="163B2B06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000" w:type="dxa"/>
          </w:tcPr>
          <w:p w14:paraId="76EE2FD0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MMP13</w:t>
            </w:r>
          </w:p>
        </w:tc>
        <w:tc>
          <w:tcPr>
            <w:tcW w:w="1100" w:type="dxa"/>
          </w:tcPr>
          <w:p w14:paraId="2AAD25F7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rat</w:t>
            </w:r>
          </w:p>
        </w:tc>
        <w:tc>
          <w:tcPr>
            <w:tcW w:w="2750" w:type="dxa"/>
          </w:tcPr>
          <w:p w14:paraId="4F9641AE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GGACAAAGACTATCCCCGCC</w:t>
            </w:r>
          </w:p>
        </w:tc>
        <w:tc>
          <w:tcPr>
            <w:tcW w:w="2750" w:type="dxa"/>
          </w:tcPr>
          <w:p w14:paraId="52629EF4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GGCATGACTCTCACAATGCG</w:t>
            </w:r>
          </w:p>
        </w:tc>
      </w:tr>
      <w:tr w14:paraId="4AC1CC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</w:trPr>
        <w:tc>
          <w:tcPr>
            <w:tcW w:w="700" w:type="dxa"/>
          </w:tcPr>
          <w:p w14:paraId="348EF194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000" w:type="dxa"/>
          </w:tcPr>
          <w:p w14:paraId="6AD67E6C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TNF-α</w:t>
            </w:r>
          </w:p>
        </w:tc>
        <w:tc>
          <w:tcPr>
            <w:tcW w:w="1100" w:type="dxa"/>
          </w:tcPr>
          <w:p w14:paraId="41BCF643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mouse</w:t>
            </w:r>
          </w:p>
        </w:tc>
        <w:tc>
          <w:tcPr>
            <w:tcW w:w="2750" w:type="dxa"/>
          </w:tcPr>
          <w:p w14:paraId="09403A17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GACGTGGAACTGGCAGAAGAG</w:t>
            </w:r>
          </w:p>
        </w:tc>
        <w:tc>
          <w:tcPr>
            <w:tcW w:w="2750" w:type="dxa"/>
          </w:tcPr>
          <w:p w14:paraId="00013E5B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GCCACAAGCAGGAATGAGAAG</w:t>
            </w:r>
          </w:p>
        </w:tc>
      </w:tr>
      <w:tr w14:paraId="0E53E4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</w:trPr>
        <w:tc>
          <w:tcPr>
            <w:tcW w:w="700" w:type="dxa"/>
          </w:tcPr>
          <w:p w14:paraId="07DAA09B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000" w:type="dxa"/>
          </w:tcPr>
          <w:p w14:paraId="69500A43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Arg-1</w:t>
            </w:r>
          </w:p>
        </w:tc>
        <w:tc>
          <w:tcPr>
            <w:tcW w:w="1100" w:type="dxa"/>
          </w:tcPr>
          <w:p w14:paraId="3EA68FC5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mouse</w:t>
            </w:r>
          </w:p>
        </w:tc>
        <w:tc>
          <w:tcPr>
            <w:tcW w:w="2750" w:type="dxa"/>
          </w:tcPr>
          <w:p w14:paraId="16E653D5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CTCCAAGCCAAAGTCCTTAGAG</w:t>
            </w:r>
          </w:p>
        </w:tc>
        <w:tc>
          <w:tcPr>
            <w:tcW w:w="2750" w:type="dxa"/>
          </w:tcPr>
          <w:p w14:paraId="1D2ACF00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AGGAGCTGTCATTAGGGACATC</w:t>
            </w:r>
          </w:p>
        </w:tc>
      </w:tr>
    </w:tbl>
    <w:p w14:paraId="43700B7C">
      <w:pPr>
        <w:rPr>
          <w:rFonts w:hint="default" w:ascii="Times New Roman" w:hAnsi="Times New Roman" w:cs="Times New Roman"/>
        </w:rPr>
      </w:pPr>
    </w:p>
    <w:p w14:paraId="7F619681">
      <w:pPr>
        <w:rPr>
          <w:rFonts w:hint="default" w:ascii="Times New Roman" w:hAnsi="Times New Roman" w:cs="Times New Roman"/>
        </w:rPr>
      </w:pPr>
    </w:p>
    <w:p w14:paraId="5DD7D756">
      <w:pPr>
        <w:keepNext/>
        <w:rPr>
          <w:rFonts w:hint="default" w:ascii="Times New Roman" w:hAnsi="Times New Roman" w:cs="Times New Roman"/>
          <w:b/>
          <w:bCs/>
        </w:rPr>
      </w:pPr>
      <w:r>
        <w:rPr>
          <w:rFonts w:hint="default" w:ascii="Times New Roman" w:hAnsi="Times New Roman" w:eastAsia="Times New Roman" w:cs="Times New Roman"/>
          <w:b/>
        </w:rPr>
        <w:t>Table S2. Rat Bcl-2 siRNA Sequences</w:t>
      </w:r>
    </w:p>
    <w:tbl>
      <w:tblPr>
        <w:tblStyle w:val="15"/>
        <w:tblW w:w="830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700"/>
        <w:gridCol w:w="1400"/>
        <w:gridCol w:w="3100"/>
        <w:gridCol w:w="3100"/>
      </w:tblGrid>
      <w:tr w14:paraId="227DBD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blHeader/>
        </w:trPr>
        <w:tc>
          <w:tcPr>
            <w:tcW w:w="700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C6CDD7A">
            <w:pPr>
              <w:rPr>
                <w:rFonts w:hint="default" w:ascii="Times New Roman" w:hAnsi="Times New Roman" w:cs="Times New Roman"/>
                <w:b/>
                <w:bCs/>
              </w:rPr>
            </w:pPr>
            <w:r>
              <w:rPr>
                <w:rFonts w:hint="default" w:ascii="Times New Roman" w:hAnsi="Times New Roman" w:eastAsia="Times New Roman" w:cs="Times New Roman"/>
                <w:b/>
                <w:sz w:val="20"/>
                <w:szCs w:val="20"/>
              </w:rPr>
              <w:t>No.</w:t>
            </w:r>
          </w:p>
        </w:tc>
        <w:tc>
          <w:tcPr>
            <w:tcW w:w="1400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77965FD">
            <w:pPr>
              <w:rPr>
                <w:rFonts w:hint="default" w:ascii="Times New Roman" w:hAnsi="Times New Roman" w:cs="Times New Roman"/>
                <w:b/>
                <w:bCs/>
              </w:rPr>
            </w:pPr>
            <w:r>
              <w:rPr>
                <w:rFonts w:hint="default" w:ascii="Times New Roman" w:hAnsi="Times New Roman" w:eastAsia="Times New Roman" w:cs="Times New Roman"/>
                <w:b/>
                <w:sz w:val="20"/>
                <w:szCs w:val="20"/>
              </w:rPr>
              <w:t>Name</w:t>
            </w:r>
          </w:p>
        </w:tc>
        <w:tc>
          <w:tcPr>
            <w:tcW w:w="3100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74A7E7D">
            <w:pPr>
              <w:rPr>
                <w:rFonts w:hint="default" w:ascii="Times New Roman" w:hAnsi="Times New Roman" w:cs="Times New Roman"/>
                <w:b/>
                <w:bCs/>
              </w:rPr>
            </w:pPr>
            <w:r>
              <w:rPr>
                <w:rFonts w:hint="default" w:ascii="Times New Roman" w:hAnsi="Times New Roman" w:eastAsia="Times New Roman" w:cs="Times New Roman"/>
                <w:b/>
                <w:sz w:val="20"/>
                <w:szCs w:val="20"/>
              </w:rPr>
              <w:t>Sense Strand (5'→3')</w:t>
            </w:r>
          </w:p>
        </w:tc>
        <w:tc>
          <w:tcPr>
            <w:tcW w:w="3100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FE36A9D">
            <w:pPr>
              <w:rPr>
                <w:rFonts w:hint="default" w:ascii="Times New Roman" w:hAnsi="Times New Roman" w:cs="Times New Roman"/>
                <w:b/>
                <w:bCs/>
              </w:rPr>
            </w:pPr>
            <w:r>
              <w:rPr>
                <w:rFonts w:hint="default" w:ascii="Times New Roman" w:hAnsi="Times New Roman" w:eastAsia="Times New Roman" w:cs="Times New Roman"/>
                <w:b/>
                <w:sz w:val="20"/>
                <w:szCs w:val="20"/>
              </w:rPr>
              <w:t>Antisense Strand (5'→3')</w:t>
            </w:r>
          </w:p>
        </w:tc>
      </w:tr>
      <w:tr w14:paraId="6B08D1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</w:trPr>
        <w:tc>
          <w:tcPr>
            <w:tcW w:w="700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CD83DB6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20"/>
                <w:szCs w:val="20"/>
              </w:rPr>
              <w:t>1</w:t>
            </w:r>
          </w:p>
        </w:tc>
        <w:tc>
          <w:tcPr>
            <w:tcW w:w="1400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EC43D6B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20"/>
                <w:szCs w:val="20"/>
              </w:rPr>
              <w:t>si-Bcl2-1</w:t>
            </w:r>
          </w:p>
        </w:tc>
        <w:tc>
          <w:tcPr>
            <w:tcW w:w="3100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9750497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8"/>
                <w:szCs w:val="18"/>
              </w:rPr>
              <w:t>GGAUGACUGAGUACCUGAAdTdT</w:t>
            </w:r>
          </w:p>
        </w:tc>
        <w:tc>
          <w:tcPr>
            <w:tcW w:w="3100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93E0313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8"/>
                <w:szCs w:val="18"/>
              </w:rPr>
              <w:t>UUCAGGUACUCAGUCAUCCdTdT</w:t>
            </w:r>
          </w:p>
        </w:tc>
      </w:tr>
      <w:tr w14:paraId="48A271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</w:trPr>
        <w:tc>
          <w:tcPr>
            <w:tcW w:w="700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C4CE2E4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20"/>
                <w:szCs w:val="20"/>
              </w:rPr>
              <w:t>2</w:t>
            </w:r>
          </w:p>
        </w:tc>
        <w:tc>
          <w:tcPr>
            <w:tcW w:w="1400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CA92C4E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20"/>
                <w:szCs w:val="20"/>
              </w:rPr>
              <w:t xml:space="preserve">si-NC </w:t>
            </w:r>
          </w:p>
        </w:tc>
        <w:tc>
          <w:tcPr>
            <w:tcW w:w="3100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1158042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8"/>
                <w:szCs w:val="18"/>
              </w:rPr>
              <w:t>UUCUCCGAACGUGUCACGUdTdT</w:t>
            </w:r>
          </w:p>
        </w:tc>
        <w:tc>
          <w:tcPr>
            <w:tcW w:w="3100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0E6283C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8"/>
                <w:szCs w:val="18"/>
              </w:rPr>
              <w:t>ACGUGACACGUUCGGAGAAdTdT</w:t>
            </w:r>
          </w:p>
        </w:tc>
      </w:tr>
    </w:tbl>
    <w:p w14:paraId="39AF0980">
      <w:pPr>
        <w:keepNext/>
        <w:rPr>
          <w:rFonts w:hint="default" w:ascii="Times New Roman" w:hAnsi="Times New Roman" w:cs="Times New Roman"/>
          <w:b/>
        </w:rPr>
      </w:pPr>
    </w:p>
    <w:p w14:paraId="6A773B8F">
      <w:pPr>
        <w:keepNext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/>
        </w:rPr>
        <w:t>Table S3. Antibody information</w:t>
      </w:r>
    </w:p>
    <w:tbl>
      <w:tblPr>
        <w:tblStyle w:val="16"/>
        <w:tblW w:w="830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49"/>
        <w:gridCol w:w="1395"/>
        <w:gridCol w:w="1635"/>
        <w:gridCol w:w="1325"/>
        <w:gridCol w:w="1796"/>
      </w:tblGrid>
      <w:tr w14:paraId="1A8A01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3" w:hRule="atLeast"/>
          <w:tblHeader/>
        </w:trPr>
        <w:tc>
          <w:tcPr>
            <w:tcW w:w="2149" w:type="dxa"/>
          </w:tcPr>
          <w:p w14:paraId="4EA35BCC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sz w:val="20"/>
                <w:szCs w:val="20"/>
              </w:rPr>
              <w:t>Antibody</w:t>
            </w:r>
          </w:p>
        </w:tc>
        <w:tc>
          <w:tcPr>
            <w:tcW w:w="1395" w:type="dxa"/>
          </w:tcPr>
          <w:p w14:paraId="7207CCE4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sz w:val="20"/>
                <w:szCs w:val="20"/>
              </w:rPr>
              <w:t>Application</w:t>
            </w:r>
          </w:p>
        </w:tc>
        <w:tc>
          <w:tcPr>
            <w:tcW w:w="1635" w:type="dxa"/>
          </w:tcPr>
          <w:p w14:paraId="36BEC39C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sz w:val="20"/>
                <w:szCs w:val="20"/>
              </w:rPr>
              <w:t>Manufacturer</w:t>
            </w:r>
          </w:p>
        </w:tc>
        <w:tc>
          <w:tcPr>
            <w:tcW w:w="1325" w:type="dxa"/>
          </w:tcPr>
          <w:p w14:paraId="535A3F9E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sz w:val="20"/>
                <w:szCs w:val="20"/>
              </w:rPr>
              <w:t>Catalogue No.</w:t>
            </w:r>
          </w:p>
        </w:tc>
        <w:tc>
          <w:tcPr>
            <w:tcW w:w="1796" w:type="dxa"/>
          </w:tcPr>
          <w:p w14:paraId="0EC27907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sz w:val="20"/>
                <w:szCs w:val="20"/>
              </w:rPr>
              <w:t>Working dilution</w:t>
            </w:r>
          </w:p>
        </w:tc>
      </w:tr>
      <w:tr w14:paraId="2AF82C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2149" w:type="dxa"/>
          </w:tcPr>
          <w:p w14:paraId="27021A8E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BCL-2</w:t>
            </w:r>
          </w:p>
        </w:tc>
        <w:tc>
          <w:tcPr>
            <w:tcW w:w="1395" w:type="dxa"/>
          </w:tcPr>
          <w:p w14:paraId="44ED72BA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WB, IF</w:t>
            </w:r>
          </w:p>
        </w:tc>
        <w:tc>
          <w:tcPr>
            <w:tcW w:w="1635" w:type="dxa"/>
          </w:tcPr>
          <w:p w14:paraId="31EE3ECB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Abcam</w:t>
            </w:r>
          </w:p>
        </w:tc>
        <w:tc>
          <w:tcPr>
            <w:tcW w:w="1325" w:type="dxa"/>
          </w:tcPr>
          <w:p w14:paraId="6B8043DF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ab182858</w:t>
            </w:r>
          </w:p>
        </w:tc>
        <w:tc>
          <w:tcPr>
            <w:tcW w:w="1796" w:type="dxa"/>
          </w:tcPr>
          <w:p w14:paraId="342267D5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WB 1/2000; IF 1/150</w:t>
            </w:r>
          </w:p>
        </w:tc>
      </w:tr>
      <w:tr w14:paraId="25DDB5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2149" w:type="dxa"/>
          </w:tcPr>
          <w:p w14:paraId="36709C93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BAX</w:t>
            </w:r>
          </w:p>
        </w:tc>
        <w:tc>
          <w:tcPr>
            <w:tcW w:w="1395" w:type="dxa"/>
          </w:tcPr>
          <w:p w14:paraId="427DF5DD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WB</w:t>
            </w:r>
          </w:p>
        </w:tc>
        <w:tc>
          <w:tcPr>
            <w:tcW w:w="1635" w:type="dxa"/>
          </w:tcPr>
          <w:p w14:paraId="41CCE9D4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Abcam</w:t>
            </w:r>
          </w:p>
        </w:tc>
        <w:tc>
          <w:tcPr>
            <w:tcW w:w="1325" w:type="dxa"/>
          </w:tcPr>
          <w:p w14:paraId="46EF69CB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ab32503</w:t>
            </w:r>
          </w:p>
        </w:tc>
        <w:tc>
          <w:tcPr>
            <w:tcW w:w="1796" w:type="dxa"/>
          </w:tcPr>
          <w:p w14:paraId="24D38869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WB 1/1000</w:t>
            </w:r>
          </w:p>
        </w:tc>
      </w:tr>
      <w:tr w14:paraId="0181CA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2149" w:type="dxa"/>
          </w:tcPr>
          <w:p w14:paraId="259DA911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SOX9</w:t>
            </w:r>
          </w:p>
        </w:tc>
        <w:tc>
          <w:tcPr>
            <w:tcW w:w="1395" w:type="dxa"/>
          </w:tcPr>
          <w:p w14:paraId="34ECBDBF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WB</w:t>
            </w:r>
          </w:p>
        </w:tc>
        <w:tc>
          <w:tcPr>
            <w:tcW w:w="1635" w:type="dxa"/>
          </w:tcPr>
          <w:p w14:paraId="49B15B4D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Abcam</w:t>
            </w:r>
          </w:p>
        </w:tc>
        <w:tc>
          <w:tcPr>
            <w:tcW w:w="1325" w:type="dxa"/>
          </w:tcPr>
          <w:p w14:paraId="554638A7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ab185966</w:t>
            </w:r>
          </w:p>
        </w:tc>
        <w:tc>
          <w:tcPr>
            <w:tcW w:w="1796" w:type="dxa"/>
          </w:tcPr>
          <w:p w14:paraId="2361FC5F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WB 1/1000</w:t>
            </w:r>
          </w:p>
        </w:tc>
      </w:tr>
      <w:tr w14:paraId="55F592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2149" w:type="dxa"/>
          </w:tcPr>
          <w:p w14:paraId="2FCCE632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COL-II</w:t>
            </w:r>
          </w:p>
        </w:tc>
        <w:tc>
          <w:tcPr>
            <w:tcW w:w="1395" w:type="dxa"/>
          </w:tcPr>
          <w:p w14:paraId="3B06E753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WB, IHC</w:t>
            </w:r>
          </w:p>
        </w:tc>
        <w:tc>
          <w:tcPr>
            <w:tcW w:w="1635" w:type="dxa"/>
          </w:tcPr>
          <w:p w14:paraId="529A84F4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Abcam</w:t>
            </w:r>
          </w:p>
        </w:tc>
        <w:tc>
          <w:tcPr>
            <w:tcW w:w="1325" w:type="dxa"/>
          </w:tcPr>
          <w:p w14:paraId="6485FB1D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ab34712</w:t>
            </w:r>
          </w:p>
        </w:tc>
        <w:tc>
          <w:tcPr>
            <w:tcW w:w="1796" w:type="dxa"/>
          </w:tcPr>
          <w:p w14:paraId="39E3EBAA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WB 1/1000; IHC 1/200</w:t>
            </w:r>
          </w:p>
        </w:tc>
      </w:tr>
      <w:tr w14:paraId="29D60D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2149" w:type="dxa"/>
          </w:tcPr>
          <w:p w14:paraId="1023B46A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MMP13</w:t>
            </w:r>
          </w:p>
        </w:tc>
        <w:tc>
          <w:tcPr>
            <w:tcW w:w="1395" w:type="dxa"/>
          </w:tcPr>
          <w:p w14:paraId="5C5B527B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WB</w:t>
            </w:r>
          </w:p>
        </w:tc>
        <w:tc>
          <w:tcPr>
            <w:tcW w:w="1635" w:type="dxa"/>
          </w:tcPr>
          <w:p w14:paraId="7EF01CB5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Abcam</w:t>
            </w:r>
          </w:p>
        </w:tc>
        <w:tc>
          <w:tcPr>
            <w:tcW w:w="1325" w:type="dxa"/>
          </w:tcPr>
          <w:p w14:paraId="3DAF2DF7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ab39012</w:t>
            </w:r>
          </w:p>
        </w:tc>
        <w:tc>
          <w:tcPr>
            <w:tcW w:w="1796" w:type="dxa"/>
          </w:tcPr>
          <w:p w14:paraId="5620A022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WB 1/3000</w:t>
            </w:r>
          </w:p>
        </w:tc>
      </w:tr>
      <w:tr w14:paraId="534A85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2149" w:type="dxa"/>
          </w:tcPr>
          <w:p w14:paraId="3BFBC6F5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TNF-α</w:t>
            </w:r>
          </w:p>
        </w:tc>
        <w:tc>
          <w:tcPr>
            <w:tcW w:w="1395" w:type="dxa"/>
          </w:tcPr>
          <w:p w14:paraId="65DDF133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IF</w:t>
            </w:r>
          </w:p>
        </w:tc>
        <w:tc>
          <w:tcPr>
            <w:tcW w:w="1635" w:type="dxa"/>
          </w:tcPr>
          <w:p w14:paraId="5F6BFF94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Abcam</w:t>
            </w:r>
          </w:p>
        </w:tc>
        <w:tc>
          <w:tcPr>
            <w:tcW w:w="1325" w:type="dxa"/>
          </w:tcPr>
          <w:p w14:paraId="251C9ED3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ab66579</w:t>
            </w:r>
          </w:p>
        </w:tc>
        <w:tc>
          <w:tcPr>
            <w:tcW w:w="1796" w:type="dxa"/>
          </w:tcPr>
          <w:p w14:paraId="45415AF9">
            <w:pPr>
              <w:rPr>
                <w:rFonts w:hint="default" w:ascii="Times New Roman" w:hAnsi="Times New Roman" w:cs="Times New Roman" w:eastAsiaTheme="minorEastAsia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IF 1</w:t>
            </w:r>
            <w:r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  <w:t>/200</w:t>
            </w:r>
          </w:p>
        </w:tc>
      </w:tr>
      <w:tr w14:paraId="2B5524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2149" w:type="dxa"/>
          </w:tcPr>
          <w:p w14:paraId="7689CBD2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Arg-1</w:t>
            </w:r>
          </w:p>
        </w:tc>
        <w:tc>
          <w:tcPr>
            <w:tcW w:w="1395" w:type="dxa"/>
          </w:tcPr>
          <w:p w14:paraId="40CED785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IF</w:t>
            </w:r>
          </w:p>
        </w:tc>
        <w:tc>
          <w:tcPr>
            <w:tcW w:w="1635" w:type="dxa"/>
          </w:tcPr>
          <w:p w14:paraId="4D1A9D85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Abcam</w:t>
            </w:r>
          </w:p>
        </w:tc>
        <w:tc>
          <w:tcPr>
            <w:tcW w:w="1325" w:type="dxa"/>
          </w:tcPr>
          <w:p w14:paraId="0056FF3D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ab91279</w:t>
            </w:r>
          </w:p>
        </w:tc>
        <w:tc>
          <w:tcPr>
            <w:tcW w:w="1796" w:type="dxa"/>
          </w:tcPr>
          <w:p w14:paraId="3E289D0D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IF 1/200</w:t>
            </w:r>
          </w:p>
        </w:tc>
      </w:tr>
      <w:tr w14:paraId="711A6A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2149" w:type="dxa"/>
          </w:tcPr>
          <w:p w14:paraId="4B3D7C55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β-actin</w:t>
            </w:r>
          </w:p>
        </w:tc>
        <w:tc>
          <w:tcPr>
            <w:tcW w:w="1395" w:type="dxa"/>
          </w:tcPr>
          <w:p w14:paraId="1F72E7F5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WB (loading control)</w:t>
            </w:r>
          </w:p>
        </w:tc>
        <w:tc>
          <w:tcPr>
            <w:tcW w:w="1635" w:type="dxa"/>
          </w:tcPr>
          <w:p w14:paraId="799FB7D5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Abcam</w:t>
            </w:r>
          </w:p>
        </w:tc>
        <w:tc>
          <w:tcPr>
            <w:tcW w:w="1325" w:type="dxa"/>
          </w:tcPr>
          <w:p w14:paraId="5330834C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ab8227</w:t>
            </w:r>
          </w:p>
        </w:tc>
        <w:tc>
          <w:tcPr>
            <w:tcW w:w="1796" w:type="dxa"/>
          </w:tcPr>
          <w:p w14:paraId="680E58BC">
            <w:pPr>
              <w:rPr>
                <w:rFonts w:hint="eastAsia" w:ascii="Times New Roman" w:hAnsi="Times New Roman" w:cs="Times New Roman" w:eastAsiaTheme="minorEastAsia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WB 1/1000</w:t>
            </w:r>
            <w:r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  <w:t>0</w:t>
            </w:r>
          </w:p>
        </w:tc>
      </w:tr>
      <w:tr w14:paraId="09BB98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2149" w:type="dxa"/>
          </w:tcPr>
          <w:p w14:paraId="2A300DD7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Goat Anti-</w:t>
            </w:r>
            <w:r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  <w:t>Rabbit</w:t>
            </w:r>
            <w:r>
              <w:rPr>
                <w:rFonts w:hint="default" w:ascii="Times New Roman" w:hAnsi="Times New Roman" w:cs="Times New Roman"/>
                <w:sz w:val="20"/>
                <w:szCs w:val="20"/>
              </w:rPr>
              <w:t xml:space="preserve"> IgG H&amp;L (HRP)</w:t>
            </w:r>
          </w:p>
        </w:tc>
        <w:tc>
          <w:tcPr>
            <w:tcW w:w="1395" w:type="dxa"/>
          </w:tcPr>
          <w:p w14:paraId="2FE172AE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WB</w:t>
            </w:r>
          </w:p>
        </w:tc>
        <w:tc>
          <w:tcPr>
            <w:tcW w:w="1635" w:type="dxa"/>
          </w:tcPr>
          <w:p w14:paraId="4761AB4F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Abcam</w:t>
            </w:r>
          </w:p>
        </w:tc>
        <w:tc>
          <w:tcPr>
            <w:tcW w:w="1325" w:type="dxa"/>
          </w:tcPr>
          <w:p w14:paraId="7724B04A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ab6721</w:t>
            </w:r>
          </w:p>
        </w:tc>
        <w:tc>
          <w:tcPr>
            <w:tcW w:w="1796" w:type="dxa"/>
          </w:tcPr>
          <w:p w14:paraId="3EA7BC48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WB 1/5000</w:t>
            </w:r>
          </w:p>
        </w:tc>
      </w:tr>
      <w:tr w14:paraId="572A4D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2149" w:type="dxa"/>
          </w:tcPr>
          <w:p w14:paraId="5038BCD0"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Goat Anti-Mouse IgG H&amp;L (HRP)</w:t>
            </w:r>
          </w:p>
        </w:tc>
        <w:tc>
          <w:tcPr>
            <w:tcW w:w="1395" w:type="dxa"/>
          </w:tcPr>
          <w:p w14:paraId="47B2B2B7">
            <w:pPr>
              <w:rPr>
                <w:rFonts w:hint="default" w:ascii="Times New Roman" w:hAnsi="Times New Roman" w:cs="Times New Roman" w:eastAsiaTheme="minorEastAsia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  <w:t>WB</w:t>
            </w:r>
          </w:p>
        </w:tc>
        <w:tc>
          <w:tcPr>
            <w:tcW w:w="1635" w:type="dxa"/>
            <w:shd w:val="clear" w:color="auto" w:fill="auto"/>
            <w:vAlign w:val="top"/>
          </w:tcPr>
          <w:p w14:paraId="329C19BE">
            <w:pPr>
              <w:rPr>
                <w:rFonts w:hint="default" w:ascii="Times New Roman" w:hAnsi="Times New Roman" w:cs="Times New Roman" w:eastAsiaTheme="minorEastAsia"/>
                <w:kern w:val="2"/>
                <w:sz w:val="22"/>
                <w:szCs w:val="24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Abcam</w:t>
            </w:r>
          </w:p>
        </w:tc>
        <w:tc>
          <w:tcPr>
            <w:tcW w:w="1325" w:type="dxa"/>
            <w:shd w:val="clear" w:color="auto" w:fill="auto"/>
            <w:vAlign w:val="top"/>
          </w:tcPr>
          <w:p w14:paraId="2977C5B3">
            <w:pPr>
              <w:rPr>
                <w:rFonts w:hint="default" w:ascii="Times New Roman" w:hAnsi="Times New Roman" w:cs="Times New Roman" w:eastAsiaTheme="minorEastAsia"/>
                <w:kern w:val="2"/>
                <w:sz w:val="22"/>
                <w:szCs w:val="24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ab67</w:t>
            </w:r>
            <w:r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  <w:t>89</w:t>
            </w:r>
          </w:p>
        </w:tc>
        <w:tc>
          <w:tcPr>
            <w:tcW w:w="1796" w:type="dxa"/>
          </w:tcPr>
          <w:p w14:paraId="1BEEAE8D"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WB 1/5000</w:t>
            </w:r>
          </w:p>
        </w:tc>
      </w:tr>
      <w:tr w14:paraId="5EEA5D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2149" w:type="dxa"/>
          </w:tcPr>
          <w:p w14:paraId="1EC9F421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Goat Anti-Rabbit IgG H&amp;L (Alexa Fluor® 488)</w:t>
            </w:r>
          </w:p>
        </w:tc>
        <w:tc>
          <w:tcPr>
            <w:tcW w:w="1395" w:type="dxa"/>
          </w:tcPr>
          <w:p w14:paraId="504B3C6E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IF</w:t>
            </w:r>
          </w:p>
        </w:tc>
        <w:tc>
          <w:tcPr>
            <w:tcW w:w="1635" w:type="dxa"/>
          </w:tcPr>
          <w:p w14:paraId="58A3F70B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Abcam</w:t>
            </w:r>
          </w:p>
        </w:tc>
        <w:tc>
          <w:tcPr>
            <w:tcW w:w="1325" w:type="dxa"/>
          </w:tcPr>
          <w:p w14:paraId="5C8DCF2B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ab150077</w:t>
            </w:r>
          </w:p>
        </w:tc>
        <w:tc>
          <w:tcPr>
            <w:tcW w:w="1796" w:type="dxa"/>
          </w:tcPr>
          <w:p w14:paraId="3AA29554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IF 1/1000</w:t>
            </w:r>
          </w:p>
        </w:tc>
      </w:tr>
      <w:tr w14:paraId="45C5EC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2149" w:type="dxa"/>
          </w:tcPr>
          <w:p w14:paraId="26EC416D"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Goat Anti-Mouse IgG H&amp;L (Alexa Fluor® 488)</w:t>
            </w:r>
          </w:p>
        </w:tc>
        <w:tc>
          <w:tcPr>
            <w:tcW w:w="1395" w:type="dxa"/>
          </w:tcPr>
          <w:p w14:paraId="6A435BD8">
            <w:pPr>
              <w:rPr>
                <w:rFonts w:hint="default" w:ascii="Times New Roman" w:hAnsi="Times New Roman" w:cs="Times New Roman" w:eastAsiaTheme="minorEastAsia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  <w:t>IF</w:t>
            </w:r>
          </w:p>
        </w:tc>
        <w:tc>
          <w:tcPr>
            <w:tcW w:w="1635" w:type="dxa"/>
          </w:tcPr>
          <w:p w14:paraId="713EB4A4">
            <w:pPr>
              <w:rPr>
                <w:rFonts w:hint="default" w:ascii="Times New Roman" w:hAnsi="Times New Roman" w:cs="Times New Roman" w:eastAsiaTheme="minorEastAsia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  <w:t>Abcam</w:t>
            </w:r>
          </w:p>
        </w:tc>
        <w:tc>
          <w:tcPr>
            <w:tcW w:w="1325" w:type="dxa"/>
          </w:tcPr>
          <w:p w14:paraId="2B2E5FFD"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ab150113</w:t>
            </w:r>
          </w:p>
        </w:tc>
        <w:tc>
          <w:tcPr>
            <w:tcW w:w="1796" w:type="dxa"/>
          </w:tcPr>
          <w:p w14:paraId="69C29A5E"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IF 1/1000</w:t>
            </w:r>
          </w:p>
        </w:tc>
      </w:tr>
    </w:tbl>
    <w:p w14:paraId="21386D29">
      <w:pPr>
        <w:rPr>
          <w:rFonts w:hint="default" w:ascii="Times New Roman" w:hAnsi="Times New Roman" w:cs="Times New Roman"/>
        </w:rPr>
      </w:pPr>
    </w:p>
    <w:p w14:paraId="4E38A9F3">
      <w:pPr>
        <w:jc w:val="both"/>
        <w:rPr>
          <w:rFonts w:hint="default" w:ascii="Times New Roman" w:hAnsi="Times New Roman" w:cs="Times New Roman"/>
        </w:rPr>
      </w:pPr>
    </w:p>
    <w:p w14:paraId="208406EC">
      <w:pPr>
        <w:keepNext/>
        <w:jc w:val="both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eastAsia="Times New Roman" w:cs="Times New Roman"/>
          <w:b/>
        </w:rPr>
        <w:t xml:space="preserve">Figure S1. Effects of tacrolimus (TAC) on intracellular oxidative stress and macrophage polarization quantified by immunofluorescence staining. </w:t>
      </w:r>
      <w:r>
        <w:rPr>
          <w:rFonts w:hint="default" w:ascii="Times New Roman" w:hAnsi="Times New Roman" w:eastAsia="Times New Roman" w:cs="Times New Roman"/>
        </w:rPr>
        <w:t>(A) Relative fluorescence intensity of intracellular reactive oxygen species (ROS), reflecting the level of cellular oxidative stress. (B) Relative fluorescence intensity of tumor necrosis factor-α (TNF-α), a canonical pro-inflammatory marker of M1-polarized macrophages. (C) Relative fluorescence intensity of arginase-1 (Arg-1), a signature anti-inflammatory marker of M2-polarized macrophages. Four experimental groups were included: Control (normal control group), Blank (untreated model group), TAC-1 (low-dose tacrolimus intervention group), and TAC-2 (high-dose tacrolimus intervention group). Data are presented as mean ± standard deviation. **** indicates P &lt; 0.0001, representing an extremely statistically significant difference between the marked groups. Data are from n = 3 independent experiments.</w:t>
      </w:r>
    </w:p>
    <w:p w14:paraId="040A43C9">
      <w:pPr>
        <w:jc w:val="center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drawing>
          <wp:inline distT="0" distB="0" distL="114300" distR="114300">
            <wp:extent cx="3345180" cy="3832225"/>
            <wp:effectExtent l="0" t="0" r="7620" b="635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345180" cy="3832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18D72467">
      <w:pPr>
        <w:keepNext/>
        <w:jc w:val="both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eastAsia="Times New Roman" w:cs="Times New Roman"/>
          <w:b/>
        </w:rPr>
        <w:t xml:space="preserve">Figure S2. BCL-2 protein expression in chondrocytes. </w:t>
      </w:r>
      <w:r>
        <w:rPr>
          <w:rFonts w:hint="default" w:ascii="Times New Roman" w:hAnsi="Times New Roman" w:eastAsia="Times New Roman" w:cs="Times New Roman"/>
        </w:rPr>
        <w:t>Bar graph shows the mean fluorescence intensity (MFI) of BCL-2 in chondrocytes under different treatments. Chondrocytes were left untreated (Control), stimulated with 10 ng/mL IL-1β alone (Blank), or co-treated with IL-1β and two concentrations of tacrolimus (TAC-1 and TAC-2). Data are presented as mean ± standard deviation (SD). **** p &lt; 0.0001. Data are from n = 3 independent experiments.</w:t>
      </w:r>
    </w:p>
    <w:p w14:paraId="109C479B">
      <w:pPr>
        <w:jc w:val="center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drawing>
          <wp:inline distT="0" distB="0" distL="114300" distR="114300">
            <wp:extent cx="2197735" cy="2589530"/>
            <wp:effectExtent l="0" t="0" r="2540" b="127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197735" cy="25895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73C406">
      <w:pPr>
        <w:keepNext/>
        <w:jc w:val="both"/>
        <w:rPr>
          <w:rFonts w:hint="default" w:ascii="Times New Roman" w:hAnsi="Times New Roman" w:cs="Times New Roman"/>
          <w:b w:val="0"/>
          <w:bCs/>
        </w:rPr>
      </w:pPr>
      <w:r>
        <w:rPr>
          <w:rFonts w:hint="default" w:ascii="Times New Roman" w:hAnsi="Times New Roman" w:eastAsia="Times New Roman" w:cs="Times New Roman"/>
          <w:b/>
        </w:rPr>
        <w:t xml:space="preserve">Figure S3. Quantitative histological assessment of cartilage degeneration and synovial inflammation after intra-articular treatment. </w:t>
      </w:r>
      <w:r>
        <w:rPr>
          <w:rFonts w:hint="eastAsia" w:ascii="Times New Roman" w:hAnsi="Times New Roman" w:eastAsia="宋体" w:cs="Times New Roman"/>
          <w:b/>
          <w:lang w:val="en-US" w:eastAsia="zh-CN"/>
        </w:rPr>
        <w:t>(</w:t>
      </w:r>
      <w:r>
        <w:rPr>
          <w:rFonts w:hint="default" w:ascii="Times New Roman" w:hAnsi="Times New Roman" w:eastAsia="Times New Roman" w:cs="Times New Roman"/>
          <w:b w:val="0"/>
          <w:bCs/>
        </w:rPr>
        <w:t>A</w:t>
      </w:r>
      <w:r>
        <w:rPr>
          <w:rFonts w:hint="eastAsia" w:ascii="Times New Roman" w:hAnsi="Times New Roman" w:eastAsia="宋体" w:cs="Times New Roman"/>
          <w:b w:val="0"/>
          <w:bCs/>
          <w:lang w:val="en-US" w:eastAsia="zh-CN"/>
        </w:rPr>
        <w:t xml:space="preserve">) </w:t>
      </w:r>
      <w:r>
        <w:rPr>
          <w:rFonts w:hint="default" w:ascii="Times New Roman" w:hAnsi="Times New Roman" w:eastAsia="Times New Roman" w:cs="Times New Roman"/>
          <w:b w:val="0"/>
          <w:bCs/>
        </w:rPr>
        <w:t xml:space="preserve">Quantitative analysis of cartilage degeneration among the Sham, PBS, Dex and TAC groups. </w:t>
      </w:r>
      <w:r>
        <w:rPr>
          <w:rFonts w:hint="eastAsia" w:ascii="Times New Roman" w:hAnsi="Times New Roman" w:eastAsia="宋体" w:cs="Times New Roman"/>
          <w:b w:val="0"/>
          <w:bCs/>
          <w:lang w:val="en-US" w:eastAsia="zh-CN"/>
        </w:rPr>
        <w:t>(</w:t>
      </w:r>
      <w:r>
        <w:rPr>
          <w:rFonts w:hint="default" w:ascii="Times New Roman" w:hAnsi="Times New Roman" w:eastAsia="Times New Roman" w:cs="Times New Roman"/>
          <w:b w:val="0"/>
          <w:bCs/>
        </w:rPr>
        <w:t>B</w:t>
      </w:r>
      <w:r>
        <w:rPr>
          <w:rFonts w:hint="eastAsia" w:ascii="Times New Roman" w:hAnsi="Times New Roman" w:eastAsia="宋体" w:cs="Times New Roman"/>
          <w:b w:val="0"/>
          <w:bCs/>
          <w:lang w:val="en-US" w:eastAsia="zh-CN"/>
        </w:rPr>
        <w:t>)</w:t>
      </w:r>
      <w:r>
        <w:rPr>
          <w:rFonts w:hint="default" w:ascii="Times New Roman" w:hAnsi="Times New Roman" w:eastAsia="Times New Roman" w:cs="Times New Roman"/>
          <w:b w:val="0"/>
          <w:bCs/>
        </w:rPr>
        <w:t xml:space="preserve"> Quantitative assessment of synovial inflammation among the four groups. Data are presented as mean ± standard deviation (SD). *</w:t>
      </w:r>
      <w:r>
        <w:rPr>
          <w:rFonts w:hint="default" w:ascii="Times New Roman" w:hAnsi="Times New Roman" w:eastAsia="Times New Roman" w:cs="Times New Roman"/>
          <w:b w:val="0"/>
          <w:bCs/>
          <w:i/>
        </w:rPr>
        <w:t>p</w:t>
      </w:r>
      <w:r>
        <w:rPr>
          <w:rFonts w:hint="default" w:ascii="Times New Roman" w:hAnsi="Times New Roman" w:eastAsia="Times New Roman" w:cs="Times New Roman"/>
          <w:b w:val="0"/>
          <w:bCs/>
        </w:rPr>
        <w:t xml:space="preserve"> &lt; 0.05, **</w:t>
      </w:r>
      <w:r>
        <w:rPr>
          <w:rFonts w:hint="default" w:ascii="Times New Roman" w:hAnsi="Times New Roman" w:eastAsia="Times New Roman" w:cs="Times New Roman"/>
          <w:b w:val="0"/>
          <w:bCs/>
          <w:i/>
        </w:rPr>
        <w:t>p</w:t>
      </w:r>
      <w:r>
        <w:rPr>
          <w:rFonts w:hint="default" w:ascii="Times New Roman" w:hAnsi="Times New Roman" w:eastAsia="Times New Roman" w:cs="Times New Roman"/>
          <w:b w:val="0"/>
          <w:bCs/>
        </w:rPr>
        <w:t xml:space="preserve"> &lt; 0.01, ***</w:t>
      </w:r>
      <w:r>
        <w:rPr>
          <w:rFonts w:hint="default" w:ascii="Times New Roman" w:hAnsi="Times New Roman" w:eastAsia="Times New Roman" w:cs="Times New Roman"/>
          <w:b w:val="0"/>
          <w:bCs/>
          <w:i/>
        </w:rPr>
        <w:t>p</w:t>
      </w:r>
      <w:r>
        <w:rPr>
          <w:rFonts w:hint="default" w:ascii="Times New Roman" w:hAnsi="Times New Roman" w:eastAsia="Times New Roman" w:cs="Times New Roman"/>
          <w:b w:val="0"/>
          <w:bCs/>
        </w:rPr>
        <w:t xml:space="preserve"> &lt; 0.001 and ****</w:t>
      </w:r>
      <w:r>
        <w:rPr>
          <w:rFonts w:hint="default" w:ascii="Times New Roman" w:hAnsi="Times New Roman" w:eastAsia="Times New Roman" w:cs="Times New Roman"/>
          <w:b w:val="0"/>
          <w:bCs/>
          <w:i/>
        </w:rPr>
        <w:t>p</w:t>
      </w:r>
      <w:r>
        <w:rPr>
          <w:rFonts w:hint="default" w:ascii="Times New Roman" w:hAnsi="Times New Roman" w:eastAsia="Times New Roman" w:cs="Times New Roman"/>
          <w:b w:val="0"/>
          <w:bCs/>
        </w:rPr>
        <w:t xml:space="preserve"> &lt; 0.0001. Each group included n = 6 rats.</w:t>
      </w:r>
    </w:p>
    <w:p w14:paraId="3233F54B">
      <w:pPr>
        <w:jc w:val="center"/>
        <w:rPr>
          <w:rFonts w:hint="default" w:ascii="Times New Roman" w:hAnsi="Times New Roman" w:cs="Times New Roman"/>
          <w:b/>
          <w:bCs/>
        </w:rPr>
      </w:pPr>
      <w:r>
        <w:rPr>
          <w:rFonts w:hint="default" w:ascii="Times New Roman" w:hAnsi="Times New Roman" w:cs="Times New Roman"/>
          <w:b/>
          <w:bCs/>
        </w:rPr>
        <w:drawing>
          <wp:inline distT="0" distB="0" distL="0" distR="0">
            <wp:extent cx="3533775" cy="1673860"/>
            <wp:effectExtent l="0" t="0" r="0" b="0"/>
            <wp:docPr id="5107179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071793" name="图片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543783" cy="167874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E56134B">
      <w:pPr>
        <w:rPr>
          <w:rFonts w:hint="default" w:ascii="Times New Roman" w:hAnsi="Times New Roman" w:cs="Times New Roman"/>
        </w:rPr>
      </w:pPr>
    </w:p>
    <w:p w14:paraId="487DF986">
      <w:pPr>
        <w:rPr>
          <w:rFonts w:hint="default" w:ascii="Times New Roman" w:hAnsi="Times New Roman" w:cs="Times New Roma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8" w:lineRule="auto"/>
      </w:pPr>
      <w:r>
        <w:separator/>
      </w:r>
    </w:p>
  </w:footnote>
  <w:footnote w:type="continuationSeparator" w:id="1">
    <w:p>
      <w:pPr>
        <w:spacing w:before="0" w:after="0" w:line="278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46"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2EC8"/>
    <w:rsid w:val="00020D87"/>
    <w:rsid w:val="000D1859"/>
    <w:rsid w:val="00427511"/>
    <w:rsid w:val="006A0FBF"/>
    <w:rsid w:val="007F2008"/>
    <w:rsid w:val="007F55DA"/>
    <w:rsid w:val="009E176A"/>
    <w:rsid w:val="00A011D5"/>
    <w:rsid w:val="00A758BF"/>
    <w:rsid w:val="00A759EA"/>
    <w:rsid w:val="00B96D4D"/>
    <w:rsid w:val="00BB2EC8"/>
    <w:rsid w:val="00C6582C"/>
    <w:rsid w:val="00CD4B5E"/>
    <w:rsid w:val="00CE52E9"/>
    <w:rsid w:val="00D95CA7"/>
    <w:rsid w:val="00E96E46"/>
    <w:rsid w:val="00EE7605"/>
    <w:rsid w:val="26D3655F"/>
    <w:rsid w:val="4877278F"/>
    <w:rsid w:val="4FA230B5"/>
    <w:rsid w:val="5516050A"/>
    <w:rsid w:val="66BA7997"/>
    <w:rsid w:val="7EEE48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160" w:line="278" w:lineRule="auto"/>
    </w:pPr>
    <w:rPr>
      <w:rFonts w:asciiTheme="minorHAnsi" w:hAnsiTheme="minorHAnsi" w:eastAsiaTheme="minorEastAsia" w:cstheme="minorBidi"/>
      <w:kern w:val="2"/>
      <w:sz w:val="22"/>
      <w:szCs w:val="24"/>
      <w:lang w:val="en-US" w:eastAsia="zh-CN" w:bidi="ar-SA"/>
      <w14:ligatures w14:val="standardContextual"/>
    </w:rPr>
  </w:style>
  <w:style w:type="paragraph" w:styleId="2">
    <w:name w:val="heading 1"/>
    <w:basedOn w:val="1"/>
    <w:next w:val="1"/>
    <w:link w:val="19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2F5597" w:themeColor="accent1" w:themeShade="BF"/>
      <w:sz w:val="48"/>
      <w:szCs w:val="48"/>
    </w:rPr>
  </w:style>
  <w:style w:type="paragraph" w:styleId="3">
    <w:name w:val="heading 2"/>
    <w:basedOn w:val="1"/>
    <w:next w:val="1"/>
    <w:link w:val="20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paragraph" w:styleId="4">
    <w:name w:val="heading 3"/>
    <w:basedOn w:val="1"/>
    <w:next w:val="1"/>
    <w:link w:val="21"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paragraph" w:styleId="5">
    <w:name w:val="heading 4"/>
    <w:basedOn w:val="1"/>
    <w:next w:val="1"/>
    <w:link w:val="22"/>
    <w:semiHidden/>
    <w:unhideWhenUsed/>
    <w:qFormat/>
    <w:uiPriority w:val="9"/>
    <w:pPr>
      <w:keepNext/>
      <w:keepLines/>
      <w:spacing w:before="80" w:after="40"/>
      <w:outlineLvl w:val="3"/>
    </w:pPr>
    <w:rPr>
      <w:rFonts w:cstheme="majorBidi"/>
      <w:color w:val="2F5597" w:themeColor="accent1" w:themeShade="BF"/>
      <w:sz w:val="28"/>
      <w:szCs w:val="28"/>
    </w:rPr>
  </w:style>
  <w:style w:type="paragraph" w:styleId="6">
    <w:name w:val="heading 5"/>
    <w:basedOn w:val="1"/>
    <w:next w:val="1"/>
    <w:link w:val="23"/>
    <w:semiHidden/>
    <w:unhideWhenUsed/>
    <w:qFormat/>
    <w:uiPriority w:val="9"/>
    <w:pPr>
      <w:keepNext/>
      <w:keepLines/>
      <w:spacing w:before="80" w:after="40"/>
      <w:outlineLvl w:val="4"/>
    </w:pPr>
    <w:rPr>
      <w:rFonts w:cstheme="majorBidi"/>
      <w:color w:val="2F5597" w:themeColor="accent1" w:themeShade="BF"/>
      <w:sz w:val="24"/>
    </w:rPr>
  </w:style>
  <w:style w:type="paragraph" w:styleId="7">
    <w:name w:val="heading 6"/>
    <w:basedOn w:val="1"/>
    <w:next w:val="1"/>
    <w:link w:val="24"/>
    <w:semiHidden/>
    <w:unhideWhenUsed/>
    <w:qFormat/>
    <w:uiPriority w:val="9"/>
    <w:pPr>
      <w:keepNext/>
      <w:keepLines/>
      <w:spacing w:before="40" w:after="0"/>
      <w:outlineLvl w:val="5"/>
    </w:pPr>
    <w:rPr>
      <w:rFonts w:cstheme="majorBidi"/>
      <w:b/>
      <w:bCs/>
      <w:color w:val="2F5597" w:themeColor="accent1" w:themeShade="BF"/>
    </w:rPr>
  </w:style>
  <w:style w:type="paragraph" w:styleId="8">
    <w:name w:val="heading 7"/>
    <w:basedOn w:val="1"/>
    <w:next w:val="1"/>
    <w:link w:val="25"/>
    <w:semiHidden/>
    <w:unhideWhenUsed/>
    <w:qFormat/>
    <w:uiPriority w:val="9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6"/>
    <w:semiHidden/>
    <w:unhideWhenUsed/>
    <w:qFormat/>
    <w:uiPriority w:val="9"/>
    <w:pPr>
      <w:keepNext/>
      <w:keepLines/>
      <w:spacing w:after="0"/>
      <w:outlineLvl w:val="7"/>
    </w:pPr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9"/>
    <w:basedOn w:val="1"/>
    <w:next w:val="1"/>
    <w:link w:val="27"/>
    <w:semiHidden/>
    <w:unhideWhenUsed/>
    <w:qFormat/>
    <w:uiPriority w:val="9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17">
    <w:name w:val="Default Paragraph Font"/>
    <w:semiHidden/>
    <w:unhideWhenUsed/>
    <w:qFormat/>
    <w:uiPriority w:val="1"/>
  </w:style>
  <w:style w:type="table" w:default="1" w:styleId="1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footer"/>
    <w:basedOn w:val="1"/>
    <w:link w:val="38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paragraph" w:styleId="12">
    <w:name w:val="header"/>
    <w:basedOn w:val="1"/>
    <w:link w:val="37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paragraph" w:styleId="13">
    <w:name w:val="Subtitle"/>
    <w:basedOn w:val="1"/>
    <w:next w:val="1"/>
    <w:link w:val="29"/>
    <w:qFormat/>
    <w:uiPriority w:val="11"/>
    <w:pPr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4">
    <w:name w:val="Title"/>
    <w:basedOn w:val="1"/>
    <w:next w:val="1"/>
    <w:link w:val="28"/>
    <w:qFormat/>
    <w:uiPriority w:val="10"/>
    <w:pPr>
      <w:spacing w:after="80" w:line="240" w:lineRule="auto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table" w:styleId="16">
    <w:name w:val="Table Grid"/>
    <w:basedOn w:val="15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8">
    <w:name w:val="Emphasis"/>
    <w:basedOn w:val="17"/>
    <w:qFormat/>
    <w:uiPriority w:val="20"/>
    <w:rPr>
      <w:i/>
    </w:rPr>
  </w:style>
  <w:style w:type="character" w:customStyle="1" w:styleId="19">
    <w:name w:val="标题 1 字符"/>
    <w:basedOn w:val="17"/>
    <w:link w:val="2"/>
    <w:qFormat/>
    <w:uiPriority w:val="9"/>
    <w:rPr>
      <w:rFonts w:asciiTheme="majorHAnsi" w:hAnsiTheme="majorHAnsi" w:eastAsiaTheme="majorEastAsia" w:cstheme="majorBidi"/>
      <w:color w:val="2F5597" w:themeColor="accent1" w:themeShade="BF"/>
      <w:sz w:val="48"/>
      <w:szCs w:val="48"/>
    </w:rPr>
  </w:style>
  <w:style w:type="character" w:customStyle="1" w:styleId="20">
    <w:name w:val="标题 2 字符"/>
    <w:basedOn w:val="17"/>
    <w:link w:val="3"/>
    <w:semiHidden/>
    <w:qFormat/>
    <w:uiPriority w:val="9"/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character" w:customStyle="1" w:styleId="21">
    <w:name w:val="标题 3 字符"/>
    <w:basedOn w:val="17"/>
    <w:link w:val="4"/>
    <w:semiHidden/>
    <w:qFormat/>
    <w:uiPriority w:val="9"/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character" w:customStyle="1" w:styleId="22">
    <w:name w:val="标题 4 字符"/>
    <w:basedOn w:val="17"/>
    <w:link w:val="5"/>
    <w:semiHidden/>
    <w:qFormat/>
    <w:uiPriority w:val="9"/>
    <w:rPr>
      <w:rFonts w:cstheme="majorBidi"/>
      <w:color w:val="2F5597" w:themeColor="accent1" w:themeShade="BF"/>
      <w:sz w:val="28"/>
      <w:szCs w:val="28"/>
    </w:rPr>
  </w:style>
  <w:style w:type="character" w:customStyle="1" w:styleId="23">
    <w:name w:val="标题 5 字符"/>
    <w:basedOn w:val="17"/>
    <w:link w:val="6"/>
    <w:semiHidden/>
    <w:qFormat/>
    <w:uiPriority w:val="9"/>
    <w:rPr>
      <w:rFonts w:cstheme="majorBidi"/>
      <w:color w:val="2F5597" w:themeColor="accent1" w:themeShade="BF"/>
      <w:sz w:val="24"/>
    </w:rPr>
  </w:style>
  <w:style w:type="character" w:customStyle="1" w:styleId="24">
    <w:name w:val="标题 6 字符"/>
    <w:basedOn w:val="17"/>
    <w:link w:val="7"/>
    <w:semiHidden/>
    <w:qFormat/>
    <w:uiPriority w:val="9"/>
    <w:rPr>
      <w:rFonts w:cstheme="majorBidi"/>
      <w:b/>
      <w:bCs/>
      <w:color w:val="2F5597" w:themeColor="accent1" w:themeShade="BF"/>
    </w:rPr>
  </w:style>
  <w:style w:type="character" w:customStyle="1" w:styleId="25">
    <w:name w:val="标题 7 字符"/>
    <w:basedOn w:val="17"/>
    <w:link w:val="8"/>
    <w:semiHidden/>
    <w:qFormat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6">
    <w:name w:val="标题 8 字符"/>
    <w:basedOn w:val="17"/>
    <w:link w:val="9"/>
    <w:semiHidden/>
    <w:qFormat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7">
    <w:name w:val="标题 9 字符"/>
    <w:basedOn w:val="17"/>
    <w:link w:val="10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8">
    <w:name w:val="标题 字符"/>
    <w:basedOn w:val="17"/>
    <w:link w:val="14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9">
    <w:name w:val="副标题 字符"/>
    <w:basedOn w:val="17"/>
    <w:link w:val="13"/>
    <w:qFormat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30">
    <w:name w:val="Quote"/>
    <w:basedOn w:val="1"/>
    <w:next w:val="1"/>
    <w:link w:val="31"/>
    <w:qFormat/>
    <w:uiPriority w:val="29"/>
    <w:pPr>
      <w:spacing w:before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31">
    <w:name w:val="引用 字符"/>
    <w:basedOn w:val="17"/>
    <w:link w:val="30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2">
    <w:name w:val="List Paragraph"/>
    <w:basedOn w:val="1"/>
    <w:qFormat/>
    <w:uiPriority w:val="34"/>
    <w:pPr>
      <w:ind w:left="720"/>
      <w:contextualSpacing/>
    </w:pPr>
  </w:style>
  <w:style w:type="character" w:customStyle="1" w:styleId="33">
    <w:name w:val="明显强调1"/>
    <w:basedOn w:val="17"/>
    <w:qFormat/>
    <w:uiPriority w:val="21"/>
    <w:rPr>
      <w:i/>
      <w:iCs/>
      <w:color w:val="2F5597" w:themeColor="accent1" w:themeShade="BF"/>
    </w:rPr>
  </w:style>
  <w:style w:type="paragraph" w:styleId="34">
    <w:name w:val="Intense Quote"/>
    <w:basedOn w:val="1"/>
    <w:next w:val="1"/>
    <w:link w:val="35"/>
    <w:qFormat/>
    <w:uiPriority w:val="30"/>
    <w:pPr>
      <w:pBdr>
        <w:top w:val="single" w:color="2F5496" w:themeColor="accent1" w:themeShade="BF" w:sz="4" w:space="10"/>
        <w:bottom w:val="single" w:color="2F5496" w:themeColor="accent1" w:themeShade="BF" w:sz="4" w:space="10"/>
      </w:pBdr>
      <w:spacing w:before="360" w:after="360"/>
      <w:ind w:left="864" w:right="864"/>
      <w:jc w:val="center"/>
    </w:pPr>
    <w:rPr>
      <w:i/>
      <w:iCs/>
      <w:color w:val="2F5597" w:themeColor="accent1" w:themeShade="BF"/>
    </w:rPr>
  </w:style>
  <w:style w:type="character" w:customStyle="1" w:styleId="35">
    <w:name w:val="明显引用 字符"/>
    <w:basedOn w:val="17"/>
    <w:link w:val="34"/>
    <w:qFormat/>
    <w:uiPriority w:val="30"/>
    <w:rPr>
      <w:i/>
      <w:iCs/>
      <w:color w:val="2F5597" w:themeColor="accent1" w:themeShade="BF"/>
    </w:rPr>
  </w:style>
  <w:style w:type="character" w:customStyle="1" w:styleId="36">
    <w:name w:val="明显参考1"/>
    <w:basedOn w:val="17"/>
    <w:qFormat/>
    <w:uiPriority w:val="32"/>
    <w:rPr>
      <w:b/>
      <w:bCs/>
      <w:smallCaps/>
      <w:color w:val="2F5597" w:themeColor="accent1" w:themeShade="BF"/>
      <w:spacing w:val="5"/>
    </w:rPr>
  </w:style>
  <w:style w:type="character" w:customStyle="1" w:styleId="37">
    <w:name w:val="页眉 字符"/>
    <w:basedOn w:val="17"/>
    <w:link w:val="12"/>
    <w:qFormat/>
    <w:uiPriority w:val="99"/>
    <w:rPr>
      <w:sz w:val="18"/>
      <w:szCs w:val="18"/>
    </w:rPr>
  </w:style>
  <w:style w:type="character" w:customStyle="1" w:styleId="38">
    <w:name w:val="页脚 字符"/>
    <w:basedOn w:val="17"/>
    <w:link w:val="11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image" Target="media/image3.png"/><Relationship Id="rId7" Type="http://schemas.openxmlformats.org/officeDocument/2006/relationships/image" Target="media/image2.png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469</Words>
  <Characters>3181</Characters>
  <Lines>204</Lines>
  <Paragraphs>170</Paragraphs>
  <TotalTime>0</TotalTime>
  <ScaleCrop>false</ScaleCrop>
  <LinksUpToDate>false</LinksUpToDate>
  <CharactersWithSpaces>3500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2026-09-07T04:13:00Z</dcterms:created>
  <dc:creator>siqi wang</dc:creator>
  <cp:lastModifiedBy>Mr.Z</cp:lastModifiedBy>
  <dcterms:modified xsi:type="dcterms:W3CDTF">2026-09-07T07:37:09Z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eyJoZGlkIjoiMDljYzUzMWQ4OWI0YzBkYjYzMDRhZTY5ZjZkYmFmYTgiLCJ1c2VySWQiOiI0MTc2MjAxMDQifQ==</vt:lpwstr>
  </property>
  <property fmtid="{D5CDD505-2E9C-101B-9397-08002B2CF9AE}" pid="3" name="KSOProductBuildVer">
    <vt:lpwstr>2052-12.1.0.28505</vt:lpwstr>
  </property>
  <property fmtid="{D5CDD505-2E9C-101B-9397-08002B2CF9AE}" pid="4" name="ICV">
    <vt:lpwstr>224D0A9A48CC4F42A66AF2F4771AC424_13</vt:lpwstr>
  </property>
</Properties>
</file>