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5454" w:rsidRPr="0004223C" w:rsidRDefault="005C5454" w:rsidP="005C5454">
      <w:pPr>
        <w:pStyle w:val="2"/>
        <w:spacing w:before="0" w:after="0" w:line="360" w:lineRule="auto"/>
        <w:rPr>
          <w:rFonts w:ascii="Times New Roman" w:hAnsi="Times New Roman" w:cs="Times New Roman"/>
          <w:sz w:val="36"/>
          <w:szCs w:val="36"/>
        </w:rPr>
      </w:pPr>
      <w:bookmarkStart w:id="0" w:name="OLE_LINK4"/>
      <w:bookmarkStart w:id="1" w:name="OLE_LINK5"/>
      <w:r w:rsidRPr="0004223C">
        <w:rPr>
          <w:rFonts w:ascii="Times New Roman" w:hAnsi="Times New Roman" w:cs="Times New Roman"/>
          <w:sz w:val="36"/>
          <w:szCs w:val="36"/>
        </w:rPr>
        <w:t>Supplementary Information</w:t>
      </w:r>
    </w:p>
    <w:p w:rsidR="0004223C" w:rsidRDefault="0004223C" w:rsidP="005C5454">
      <w:pPr>
        <w:widowControl/>
        <w:adjustRightInd w:val="0"/>
        <w:snapToGrid w:val="0"/>
        <w:spacing w:after="120" w:line="260" w:lineRule="atLeast"/>
        <w:jc w:val="left"/>
        <w:rPr>
          <w:rFonts w:ascii="Times New Roman" w:eastAsia="宋体" w:hAnsi="Times New Roman" w:cs="Times New Roman"/>
          <w:b/>
          <w:bCs/>
          <w:kern w:val="0"/>
          <w:sz w:val="36"/>
          <w:szCs w:val="36"/>
        </w:rPr>
      </w:pPr>
      <w:r w:rsidRPr="00650A6F">
        <w:rPr>
          <w:rFonts w:ascii="Times New Roman" w:eastAsia="宋体" w:hAnsi="Times New Roman" w:cs="Times New Roman"/>
          <w:b/>
          <w:bCs/>
          <w:kern w:val="0"/>
          <w:sz w:val="36"/>
          <w:szCs w:val="36"/>
        </w:rPr>
        <w:t>Response Surface Optimization and Ultrasonic Enhancement of Soy Protein Isolate–</w:t>
      </w:r>
      <w:proofErr w:type="spellStart"/>
      <w:r w:rsidRPr="00650A6F">
        <w:rPr>
          <w:rFonts w:ascii="Times New Roman" w:eastAsia="宋体" w:hAnsi="Times New Roman" w:cs="Times New Roman"/>
          <w:b/>
          <w:bCs/>
          <w:kern w:val="0"/>
          <w:sz w:val="36"/>
          <w:szCs w:val="36"/>
        </w:rPr>
        <w:t>Gellan</w:t>
      </w:r>
      <w:proofErr w:type="spellEnd"/>
      <w:r w:rsidRPr="00650A6F">
        <w:rPr>
          <w:rFonts w:ascii="Times New Roman" w:eastAsia="宋体" w:hAnsi="Times New Roman" w:cs="Times New Roman"/>
          <w:b/>
          <w:bCs/>
          <w:kern w:val="0"/>
          <w:sz w:val="36"/>
          <w:szCs w:val="36"/>
        </w:rPr>
        <w:t xml:space="preserve"> Gum Composite Films</w:t>
      </w:r>
    </w:p>
    <w:bookmarkEnd w:id="0"/>
    <w:bookmarkEnd w:id="1"/>
    <w:p w:rsidR="0004223C" w:rsidRDefault="0004223C" w:rsidP="005C5454">
      <w:pPr>
        <w:adjustRightInd w:val="0"/>
        <w:snapToGrid w:val="0"/>
        <w:spacing w:after="240" w:line="260" w:lineRule="atLeast"/>
        <w:jc w:val="left"/>
        <w:rPr>
          <w:rFonts w:ascii="Times New Roman" w:hAnsi="Times New Roman"/>
          <w:b/>
          <w:vertAlign w:val="superscript"/>
        </w:rPr>
      </w:pPr>
      <w:r w:rsidRPr="00650A6F">
        <w:rPr>
          <w:rFonts w:ascii="Times New Roman" w:hAnsi="Times New Roman"/>
          <w:b/>
        </w:rPr>
        <w:t>Yong Guo</w:t>
      </w:r>
      <w:r w:rsidRPr="00650A6F">
        <w:rPr>
          <w:rFonts w:ascii="Times New Roman" w:hAnsi="Times New Roman"/>
          <w:b/>
          <w:vertAlign w:val="superscript"/>
        </w:rPr>
        <w:t>1</w:t>
      </w:r>
      <w:r w:rsidRPr="00650A6F">
        <w:rPr>
          <w:rFonts w:ascii="Times New Roman" w:hAnsi="Times New Roman"/>
          <w:b/>
        </w:rPr>
        <w:t xml:space="preserve">*, </w:t>
      </w:r>
      <w:r w:rsidRPr="00650A6F">
        <w:rPr>
          <w:rFonts w:ascii="Times New Roman" w:hAnsi="Times New Roman" w:hint="eastAsia"/>
          <w:b/>
        </w:rPr>
        <w:t>M</w:t>
      </w:r>
      <w:r w:rsidRPr="00650A6F">
        <w:rPr>
          <w:rFonts w:ascii="Times New Roman" w:hAnsi="Times New Roman"/>
          <w:b/>
        </w:rPr>
        <w:t>ing Lu</w:t>
      </w:r>
      <w:r w:rsidRPr="00650A6F">
        <w:rPr>
          <w:rFonts w:ascii="Times New Roman" w:hAnsi="Times New Roman"/>
          <w:b/>
          <w:vertAlign w:val="superscript"/>
        </w:rPr>
        <w:t>2</w:t>
      </w:r>
    </w:p>
    <w:p w:rsidR="00BE03D3" w:rsidRPr="0004223C" w:rsidRDefault="00BE03D3" w:rsidP="0004223C">
      <w:pPr>
        <w:pStyle w:val="2"/>
        <w:adjustRightInd w:val="0"/>
        <w:snapToGrid w:val="0"/>
        <w:spacing w:before="0" w:after="0" w:line="240" w:lineRule="auto"/>
        <w:rPr>
          <w:rFonts w:ascii="Times New Roman" w:hAnsi="Times New Roman" w:cs="Times New Roman"/>
          <w:sz w:val="28"/>
          <w:szCs w:val="28"/>
        </w:rPr>
      </w:pPr>
      <w:r w:rsidRPr="0004223C">
        <w:rPr>
          <w:rFonts w:ascii="Times New Roman" w:hAnsi="Times New Roman" w:cs="Times New Roman"/>
          <w:sz w:val="28"/>
          <w:szCs w:val="28"/>
        </w:rPr>
        <w:t>Supplementary Fig. S1. Effect of SPI concentration on the tensile strength of SPI-GG composite films</w:t>
      </w:r>
    </w:p>
    <w:p w:rsidR="00BE03D3" w:rsidRPr="00FD6CDD" w:rsidRDefault="00BE03D3" w:rsidP="0004223C">
      <w:pPr>
        <w:pStyle w:val="MDPI31text"/>
        <w:spacing w:line="300" w:lineRule="auto"/>
        <w:ind w:left="0"/>
        <w:rPr>
          <w:rFonts w:ascii="Times New Roman" w:hAnsi="Times New Roman"/>
          <w:sz w:val="24"/>
          <w:szCs w:val="24"/>
        </w:rPr>
      </w:pPr>
      <w:r w:rsidRPr="00FD6CDD">
        <w:rPr>
          <w:rFonts w:ascii="Times New Roman" w:hAnsi="Times New Roman"/>
          <w:sz w:val="24"/>
          <w:szCs w:val="24"/>
        </w:rPr>
        <w:t>The tensile strength increased significantly as SPI concentration increased from 3.0% to 5.0%, reaching a maximum value of 22.26 ± 0.31 MPa at 5.0% SPI. Further increases in SPI concentration resulted in a significant decrease in tensile strength.</w:t>
      </w:r>
    </w:p>
    <w:p w:rsidR="00E52DE8" w:rsidRPr="00BE03D3" w:rsidRDefault="00B866DE" w:rsidP="0004223C">
      <w:pPr>
        <w:widowControl/>
        <w:jc w:val="center"/>
        <w:rPr>
          <w:rFonts w:ascii="宋体" w:eastAsia="宋体" w:hAnsi="宋体" w:cs="宋体"/>
          <w:kern w:val="0"/>
          <w:sz w:val="24"/>
          <w:szCs w:val="24"/>
        </w:rPr>
      </w:pPr>
      <w:r>
        <w:rPr>
          <w:rFonts w:ascii="宋体" w:eastAsia="宋体" w:hAnsi="宋体" w:cs="宋体"/>
          <w:noProof/>
          <w:kern w:val="0"/>
          <w:sz w:val="24"/>
          <w:szCs w:val="24"/>
        </w:rPr>
        <w:drawing>
          <wp:inline distT="0" distB="0" distL="0" distR="0" wp14:anchorId="566D49C4">
            <wp:extent cx="4779645" cy="3157855"/>
            <wp:effectExtent l="0" t="0" r="1905" b="4445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9645" cy="31578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BE03D3" w:rsidRPr="00BD6EDA" w:rsidRDefault="00BE03D3" w:rsidP="0004223C">
      <w:pPr>
        <w:widowControl/>
        <w:adjustRightInd w:val="0"/>
        <w:snapToGrid w:val="0"/>
        <w:jc w:val="center"/>
        <w:rPr>
          <w:rFonts w:ascii="Times New Roman" w:eastAsia="Times New Roman" w:hAnsi="Times New Roman" w:cs="Times New Roman"/>
          <w:kern w:val="0"/>
          <w:szCs w:val="21"/>
        </w:rPr>
      </w:pPr>
      <w:r w:rsidRPr="00BD6EDA">
        <w:rPr>
          <w:rFonts w:ascii="Times New Roman" w:eastAsia="Times New Roman" w:hAnsi="Times New Roman" w:cs="Times New Roman"/>
          <w:kern w:val="0"/>
          <w:szCs w:val="21"/>
        </w:rPr>
        <w:t>Values are expressed as mean ± SD (n = 3). Different letters indicate significant differences (</w:t>
      </w:r>
      <w:r w:rsidRPr="00464E3E">
        <w:rPr>
          <w:rFonts w:ascii="Times New Roman" w:eastAsia="Times New Roman" w:hAnsi="Times New Roman" w:cs="Times New Roman"/>
          <w:i/>
          <w:kern w:val="0"/>
          <w:szCs w:val="21"/>
        </w:rPr>
        <w:t xml:space="preserve">p </w:t>
      </w:r>
      <w:r w:rsidRPr="00BD6EDA">
        <w:rPr>
          <w:rFonts w:ascii="Times New Roman" w:eastAsia="Times New Roman" w:hAnsi="Times New Roman" w:cs="Times New Roman"/>
          <w:kern w:val="0"/>
          <w:szCs w:val="21"/>
        </w:rPr>
        <w:t>&lt; 0.05).</w:t>
      </w:r>
    </w:p>
    <w:p w:rsidR="00BE03D3" w:rsidRPr="0004223C" w:rsidRDefault="00BE03D3" w:rsidP="0004223C">
      <w:pPr>
        <w:pStyle w:val="2"/>
        <w:adjustRightInd w:val="0"/>
        <w:snapToGrid w:val="0"/>
        <w:spacing w:before="0" w:after="0" w:line="240" w:lineRule="auto"/>
        <w:rPr>
          <w:rFonts w:ascii="Times New Roman" w:hAnsi="Times New Roman" w:cs="Times New Roman"/>
          <w:sz w:val="28"/>
          <w:szCs w:val="28"/>
        </w:rPr>
      </w:pPr>
      <w:r w:rsidRPr="0004223C">
        <w:rPr>
          <w:rFonts w:ascii="Times New Roman" w:hAnsi="Times New Roman" w:cs="Times New Roman"/>
          <w:sz w:val="28"/>
          <w:szCs w:val="28"/>
        </w:rPr>
        <w:t>Supplementary Fig. S2. Effect of GG content on the tensile strength of SPI-GG composite films</w:t>
      </w:r>
    </w:p>
    <w:p w:rsidR="00D035E7" w:rsidRPr="00FD6CDD" w:rsidRDefault="00D035E7" w:rsidP="00FD6CDD">
      <w:pPr>
        <w:pStyle w:val="MDPI31text"/>
        <w:spacing w:line="360" w:lineRule="auto"/>
        <w:ind w:left="0"/>
        <w:rPr>
          <w:rFonts w:ascii="Times New Roman" w:hAnsi="Times New Roman"/>
          <w:sz w:val="24"/>
          <w:szCs w:val="24"/>
        </w:rPr>
      </w:pPr>
      <w:r w:rsidRPr="00D035E7">
        <w:rPr>
          <w:rFonts w:ascii="Times New Roman" w:hAnsi="Times New Roman"/>
          <w:sz w:val="24"/>
          <w:szCs w:val="24"/>
        </w:rPr>
        <w:t>Tensile strength increased with increasing GG content, reached its maximum at 0.30% GG, and then decreased at higher GG contents.</w:t>
      </w:r>
    </w:p>
    <w:p w:rsidR="00FD6CDD" w:rsidRDefault="00B866DE" w:rsidP="00FD6CDD">
      <w:pPr>
        <w:widowControl/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kern w:val="0"/>
          <w:szCs w:val="21"/>
        </w:rPr>
      </w:pPr>
      <w:r>
        <w:rPr>
          <w:rFonts w:ascii="Times New Roman" w:eastAsia="Times New Roman" w:hAnsi="Times New Roman" w:cs="Times New Roman"/>
          <w:noProof/>
          <w:kern w:val="0"/>
          <w:szCs w:val="21"/>
        </w:rPr>
        <w:lastRenderedPageBreak/>
        <w:drawing>
          <wp:inline distT="0" distB="0" distL="0" distR="0" wp14:anchorId="56BD155C">
            <wp:extent cx="4785995" cy="3164205"/>
            <wp:effectExtent l="0" t="0" r="0" b="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85995" cy="31642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BE03D3" w:rsidRPr="00FD6CDD" w:rsidRDefault="00BE03D3" w:rsidP="00FD6CDD">
      <w:pPr>
        <w:widowControl/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kern w:val="0"/>
          <w:szCs w:val="21"/>
        </w:rPr>
      </w:pPr>
      <w:r w:rsidRPr="00FD6CDD">
        <w:rPr>
          <w:rFonts w:ascii="Times New Roman" w:eastAsia="Times New Roman" w:hAnsi="Times New Roman" w:cs="Times New Roman"/>
          <w:kern w:val="0"/>
          <w:szCs w:val="21"/>
        </w:rPr>
        <w:t>Values are expressed as mean ± SD (n = 3). Different letters indicate significant differences (</w:t>
      </w:r>
      <w:r w:rsidRPr="00464E3E">
        <w:rPr>
          <w:rFonts w:ascii="Times New Roman" w:eastAsia="Times New Roman" w:hAnsi="Times New Roman" w:cs="Times New Roman"/>
          <w:i/>
          <w:kern w:val="0"/>
          <w:szCs w:val="21"/>
        </w:rPr>
        <w:t>p</w:t>
      </w:r>
      <w:r w:rsidRPr="00FD6CDD">
        <w:rPr>
          <w:rFonts w:ascii="Times New Roman" w:eastAsia="Times New Roman" w:hAnsi="Times New Roman" w:cs="Times New Roman"/>
          <w:kern w:val="0"/>
          <w:szCs w:val="21"/>
        </w:rPr>
        <w:t xml:space="preserve"> &lt; 0.05).</w:t>
      </w:r>
    </w:p>
    <w:p w:rsidR="00BE03D3" w:rsidRPr="0004223C" w:rsidRDefault="00BE03D3" w:rsidP="0004223C">
      <w:pPr>
        <w:pStyle w:val="2"/>
        <w:adjustRightInd w:val="0"/>
        <w:snapToGrid w:val="0"/>
        <w:spacing w:before="0" w:after="0" w:line="240" w:lineRule="auto"/>
        <w:rPr>
          <w:rFonts w:ascii="Times New Roman" w:hAnsi="Times New Roman" w:cs="Times New Roman"/>
          <w:sz w:val="28"/>
          <w:szCs w:val="28"/>
        </w:rPr>
      </w:pPr>
      <w:r w:rsidRPr="0004223C">
        <w:rPr>
          <w:rFonts w:ascii="Times New Roman" w:hAnsi="Times New Roman" w:cs="Times New Roman"/>
          <w:sz w:val="28"/>
          <w:szCs w:val="28"/>
        </w:rPr>
        <w:t>Supplementary Fig. S3. Effect of glycerol content on the tensile strength of SPI-GG composite films</w:t>
      </w:r>
    </w:p>
    <w:p w:rsidR="006A3B40" w:rsidRPr="00BD6EDA" w:rsidRDefault="006A3B40" w:rsidP="00BD6EDA">
      <w:pPr>
        <w:pStyle w:val="MDPI31text"/>
        <w:spacing w:line="360" w:lineRule="auto"/>
        <w:ind w:left="0"/>
        <w:rPr>
          <w:rFonts w:ascii="Times New Roman" w:hAnsi="Times New Roman"/>
          <w:sz w:val="24"/>
          <w:szCs w:val="24"/>
        </w:rPr>
      </w:pPr>
      <w:r w:rsidRPr="006A3B40">
        <w:rPr>
          <w:rFonts w:ascii="Times New Roman" w:hAnsi="Times New Roman"/>
          <w:sz w:val="24"/>
          <w:szCs w:val="24"/>
        </w:rPr>
        <w:t>Tensile strength reached its maximum at 25% glycerol and declined with further increases in glycerol content.</w:t>
      </w:r>
    </w:p>
    <w:p w:rsidR="00BD6EDA" w:rsidRPr="00BE03D3" w:rsidRDefault="00B866DE" w:rsidP="00BD6EDA">
      <w:pPr>
        <w:widowControl/>
        <w:spacing w:before="100" w:beforeAutospacing="1" w:after="100" w:afterAutospacing="1"/>
        <w:jc w:val="center"/>
        <w:rPr>
          <w:rFonts w:ascii="宋体" w:eastAsia="宋体" w:hAnsi="宋体" w:cs="宋体"/>
          <w:kern w:val="0"/>
          <w:sz w:val="24"/>
          <w:szCs w:val="24"/>
        </w:rPr>
      </w:pPr>
      <w:r>
        <w:rPr>
          <w:rFonts w:ascii="宋体" w:eastAsia="宋体" w:hAnsi="宋体" w:cs="宋体"/>
          <w:noProof/>
          <w:kern w:val="0"/>
          <w:sz w:val="24"/>
          <w:szCs w:val="24"/>
        </w:rPr>
        <w:drawing>
          <wp:inline distT="0" distB="0" distL="0" distR="0" wp14:anchorId="151BAA0F">
            <wp:extent cx="4779645" cy="3157855"/>
            <wp:effectExtent l="0" t="0" r="1905" b="4445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9645" cy="31578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BE03D3" w:rsidRPr="00BD6EDA" w:rsidRDefault="00BE03D3" w:rsidP="0004223C">
      <w:pPr>
        <w:widowControl/>
        <w:adjustRightInd w:val="0"/>
        <w:snapToGrid w:val="0"/>
        <w:jc w:val="center"/>
        <w:rPr>
          <w:rFonts w:ascii="Times New Roman" w:eastAsia="Times New Roman" w:hAnsi="Times New Roman" w:cs="Times New Roman"/>
          <w:kern w:val="0"/>
          <w:szCs w:val="21"/>
        </w:rPr>
      </w:pPr>
      <w:r w:rsidRPr="00BD6EDA">
        <w:rPr>
          <w:rFonts w:ascii="Times New Roman" w:eastAsia="Times New Roman" w:hAnsi="Times New Roman" w:cs="Times New Roman"/>
          <w:kern w:val="0"/>
          <w:szCs w:val="21"/>
        </w:rPr>
        <w:t>Values are expressed as mean ± SD (n = 3). Different letters indicate significant differences (</w:t>
      </w:r>
      <w:r w:rsidRPr="00464E3E">
        <w:rPr>
          <w:rFonts w:ascii="Times New Roman" w:eastAsia="Times New Roman" w:hAnsi="Times New Roman" w:cs="Times New Roman"/>
          <w:i/>
          <w:kern w:val="0"/>
          <w:szCs w:val="21"/>
        </w:rPr>
        <w:t>p</w:t>
      </w:r>
      <w:r w:rsidRPr="00BD6EDA">
        <w:rPr>
          <w:rFonts w:ascii="Times New Roman" w:eastAsia="Times New Roman" w:hAnsi="Times New Roman" w:cs="Times New Roman"/>
          <w:kern w:val="0"/>
          <w:szCs w:val="21"/>
        </w:rPr>
        <w:t xml:space="preserve"> &lt; 0.05).</w:t>
      </w:r>
    </w:p>
    <w:p w:rsidR="00BE03D3" w:rsidRPr="0004223C" w:rsidRDefault="00BE03D3" w:rsidP="0004223C">
      <w:pPr>
        <w:pStyle w:val="2"/>
        <w:adjustRightInd w:val="0"/>
        <w:snapToGrid w:val="0"/>
        <w:spacing w:before="0" w:after="0" w:line="240" w:lineRule="auto"/>
        <w:rPr>
          <w:rFonts w:ascii="Times New Roman" w:hAnsi="Times New Roman" w:cs="Times New Roman"/>
          <w:sz w:val="28"/>
          <w:szCs w:val="28"/>
        </w:rPr>
      </w:pPr>
      <w:r w:rsidRPr="0004223C">
        <w:rPr>
          <w:rFonts w:ascii="Times New Roman" w:hAnsi="Times New Roman" w:cs="Times New Roman"/>
          <w:sz w:val="28"/>
          <w:szCs w:val="28"/>
        </w:rPr>
        <w:t>Supplementary Fig. S4. Effect of heating temperature on the tensile strength of SPI-GG composite films</w:t>
      </w:r>
    </w:p>
    <w:p w:rsidR="006A3B40" w:rsidRPr="00BD6EDA" w:rsidRDefault="006A3B40" w:rsidP="00BD6EDA">
      <w:pPr>
        <w:pStyle w:val="MDPI31text"/>
        <w:spacing w:line="360" w:lineRule="auto"/>
        <w:ind w:left="0"/>
        <w:rPr>
          <w:rFonts w:ascii="Times New Roman" w:hAnsi="Times New Roman"/>
          <w:sz w:val="24"/>
          <w:szCs w:val="24"/>
        </w:rPr>
      </w:pPr>
      <w:r w:rsidRPr="006A3B40">
        <w:rPr>
          <w:rFonts w:ascii="Times New Roman" w:hAnsi="Times New Roman"/>
          <w:sz w:val="24"/>
          <w:szCs w:val="24"/>
        </w:rPr>
        <w:t>Tensile strength increased with heating temperature, peaked at 80 °C, and then declined at higher temperatures.</w:t>
      </w:r>
    </w:p>
    <w:p w:rsidR="00BD6EDA" w:rsidRPr="00BE03D3" w:rsidRDefault="00B866DE" w:rsidP="00BD6EDA">
      <w:pPr>
        <w:widowControl/>
        <w:spacing w:before="100" w:beforeAutospacing="1" w:after="100" w:afterAutospacing="1"/>
        <w:jc w:val="center"/>
        <w:rPr>
          <w:rFonts w:ascii="宋体" w:eastAsia="宋体" w:hAnsi="宋体" w:cs="宋体"/>
          <w:kern w:val="0"/>
          <w:sz w:val="24"/>
          <w:szCs w:val="24"/>
        </w:rPr>
      </w:pPr>
      <w:r>
        <w:rPr>
          <w:rFonts w:ascii="宋体" w:eastAsia="宋体" w:hAnsi="宋体" w:cs="宋体"/>
          <w:noProof/>
          <w:kern w:val="0"/>
          <w:sz w:val="24"/>
          <w:szCs w:val="24"/>
        </w:rPr>
        <w:lastRenderedPageBreak/>
        <w:drawing>
          <wp:inline distT="0" distB="0" distL="0" distR="0" wp14:anchorId="52437559">
            <wp:extent cx="4785995" cy="3164205"/>
            <wp:effectExtent l="0" t="0" r="0" b="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85995" cy="31642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BE03D3" w:rsidRPr="00BD6EDA" w:rsidRDefault="00BE03D3" w:rsidP="0004223C">
      <w:pPr>
        <w:widowControl/>
        <w:adjustRightInd w:val="0"/>
        <w:snapToGrid w:val="0"/>
        <w:jc w:val="center"/>
        <w:rPr>
          <w:rFonts w:ascii="Times New Roman" w:eastAsia="Times New Roman" w:hAnsi="Times New Roman" w:cs="Times New Roman"/>
          <w:kern w:val="0"/>
          <w:szCs w:val="21"/>
        </w:rPr>
      </w:pPr>
      <w:r w:rsidRPr="00BD6EDA">
        <w:rPr>
          <w:rFonts w:ascii="Times New Roman" w:eastAsia="Times New Roman" w:hAnsi="Times New Roman" w:cs="Times New Roman"/>
          <w:kern w:val="0"/>
          <w:szCs w:val="21"/>
        </w:rPr>
        <w:t>Values are expressed as mean ± SD (n = 3). Different letters indicate significant differences (</w:t>
      </w:r>
      <w:r w:rsidRPr="0004223C">
        <w:rPr>
          <w:rFonts w:ascii="Times New Roman" w:eastAsia="Times New Roman" w:hAnsi="Times New Roman" w:cs="Times New Roman"/>
          <w:kern w:val="0"/>
          <w:szCs w:val="21"/>
        </w:rPr>
        <w:t>p</w:t>
      </w:r>
      <w:r w:rsidRPr="00BD6EDA">
        <w:rPr>
          <w:rFonts w:ascii="Times New Roman" w:eastAsia="Times New Roman" w:hAnsi="Times New Roman" w:cs="Times New Roman"/>
          <w:kern w:val="0"/>
          <w:szCs w:val="21"/>
        </w:rPr>
        <w:t xml:space="preserve"> &lt; 0.05).</w:t>
      </w:r>
    </w:p>
    <w:p w:rsidR="00BE03D3" w:rsidRPr="0004223C" w:rsidRDefault="00BE03D3" w:rsidP="0004223C">
      <w:pPr>
        <w:pStyle w:val="2"/>
        <w:adjustRightInd w:val="0"/>
        <w:snapToGrid w:val="0"/>
        <w:spacing w:before="0" w:after="0" w:line="240" w:lineRule="auto"/>
        <w:rPr>
          <w:rFonts w:ascii="Times New Roman" w:hAnsi="Times New Roman" w:cs="Times New Roman"/>
          <w:sz w:val="28"/>
          <w:szCs w:val="28"/>
        </w:rPr>
      </w:pPr>
      <w:r w:rsidRPr="0004223C">
        <w:rPr>
          <w:rFonts w:ascii="Times New Roman" w:hAnsi="Times New Roman" w:cs="Times New Roman"/>
          <w:sz w:val="28"/>
          <w:szCs w:val="28"/>
        </w:rPr>
        <w:t>Supplementary Fig. S5. Effect of heating time on the tensile strength of SPI-GG composite films</w:t>
      </w:r>
    </w:p>
    <w:p w:rsidR="006A3B40" w:rsidRPr="00BD6EDA" w:rsidRDefault="006A3B40" w:rsidP="00BD6EDA">
      <w:pPr>
        <w:pStyle w:val="MDPI31text"/>
        <w:spacing w:line="360" w:lineRule="auto"/>
        <w:ind w:left="0"/>
        <w:rPr>
          <w:rFonts w:ascii="Times New Roman" w:hAnsi="Times New Roman"/>
          <w:sz w:val="24"/>
          <w:szCs w:val="24"/>
        </w:rPr>
      </w:pPr>
      <w:r w:rsidRPr="006A3B40">
        <w:rPr>
          <w:rFonts w:ascii="Times New Roman" w:hAnsi="Times New Roman"/>
          <w:sz w:val="24"/>
          <w:szCs w:val="24"/>
        </w:rPr>
        <w:t>Tensile strength peaked after 30 min of heating and decreased with longer heating times.</w:t>
      </w:r>
    </w:p>
    <w:p w:rsidR="00BD6EDA" w:rsidRPr="00BE03D3" w:rsidRDefault="00B866DE" w:rsidP="00BD6EDA">
      <w:pPr>
        <w:widowControl/>
        <w:spacing w:before="100" w:beforeAutospacing="1" w:after="100" w:afterAutospacing="1"/>
        <w:jc w:val="center"/>
        <w:rPr>
          <w:rFonts w:ascii="宋体" w:eastAsia="宋体" w:hAnsi="宋体" w:cs="宋体"/>
          <w:kern w:val="0"/>
          <w:sz w:val="24"/>
          <w:szCs w:val="24"/>
        </w:rPr>
      </w:pPr>
      <w:r>
        <w:rPr>
          <w:rFonts w:ascii="宋体" w:eastAsia="宋体" w:hAnsi="宋体" w:cs="宋体"/>
          <w:noProof/>
          <w:kern w:val="0"/>
          <w:sz w:val="24"/>
          <w:szCs w:val="24"/>
        </w:rPr>
        <w:drawing>
          <wp:inline distT="0" distB="0" distL="0" distR="0" wp14:anchorId="74A70239">
            <wp:extent cx="4779645" cy="3164205"/>
            <wp:effectExtent l="0" t="0" r="1905" b="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9645" cy="31642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BE03D3" w:rsidRPr="00BD6EDA" w:rsidRDefault="00BE03D3" w:rsidP="00BD6EDA">
      <w:pPr>
        <w:widowControl/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kern w:val="0"/>
          <w:szCs w:val="21"/>
        </w:rPr>
      </w:pPr>
      <w:r w:rsidRPr="00BD6EDA">
        <w:rPr>
          <w:rFonts w:ascii="Times New Roman" w:eastAsia="Times New Roman" w:hAnsi="Times New Roman" w:cs="Times New Roman"/>
          <w:kern w:val="0"/>
          <w:szCs w:val="21"/>
        </w:rPr>
        <w:t>Values are expressed as mean ± SD (n = 3). Different letters indicate significant differences (</w:t>
      </w:r>
      <w:r w:rsidRPr="00464E3E">
        <w:rPr>
          <w:rFonts w:ascii="Times New Roman" w:eastAsia="Times New Roman" w:hAnsi="Times New Roman" w:cs="Times New Roman"/>
          <w:i/>
          <w:kern w:val="0"/>
          <w:szCs w:val="21"/>
        </w:rPr>
        <w:t xml:space="preserve">p </w:t>
      </w:r>
      <w:r w:rsidRPr="00BD6EDA">
        <w:rPr>
          <w:rFonts w:ascii="Times New Roman" w:eastAsia="Times New Roman" w:hAnsi="Times New Roman" w:cs="Times New Roman"/>
          <w:kern w:val="0"/>
          <w:szCs w:val="21"/>
        </w:rPr>
        <w:t>&lt; 0.05).</w:t>
      </w:r>
    </w:p>
    <w:p w:rsidR="00BE03D3" w:rsidRPr="0004223C" w:rsidRDefault="00BE03D3" w:rsidP="0004223C">
      <w:pPr>
        <w:pStyle w:val="2"/>
        <w:adjustRightInd w:val="0"/>
        <w:snapToGrid w:val="0"/>
        <w:spacing w:before="0" w:after="0" w:line="240" w:lineRule="auto"/>
        <w:rPr>
          <w:rFonts w:ascii="Times New Roman" w:hAnsi="Times New Roman" w:cs="Times New Roman"/>
          <w:sz w:val="28"/>
          <w:szCs w:val="28"/>
        </w:rPr>
      </w:pPr>
      <w:r w:rsidRPr="0004223C">
        <w:rPr>
          <w:rFonts w:ascii="Times New Roman" w:hAnsi="Times New Roman" w:cs="Times New Roman"/>
          <w:sz w:val="28"/>
          <w:szCs w:val="28"/>
        </w:rPr>
        <w:t>Supplementary Fig. S6. Effect of pH on the tensile strength of SPI-GG composite films</w:t>
      </w:r>
    </w:p>
    <w:p w:rsidR="006A3B40" w:rsidRPr="00BD6EDA" w:rsidRDefault="006A3B40" w:rsidP="00BD6EDA">
      <w:pPr>
        <w:pStyle w:val="MDPI31text"/>
        <w:spacing w:line="360" w:lineRule="auto"/>
        <w:ind w:left="0"/>
        <w:rPr>
          <w:rFonts w:ascii="Times New Roman" w:hAnsi="Times New Roman"/>
          <w:sz w:val="24"/>
          <w:szCs w:val="24"/>
        </w:rPr>
      </w:pPr>
      <w:r w:rsidRPr="006A3B40">
        <w:rPr>
          <w:rFonts w:ascii="Times New Roman" w:hAnsi="Times New Roman"/>
          <w:sz w:val="24"/>
          <w:szCs w:val="24"/>
        </w:rPr>
        <w:t>Tensile strength increased up to pH 10.0 and then decreased as pH increased further.</w:t>
      </w:r>
    </w:p>
    <w:p w:rsidR="00BD6EDA" w:rsidRPr="00BE03D3" w:rsidRDefault="00B866DE" w:rsidP="00BD6EDA">
      <w:pPr>
        <w:widowControl/>
        <w:spacing w:before="100" w:beforeAutospacing="1" w:after="100" w:afterAutospacing="1"/>
        <w:jc w:val="center"/>
        <w:rPr>
          <w:rFonts w:ascii="宋体" w:eastAsia="宋体" w:hAnsi="宋体" w:cs="宋体"/>
          <w:kern w:val="0"/>
          <w:sz w:val="24"/>
          <w:szCs w:val="24"/>
        </w:rPr>
      </w:pPr>
      <w:r>
        <w:rPr>
          <w:rFonts w:ascii="宋体" w:eastAsia="宋体" w:hAnsi="宋体" w:cs="宋体"/>
          <w:noProof/>
          <w:kern w:val="0"/>
          <w:sz w:val="24"/>
          <w:szCs w:val="24"/>
        </w:rPr>
        <w:lastRenderedPageBreak/>
        <w:drawing>
          <wp:inline distT="0" distB="0" distL="0" distR="0" wp14:anchorId="505CE504">
            <wp:extent cx="4816475" cy="3164205"/>
            <wp:effectExtent l="0" t="0" r="3175" b="0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6475" cy="31642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BE03D3" w:rsidRPr="00BD6EDA" w:rsidRDefault="00BE03D3" w:rsidP="00BD6EDA">
      <w:pPr>
        <w:widowControl/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kern w:val="0"/>
          <w:szCs w:val="21"/>
        </w:rPr>
      </w:pPr>
      <w:r w:rsidRPr="00BD6EDA">
        <w:rPr>
          <w:rFonts w:ascii="Times New Roman" w:eastAsia="Times New Roman" w:hAnsi="Times New Roman" w:cs="Times New Roman"/>
          <w:kern w:val="0"/>
          <w:szCs w:val="21"/>
        </w:rPr>
        <w:t>Values are expressed as mean ± SD (n = 3). Different letters indicate significant differences (</w:t>
      </w:r>
      <w:r w:rsidRPr="00464E3E">
        <w:rPr>
          <w:rFonts w:ascii="Times New Roman" w:eastAsia="Times New Roman" w:hAnsi="Times New Roman" w:cs="Times New Roman"/>
          <w:i/>
          <w:kern w:val="0"/>
          <w:szCs w:val="21"/>
        </w:rPr>
        <w:t>p</w:t>
      </w:r>
      <w:r w:rsidRPr="00BD6EDA">
        <w:rPr>
          <w:rFonts w:ascii="Times New Roman" w:eastAsia="Times New Roman" w:hAnsi="Times New Roman" w:cs="Times New Roman"/>
          <w:kern w:val="0"/>
          <w:szCs w:val="21"/>
        </w:rPr>
        <w:t xml:space="preserve"> &lt; 0.05).</w:t>
      </w:r>
    </w:p>
    <w:p w:rsidR="00BD6EDA" w:rsidRPr="0004223C" w:rsidRDefault="00D5596A" w:rsidP="0004223C">
      <w:pPr>
        <w:pStyle w:val="2"/>
        <w:adjustRightInd w:val="0"/>
        <w:snapToGrid w:val="0"/>
        <w:spacing w:before="0" w:after="0" w:line="240" w:lineRule="auto"/>
        <w:rPr>
          <w:rFonts w:ascii="Times New Roman" w:hAnsi="Times New Roman" w:cs="Times New Roman"/>
          <w:sz w:val="28"/>
          <w:szCs w:val="28"/>
        </w:rPr>
      </w:pPr>
      <w:r w:rsidRPr="0004223C">
        <w:rPr>
          <w:rFonts w:ascii="Times New Roman" w:hAnsi="Times New Roman" w:cs="Times New Roman"/>
          <w:sz w:val="28"/>
          <w:szCs w:val="28"/>
        </w:rPr>
        <w:t>Supplementary Fig. S7. Effect of ultrasonic treatment on the thickness of SPI-GG composite films</w:t>
      </w:r>
    </w:p>
    <w:p w:rsidR="006A3B40" w:rsidRDefault="006A3B40" w:rsidP="00BD6EDA">
      <w:pPr>
        <w:pStyle w:val="MDPI31text"/>
        <w:spacing w:line="360" w:lineRule="auto"/>
        <w:ind w:left="0"/>
        <w:rPr>
          <w:rFonts w:ascii="Times New Roman" w:hAnsi="Times New Roman"/>
          <w:sz w:val="24"/>
          <w:szCs w:val="24"/>
        </w:rPr>
      </w:pPr>
      <w:r w:rsidRPr="006A3B40">
        <w:rPr>
          <w:rFonts w:ascii="Times New Roman" w:hAnsi="Times New Roman"/>
          <w:sz w:val="24"/>
          <w:szCs w:val="24"/>
        </w:rPr>
        <w:t xml:space="preserve">Film thickness decreased significantly after ultrasonic treatment, from 209.96 ± 2.54 </w:t>
      </w:r>
      <w:proofErr w:type="spellStart"/>
      <w:r w:rsidRPr="006A3B40">
        <w:rPr>
          <w:rFonts w:ascii="Times New Roman" w:hAnsi="Times New Roman"/>
          <w:sz w:val="24"/>
          <w:szCs w:val="24"/>
        </w:rPr>
        <w:t>μm</w:t>
      </w:r>
      <w:proofErr w:type="spellEnd"/>
      <w:r w:rsidRPr="006A3B40">
        <w:rPr>
          <w:rFonts w:ascii="Times New Roman" w:hAnsi="Times New Roman"/>
          <w:sz w:val="24"/>
          <w:szCs w:val="24"/>
        </w:rPr>
        <w:t xml:space="preserve"> to 198.87 ± 2.18 </w:t>
      </w:r>
      <w:proofErr w:type="spellStart"/>
      <w:r w:rsidRPr="006A3B40">
        <w:rPr>
          <w:rFonts w:ascii="Times New Roman" w:hAnsi="Times New Roman"/>
          <w:sz w:val="24"/>
          <w:szCs w:val="24"/>
        </w:rPr>
        <w:t>μm</w:t>
      </w:r>
      <w:proofErr w:type="spellEnd"/>
      <w:r w:rsidRPr="006A3B40">
        <w:rPr>
          <w:rFonts w:ascii="Times New Roman" w:hAnsi="Times New Roman"/>
          <w:sz w:val="24"/>
          <w:szCs w:val="24"/>
        </w:rPr>
        <w:t xml:space="preserve"> (p &lt; 0.05), becoming comparable to that of the SPI film.</w:t>
      </w:r>
    </w:p>
    <w:p w:rsidR="008F5538" w:rsidRPr="00BD6EDA" w:rsidRDefault="00B866DE" w:rsidP="00BD6EDA">
      <w:pPr>
        <w:jc w:val="center"/>
        <w:rPr>
          <w:rFonts w:ascii="Times New Roman" w:eastAsia="Times New Roman" w:hAnsi="Times New Roman" w:cs="Times New Roman"/>
          <w:kern w:val="0"/>
          <w:szCs w:val="21"/>
        </w:rPr>
      </w:pPr>
      <w:bookmarkStart w:id="2" w:name="_GoBack"/>
      <w:bookmarkEnd w:id="2"/>
      <w:r>
        <w:rPr>
          <w:rFonts w:ascii="Times New Roman" w:eastAsia="Times New Roman" w:hAnsi="Times New Roman" w:cs="Times New Roman"/>
          <w:noProof/>
          <w:kern w:val="0"/>
          <w:szCs w:val="21"/>
        </w:rPr>
        <w:drawing>
          <wp:inline distT="0" distB="0" distL="0" distR="0" wp14:anchorId="22E1BC10">
            <wp:extent cx="4944110" cy="2743200"/>
            <wp:effectExtent l="0" t="0" r="8890" b="0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44110" cy="2743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D5596A" w:rsidRPr="00D5596A">
        <w:br/>
      </w:r>
      <w:r w:rsidR="00D5596A" w:rsidRPr="00BD6EDA">
        <w:rPr>
          <w:rFonts w:ascii="Times New Roman" w:eastAsia="Times New Roman" w:hAnsi="Times New Roman" w:cs="Times New Roman"/>
          <w:kern w:val="0"/>
          <w:szCs w:val="21"/>
        </w:rPr>
        <w:t>Values are expressed as mean ± SD (n = 3). Different letters indicate significant differences (</w:t>
      </w:r>
      <w:r w:rsidR="00D5596A" w:rsidRPr="00BE6CB7">
        <w:rPr>
          <w:rFonts w:ascii="Times New Roman" w:eastAsia="Times New Roman" w:hAnsi="Times New Roman" w:cs="Times New Roman"/>
          <w:i/>
          <w:kern w:val="0"/>
          <w:szCs w:val="21"/>
        </w:rPr>
        <w:t>p</w:t>
      </w:r>
      <w:r w:rsidR="00D5596A" w:rsidRPr="00BD6EDA">
        <w:rPr>
          <w:rFonts w:ascii="Times New Roman" w:eastAsia="Times New Roman" w:hAnsi="Times New Roman" w:cs="Times New Roman"/>
          <w:kern w:val="0"/>
          <w:szCs w:val="21"/>
        </w:rPr>
        <w:t xml:space="preserve"> &lt; 0.05).</w:t>
      </w:r>
    </w:p>
    <w:p w:rsidR="00BD6EDA" w:rsidRDefault="00BD6EDA" w:rsidP="00BD6EDA">
      <w:pPr>
        <w:pStyle w:val="MDPI31text"/>
        <w:spacing w:line="360" w:lineRule="auto"/>
        <w:ind w:left="0"/>
        <w:rPr>
          <w:rFonts w:ascii="Times New Roman" w:eastAsiaTheme="majorEastAsia" w:hAnsi="Times New Roman"/>
          <w:b/>
          <w:bCs/>
          <w:sz w:val="32"/>
          <w:szCs w:val="32"/>
        </w:rPr>
      </w:pPr>
    </w:p>
    <w:p w:rsidR="009E2F53" w:rsidRPr="0004223C" w:rsidRDefault="009E2F53" w:rsidP="0004223C">
      <w:pPr>
        <w:pStyle w:val="2"/>
        <w:adjustRightInd w:val="0"/>
        <w:snapToGrid w:val="0"/>
        <w:spacing w:before="0" w:after="0" w:line="240" w:lineRule="auto"/>
        <w:rPr>
          <w:rFonts w:ascii="Times New Roman" w:hAnsi="Times New Roman" w:cs="Times New Roman"/>
          <w:sz w:val="28"/>
          <w:szCs w:val="28"/>
        </w:rPr>
      </w:pPr>
      <w:r w:rsidRPr="0004223C">
        <w:rPr>
          <w:rFonts w:ascii="Times New Roman" w:hAnsi="Times New Roman" w:cs="Times New Roman"/>
          <w:sz w:val="28"/>
          <w:szCs w:val="28"/>
        </w:rPr>
        <w:t>Supplementary Table S1. Levels and coded values of independent variables for the response surface experimental design</w:t>
      </w:r>
    </w:p>
    <w:p w:rsidR="009E2F53" w:rsidRPr="00BD6EDA" w:rsidRDefault="009E2F53" w:rsidP="00BD6EDA">
      <w:pPr>
        <w:pStyle w:val="MDPI31text"/>
        <w:spacing w:line="360" w:lineRule="auto"/>
        <w:ind w:left="0"/>
        <w:rPr>
          <w:rFonts w:ascii="Times New Roman" w:hAnsi="Times New Roman"/>
          <w:sz w:val="24"/>
          <w:szCs w:val="24"/>
        </w:rPr>
      </w:pPr>
      <w:r w:rsidRPr="00BD6EDA">
        <w:rPr>
          <w:rFonts w:ascii="Times New Roman" w:hAnsi="Times New Roman"/>
          <w:sz w:val="24"/>
          <w:szCs w:val="24"/>
        </w:rPr>
        <w:t>SPI concentration (A), GG content (B), glycerol content (C), and pH value (D) were selected for response surface optimization based on the single-factor experiments. Tensile strength was used as the response variable.</w:t>
      </w:r>
    </w:p>
    <w:p w:rsidR="00BD6EDA" w:rsidRPr="00BC77EE" w:rsidRDefault="00BD6EDA" w:rsidP="00BD6EDA">
      <w:pPr>
        <w:spacing w:line="300" w:lineRule="auto"/>
        <w:rPr>
          <w:rFonts w:ascii="Times New Roman" w:hAnsi="Times New Roman" w:cs="Times New Roman"/>
          <w:b/>
          <w:sz w:val="24"/>
          <w:szCs w:val="24"/>
        </w:rPr>
      </w:pPr>
      <w:r w:rsidRPr="00BC77EE">
        <w:rPr>
          <w:rFonts w:ascii="Times New Roman" w:hAnsi="Times New Roman" w:cs="Times New Roman"/>
          <w:b/>
          <w:sz w:val="24"/>
          <w:szCs w:val="24"/>
        </w:rPr>
        <w:lastRenderedPageBreak/>
        <w:t xml:space="preserve">Table </w:t>
      </w:r>
      <w:r w:rsidR="00D4553C" w:rsidRPr="00D4553C">
        <w:rPr>
          <w:rFonts w:ascii="Times New Roman" w:hAnsi="Times New Roman" w:cs="Times New Roman"/>
          <w:b/>
          <w:sz w:val="24"/>
          <w:szCs w:val="24"/>
        </w:rPr>
        <w:t>S</w:t>
      </w:r>
      <w:r w:rsidRPr="00BC77EE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Pr="00BC77EE">
        <w:rPr>
          <w:rFonts w:ascii="Times New Roman" w:hAnsi="Times New Roman" w:cs="Times New Roman"/>
          <w:b/>
          <w:bCs/>
          <w:sz w:val="24"/>
          <w:szCs w:val="24"/>
        </w:rPr>
        <w:t>Levels and codes of independent variables for the response surface experimental design</w:t>
      </w:r>
    </w:p>
    <w:tbl>
      <w:tblPr>
        <w:tblW w:w="9889" w:type="dxa"/>
        <w:jc w:val="center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ook w:val="0000" w:firstRow="0" w:lastRow="0" w:firstColumn="0" w:lastColumn="0" w:noHBand="0" w:noVBand="0"/>
      </w:tblPr>
      <w:tblGrid>
        <w:gridCol w:w="2236"/>
        <w:gridCol w:w="963"/>
        <w:gridCol w:w="1384"/>
        <w:gridCol w:w="1547"/>
        <w:gridCol w:w="1266"/>
        <w:gridCol w:w="2493"/>
      </w:tblGrid>
      <w:tr w:rsidR="00BD6EDA" w:rsidRPr="00BC77EE" w:rsidTr="00C940F8">
        <w:trPr>
          <w:trHeight w:val="20"/>
          <w:jc w:val="center"/>
        </w:trPr>
        <w:tc>
          <w:tcPr>
            <w:tcW w:w="2247" w:type="dxa"/>
            <w:tcBorders>
              <w:top w:val="single" w:sz="12" w:space="0" w:color="auto"/>
              <w:bottom w:val="single" w:sz="4" w:space="0" w:color="auto"/>
            </w:tcBorders>
          </w:tcPr>
          <w:p w:rsidR="00BD6EDA" w:rsidRPr="00BC77EE" w:rsidRDefault="00BD6EDA" w:rsidP="00C940F8">
            <w:pPr>
              <w:adjustRightInd w:val="0"/>
              <w:snapToGri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77EE">
              <w:rPr>
                <w:rFonts w:ascii="Times New Roman" w:hAnsi="Times New Roman" w:cs="Times New Roman"/>
                <w:bCs/>
                <w:sz w:val="24"/>
                <w:szCs w:val="24"/>
              </w:rPr>
              <w:t>Factor</w:t>
            </w:r>
          </w:p>
        </w:tc>
        <w:tc>
          <w:tcPr>
            <w:tcW w:w="893" w:type="dxa"/>
            <w:tcBorders>
              <w:top w:val="single" w:sz="12" w:space="0" w:color="auto"/>
              <w:bottom w:val="single" w:sz="4" w:space="0" w:color="auto"/>
            </w:tcBorders>
          </w:tcPr>
          <w:p w:rsidR="00BD6EDA" w:rsidRPr="00BC77EE" w:rsidRDefault="00BD6EDA" w:rsidP="00C940F8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77EE">
              <w:rPr>
                <w:rFonts w:ascii="Times New Roman" w:hAnsi="Times New Roman" w:cs="Times New Roman"/>
                <w:bCs/>
                <w:sz w:val="24"/>
                <w:szCs w:val="24"/>
              </w:rPr>
              <w:t>Symbol</w:t>
            </w:r>
          </w:p>
        </w:tc>
        <w:tc>
          <w:tcPr>
            <w:tcW w:w="1396" w:type="dxa"/>
            <w:tcBorders>
              <w:top w:val="single" w:sz="12" w:space="0" w:color="auto"/>
              <w:bottom w:val="single" w:sz="4" w:space="0" w:color="auto"/>
            </w:tcBorders>
          </w:tcPr>
          <w:p w:rsidR="00BD6EDA" w:rsidRPr="00BC77EE" w:rsidRDefault="00BD6EDA" w:rsidP="00C940F8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77EE">
              <w:rPr>
                <w:rFonts w:ascii="Times New Roman" w:hAnsi="Times New Roman" w:cs="Times New Roman"/>
                <w:bCs/>
                <w:sz w:val="24"/>
                <w:szCs w:val="24"/>
              </w:rPr>
              <w:t>−1</w:t>
            </w:r>
          </w:p>
        </w:tc>
        <w:tc>
          <w:tcPr>
            <w:tcW w:w="1560" w:type="dxa"/>
            <w:tcBorders>
              <w:top w:val="single" w:sz="12" w:space="0" w:color="auto"/>
              <w:bottom w:val="single" w:sz="4" w:space="0" w:color="auto"/>
            </w:tcBorders>
          </w:tcPr>
          <w:p w:rsidR="00BD6EDA" w:rsidRPr="00BC77EE" w:rsidRDefault="00BD6EDA" w:rsidP="00C940F8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77EE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275" w:type="dxa"/>
            <w:tcBorders>
              <w:top w:val="single" w:sz="12" w:space="0" w:color="auto"/>
              <w:bottom w:val="single" w:sz="4" w:space="0" w:color="auto"/>
            </w:tcBorders>
          </w:tcPr>
          <w:p w:rsidR="00BD6EDA" w:rsidRPr="00BC77EE" w:rsidRDefault="00BD6EDA" w:rsidP="00C940F8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77EE">
              <w:rPr>
                <w:rFonts w:ascii="Times New Roman" w:hAnsi="Times New Roman" w:cs="Times New Roman"/>
                <w:bCs/>
                <w:sz w:val="24"/>
                <w:szCs w:val="24"/>
              </w:rPr>
              <w:t>+1</w:t>
            </w:r>
          </w:p>
        </w:tc>
        <w:tc>
          <w:tcPr>
            <w:tcW w:w="2518" w:type="dxa"/>
            <w:tcBorders>
              <w:top w:val="single" w:sz="12" w:space="0" w:color="auto"/>
              <w:bottom w:val="single" w:sz="4" w:space="0" w:color="auto"/>
            </w:tcBorders>
          </w:tcPr>
          <w:p w:rsidR="00BD6EDA" w:rsidRPr="00BC77EE" w:rsidRDefault="00BD6EDA" w:rsidP="00C940F8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77EE">
              <w:rPr>
                <w:rFonts w:ascii="Times New Roman" w:hAnsi="Times New Roman" w:cs="Times New Roman"/>
                <w:bCs/>
                <w:sz w:val="24"/>
                <w:szCs w:val="24"/>
              </w:rPr>
              <w:t>Unit</w:t>
            </w:r>
          </w:p>
        </w:tc>
      </w:tr>
      <w:tr w:rsidR="00BD6EDA" w:rsidRPr="00BC77EE" w:rsidTr="00C940F8">
        <w:trPr>
          <w:trHeight w:val="20"/>
          <w:jc w:val="center"/>
        </w:trPr>
        <w:tc>
          <w:tcPr>
            <w:tcW w:w="2247" w:type="dxa"/>
            <w:tcBorders>
              <w:bottom w:val="nil"/>
            </w:tcBorders>
          </w:tcPr>
          <w:p w:rsidR="00BD6EDA" w:rsidRPr="00BC77EE" w:rsidRDefault="00BD6EDA" w:rsidP="00C940F8">
            <w:pPr>
              <w:autoSpaceDE w:val="0"/>
              <w:autoSpaceDN w:val="0"/>
              <w:adjustRightInd w:val="0"/>
              <w:snapToGrid w:val="0"/>
              <w:spacing w:line="500" w:lineRule="exact"/>
              <w:rPr>
                <w:rFonts w:ascii="Times New Roman" w:eastAsia="宋体" w:hAnsi="Times New Roman" w:cs="Times New Roman"/>
                <w:bCs/>
                <w:sz w:val="24"/>
                <w:szCs w:val="24"/>
              </w:rPr>
            </w:pPr>
            <w:r w:rsidRPr="00BC77EE">
              <w:rPr>
                <w:rFonts w:ascii="Times New Roman" w:hAnsi="Times New Roman" w:cs="Times New Roman"/>
                <w:bCs/>
                <w:sz w:val="24"/>
                <w:szCs w:val="24"/>
              </w:rPr>
              <w:t>SPI concentration</w:t>
            </w:r>
          </w:p>
        </w:tc>
        <w:tc>
          <w:tcPr>
            <w:tcW w:w="893" w:type="dxa"/>
            <w:tcBorders>
              <w:bottom w:val="nil"/>
            </w:tcBorders>
            <w:vAlign w:val="center"/>
          </w:tcPr>
          <w:p w:rsidR="00BD6EDA" w:rsidRPr="00BC77EE" w:rsidRDefault="00BD6EDA" w:rsidP="00C940F8">
            <w:pPr>
              <w:autoSpaceDE w:val="0"/>
              <w:autoSpaceDN w:val="0"/>
              <w:adjustRightInd w:val="0"/>
              <w:snapToGrid w:val="0"/>
              <w:spacing w:line="500" w:lineRule="exact"/>
              <w:jc w:val="center"/>
              <w:rPr>
                <w:rFonts w:ascii="Times New Roman" w:eastAsia="宋体" w:hAnsi="Times New Roman" w:cs="Times New Roman"/>
                <w:bCs/>
                <w:i/>
                <w:sz w:val="24"/>
                <w:szCs w:val="24"/>
              </w:rPr>
            </w:pPr>
            <w:r w:rsidRPr="00BC77EE">
              <w:rPr>
                <w:rFonts w:ascii="Times New Roman" w:eastAsia="宋体" w:hAnsi="Times New Roman" w:cs="Times New Roman"/>
                <w:bCs/>
                <w:i/>
                <w:sz w:val="24"/>
                <w:szCs w:val="24"/>
              </w:rPr>
              <w:t>A</w:t>
            </w:r>
          </w:p>
        </w:tc>
        <w:tc>
          <w:tcPr>
            <w:tcW w:w="1396" w:type="dxa"/>
            <w:tcBorders>
              <w:bottom w:val="nil"/>
            </w:tcBorders>
            <w:vAlign w:val="center"/>
          </w:tcPr>
          <w:p w:rsidR="00BD6EDA" w:rsidRPr="00BC77EE" w:rsidRDefault="00BD6EDA" w:rsidP="00C940F8">
            <w:pPr>
              <w:autoSpaceDE w:val="0"/>
              <w:autoSpaceDN w:val="0"/>
              <w:adjustRightInd w:val="0"/>
              <w:snapToGrid w:val="0"/>
              <w:spacing w:line="500" w:lineRule="exact"/>
              <w:jc w:val="center"/>
              <w:rPr>
                <w:rFonts w:ascii="Times New Roman" w:eastAsia="宋体" w:hAnsi="Times New Roman" w:cs="Times New Roman"/>
                <w:bCs/>
                <w:sz w:val="24"/>
                <w:szCs w:val="24"/>
              </w:rPr>
            </w:pPr>
            <w:r w:rsidRPr="00BC77EE">
              <w:rPr>
                <w:rFonts w:ascii="Times New Roman" w:eastAsia="宋体" w:hAnsi="Times New Roman" w:cs="Times New Roman"/>
                <w:bCs/>
                <w:sz w:val="24"/>
                <w:szCs w:val="24"/>
              </w:rPr>
              <w:t>4.0</w:t>
            </w:r>
          </w:p>
        </w:tc>
        <w:tc>
          <w:tcPr>
            <w:tcW w:w="1560" w:type="dxa"/>
            <w:tcBorders>
              <w:bottom w:val="nil"/>
            </w:tcBorders>
            <w:vAlign w:val="center"/>
          </w:tcPr>
          <w:p w:rsidR="00BD6EDA" w:rsidRPr="00BC77EE" w:rsidRDefault="00BD6EDA" w:rsidP="00C940F8">
            <w:pPr>
              <w:autoSpaceDE w:val="0"/>
              <w:autoSpaceDN w:val="0"/>
              <w:adjustRightInd w:val="0"/>
              <w:snapToGrid w:val="0"/>
              <w:spacing w:line="500" w:lineRule="exact"/>
              <w:jc w:val="center"/>
              <w:rPr>
                <w:rFonts w:ascii="Times New Roman" w:eastAsia="宋体" w:hAnsi="Times New Roman" w:cs="Times New Roman"/>
                <w:bCs/>
                <w:sz w:val="24"/>
                <w:szCs w:val="24"/>
              </w:rPr>
            </w:pPr>
            <w:r w:rsidRPr="00BC77EE">
              <w:rPr>
                <w:rFonts w:ascii="Times New Roman" w:eastAsia="宋体" w:hAnsi="Times New Roman" w:cs="Times New Roman"/>
                <w:bCs/>
                <w:sz w:val="24"/>
                <w:szCs w:val="24"/>
              </w:rPr>
              <w:t>5.0</w:t>
            </w:r>
          </w:p>
        </w:tc>
        <w:tc>
          <w:tcPr>
            <w:tcW w:w="1275" w:type="dxa"/>
            <w:tcBorders>
              <w:bottom w:val="nil"/>
            </w:tcBorders>
            <w:vAlign w:val="center"/>
          </w:tcPr>
          <w:p w:rsidR="00BD6EDA" w:rsidRPr="00BC77EE" w:rsidRDefault="00BD6EDA" w:rsidP="00C940F8">
            <w:pPr>
              <w:autoSpaceDE w:val="0"/>
              <w:autoSpaceDN w:val="0"/>
              <w:adjustRightInd w:val="0"/>
              <w:snapToGrid w:val="0"/>
              <w:spacing w:line="500" w:lineRule="exact"/>
              <w:jc w:val="center"/>
              <w:rPr>
                <w:rFonts w:ascii="Times New Roman" w:eastAsia="宋体" w:hAnsi="Times New Roman" w:cs="Times New Roman"/>
                <w:bCs/>
                <w:sz w:val="24"/>
                <w:szCs w:val="24"/>
              </w:rPr>
            </w:pPr>
            <w:r w:rsidRPr="00BC77EE">
              <w:rPr>
                <w:rFonts w:ascii="Times New Roman" w:eastAsia="宋体" w:hAnsi="Times New Roman" w:cs="Times New Roman"/>
                <w:bCs/>
                <w:sz w:val="24"/>
                <w:szCs w:val="24"/>
              </w:rPr>
              <w:t>6.0</w:t>
            </w:r>
          </w:p>
        </w:tc>
        <w:tc>
          <w:tcPr>
            <w:tcW w:w="2518" w:type="dxa"/>
            <w:tcBorders>
              <w:bottom w:val="nil"/>
            </w:tcBorders>
          </w:tcPr>
          <w:p w:rsidR="00BD6EDA" w:rsidRPr="00BC77EE" w:rsidRDefault="00BD6EDA" w:rsidP="00C940F8">
            <w:pPr>
              <w:autoSpaceDE w:val="0"/>
              <w:autoSpaceDN w:val="0"/>
              <w:adjustRightInd w:val="0"/>
              <w:snapToGrid w:val="0"/>
              <w:spacing w:line="500" w:lineRule="exact"/>
              <w:jc w:val="center"/>
              <w:rPr>
                <w:rFonts w:ascii="Times New Roman" w:eastAsia="宋体" w:hAnsi="Times New Roman" w:cs="Times New Roman"/>
                <w:bCs/>
                <w:sz w:val="24"/>
                <w:szCs w:val="24"/>
              </w:rPr>
            </w:pPr>
            <w:r w:rsidRPr="00BC77EE">
              <w:rPr>
                <w:rFonts w:ascii="Times New Roman" w:eastAsia="宋体" w:hAnsi="Times New Roman" w:cs="Times New Roman"/>
                <w:bCs/>
                <w:sz w:val="24"/>
                <w:szCs w:val="24"/>
              </w:rPr>
              <w:t>% (w/v)</w:t>
            </w:r>
          </w:p>
        </w:tc>
      </w:tr>
      <w:tr w:rsidR="00BD6EDA" w:rsidRPr="00BC77EE" w:rsidTr="00C940F8">
        <w:trPr>
          <w:trHeight w:val="20"/>
          <w:jc w:val="center"/>
        </w:trPr>
        <w:tc>
          <w:tcPr>
            <w:tcW w:w="2247" w:type="dxa"/>
            <w:tcBorders>
              <w:top w:val="nil"/>
              <w:bottom w:val="nil"/>
            </w:tcBorders>
          </w:tcPr>
          <w:p w:rsidR="00BD6EDA" w:rsidRPr="00BC77EE" w:rsidRDefault="00BD6EDA" w:rsidP="00C940F8">
            <w:pPr>
              <w:autoSpaceDE w:val="0"/>
              <w:autoSpaceDN w:val="0"/>
              <w:adjustRightInd w:val="0"/>
              <w:snapToGrid w:val="0"/>
              <w:spacing w:line="500" w:lineRule="exact"/>
              <w:rPr>
                <w:rFonts w:ascii="Times New Roman" w:eastAsia="宋体" w:hAnsi="Times New Roman" w:cs="Times New Roman"/>
                <w:bCs/>
                <w:sz w:val="24"/>
                <w:szCs w:val="24"/>
              </w:rPr>
            </w:pPr>
            <w:r w:rsidRPr="00BC77EE">
              <w:rPr>
                <w:rFonts w:ascii="Times New Roman" w:hAnsi="Times New Roman" w:cs="Times New Roman"/>
                <w:bCs/>
                <w:sz w:val="24"/>
                <w:szCs w:val="24"/>
              </w:rPr>
              <w:t>GG content</w:t>
            </w:r>
          </w:p>
        </w:tc>
        <w:tc>
          <w:tcPr>
            <w:tcW w:w="893" w:type="dxa"/>
            <w:tcBorders>
              <w:top w:val="nil"/>
              <w:bottom w:val="nil"/>
            </w:tcBorders>
            <w:vAlign w:val="center"/>
          </w:tcPr>
          <w:p w:rsidR="00BD6EDA" w:rsidRPr="00BC77EE" w:rsidRDefault="00BD6EDA" w:rsidP="00C940F8">
            <w:pPr>
              <w:autoSpaceDE w:val="0"/>
              <w:autoSpaceDN w:val="0"/>
              <w:adjustRightInd w:val="0"/>
              <w:snapToGrid w:val="0"/>
              <w:spacing w:line="500" w:lineRule="exact"/>
              <w:jc w:val="center"/>
              <w:rPr>
                <w:rFonts w:ascii="Times New Roman" w:eastAsia="宋体" w:hAnsi="Times New Roman" w:cs="Times New Roman"/>
                <w:bCs/>
                <w:i/>
                <w:sz w:val="24"/>
                <w:szCs w:val="24"/>
              </w:rPr>
            </w:pPr>
            <w:r w:rsidRPr="00BC77EE">
              <w:rPr>
                <w:rFonts w:ascii="Times New Roman" w:eastAsia="宋体" w:hAnsi="Times New Roman" w:cs="Times New Roman"/>
                <w:bCs/>
                <w:i/>
                <w:sz w:val="24"/>
                <w:szCs w:val="24"/>
              </w:rPr>
              <w:t>B</w:t>
            </w:r>
          </w:p>
        </w:tc>
        <w:tc>
          <w:tcPr>
            <w:tcW w:w="1396" w:type="dxa"/>
            <w:tcBorders>
              <w:top w:val="nil"/>
              <w:bottom w:val="nil"/>
            </w:tcBorders>
            <w:vAlign w:val="center"/>
          </w:tcPr>
          <w:p w:rsidR="00BD6EDA" w:rsidRPr="00BC77EE" w:rsidRDefault="00BD6EDA" w:rsidP="00C940F8">
            <w:pPr>
              <w:autoSpaceDE w:val="0"/>
              <w:autoSpaceDN w:val="0"/>
              <w:adjustRightInd w:val="0"/>
              <w:snapToGrid w:val="0"/>
              <w:spacing w:line="500" w:lineRule="exact"/>
              <w:jc w:val="center"/>
              <w:rPr>
                <w:rFonts w:ascii="Times New Roman" w:eastAsia="宋体" w:hAnsi="Times New Roman" w:cs="Times New Roman"/>
                <w:bCs/>
                <w:sz w:val="24"/>
                <w:szCs w:val="24"/>
              </w:rPr>
            </w:pPr>
            <w:r w:rsidRPr="00BC77EE">
              <w:rPr>
                <w:rFonts w:ascii="Times New Roman" w:eastAsia="宋体" w:hAnsi="Times New Roman" w:cs="Times New Roman"/>
                <w:bCs/>
                <w:sz w:val="24"/>
                <w:szCs w:val="24"/>
              </w:rPr>
              <w:t>0.2</w:t>
            </w:r>
          </w:p>
        </w:tc>
        <w:tc>
          <w:tcPr>
            <w:tcW w:w="1560" w:type="dxa"/>
            <w:tcBorders>
              <w:top w:val="nil"/>
              <w:bottom w:val="nil"/>
            </w:tcBorders>
            <w:vAlign w:val="center"/>
          </w:tcPr>
          <w:p w:rsidR="00BD6EDA" w:rsidRPr="00BC77EE" w:rsidRDefault="00BD6EDA" w:rsidP="00C940F8">
            <w:pPr>
              <w:autoSpaceDE w:val="0"/>
              <w:autoSpaceDN w:val="0"/>
              <w:adjustRightInd w:val="0"/>
              <w:snapToGrid w:val="0"/>
              <w:spacing w:line="500" w:lineRule="exact"/>
              <w:jc w:val="center"/>
              <w:rPr>
                <w:rFonts w:ascii="Times New Roman" w:eastAsia="宋体" w:hAnsi="Times New Roman" w:cs="Times New Roman"/>
                <w:bCs/>
                <w:sz w:val="24"/>
                <w:szCs w:val="24"/>
              </w:rPr>
            </w:pPr>
            <w:r w:rsidRPr="00BC77EE">
              <w:rPr>
                <w:rFonts w:ascii="Times New Roman" w:eastAsia="宋体" w:hAnsi="Times New Roman" w:cs="Times New Roman"/>
                <w:bCs/>
                <w:sz w:val="24"/>
                <w:szCs w:val="24"/>
              </w:rPr>
              <w:t>0.3</w:t>
            </w:r>
          </w:p>
        </w:tc>
        <w:tc>
          <w:tcPr>
            <w:tcW w:w="1275" w:type="dxa"/>
            <w:tcBorders>
              <w:top w:val="nil"/>
              <w:bottom w:val="nil"/>
            </w:tcBorders>
            <w:vAlign w:val="center"/>
          </w:tcPr>
          <w:p w:rsidR="00BD6EDA" w:rsidRPr="00BC77EE" w:rsidRDefault="00BD6EDA" w:rsidP="00C940F8">
            <w:pPr>
              <w:autoSpaceDE w:val="0"/>
              <w:autoSpaceDN w:val="0"/>
              <w:adjustRightInd w:val="0"/>
              <w:snapToGrid w:val="0"/>
              <w:spacing w:line="500" w:lineRule="exact"/>
              <w:jc w:val="center"/>
              <w:rPr>
                <w:rFonts w:ascii="Times New Roman" w:eastAsia="宋体" w:hAnsi="Times New Roman" w:cs="Times New Roman"/>
                <w:bCs/>
                <w:sz w:val="24"/>
                <w:szCs w:val="24"/>
              </w:rPr>
            </w:pPr>
            <w:r w:rsidRPr="00BC77EE">
              <w:rPr>
                <w:rFonts w:ascii="Times New Roman" w:eastAsia="宋体" w:hAnsi="Times New Roman" w:cs="Times New Roman"/>
                <w:bCs/>
                <w:sz w:val="24"/>
                <w:szCs w:val="24"/>
              </w:rPr>
              <w:t>0.4</w:t>
            </w:r>
          </w:p>
        </w:tc>
        <w:tc>
          <w:tcPr>
            <w:tcW w:w="2518" w:type="dxa"/>
            <w:tcBorders>
              <w:top w:val="nil"/>
              <w:bottom w:val="nil"/>
            </w:tcBorders>
          </w:tcPr>
          <w:p w:rsidR="00BD6EDA" w:rsidRPr="00BC77EE" w:rsidRDefault="00BD6EDA" w:rsidP="00C940F8">
            <w:pPr>
              <w:autoSpaceDE w:val="0"/>
              <w:autoSpaceDN w:val="0"/>
              <w:adjustRightInd w:val="0"/>
              <w:snapToGrid w:val="0"/>
              <w:spacing w:line="500" w:lineRule="exact"/>
              <w:jc w:val="center"/>
              <w:rPr>
                <w:rFonts w:ascii="Times New Roman" w:eastAsia="宋体" w:hAnsi="Times New Roman" w:cs="Times New Roman"/>
                <w:bCs/>
                <w:sz w:val="24"/>
                <w:szCs w:val="24"/>
              </w:rPr>
            </w:pPr>
            <w:r w:rsidRPr="00BC77EE">
              <w:rPr>
                <w:rFonts w:ascii="Times New Roman" w:eastAsia="宋体" w:hAnsi="Times New Roman" w:cs="Times New Roman"/>
                <w:bCs/>
                <w:sz w:val="24"/>
                <w:szCs w:val="24"/>
              </w:rPr>
              <w:t>% (w/v)</w:t>
            </w:r>
          </w:p>
        </w:tc>
      </w:tr>
      <w:tr w:rsidR="00BD6EDA" w:rsidRPr="00BC77EE" w:rsidTr="00C940F8">
        <w:trPr>
          <w:trHeight w:val="20"/>
          <w:jc w:val="center"/>
        </w:trPr>
        <w:tc>
          <w:tcPr>
            <w:tcW w:w="2247" w:type="dxa"/>
            <w:tcBorders>
              <w:top w:val="nil"/>
              <w:bottom w:val="nil"/>
            </w:tcBorders>
          </w:tcPr>
          <w:p w:rsidR="00BD6EDA" w:rsidRPr="00BC77EE" w:rsidRDefault="00BD6EDA" w:rsidP="00C940F8">
            <w:pPr>
              <w:autoSpaceDE w:val="0"/>
              <w:autoSpaceDN w:val="0"/>
              <w:adjustRightInd w:val="0"/>
              <w:snapToGrid w:val="0"/>
              <w:spacing w:line="500" w:lineRule="exact"/>
              <w:rPr>
                <w:rFonts w:ascii="Times New Roman" w:eastAsia="宋体" w:hAnsi="Times New Roman" w:cs="Times New Roman"/>
                <w:bCs/>
                <w:sz w:val="24"/>
                <w:szCs w:val="24"/>
              </w:rPr>
            </w:pPr>
            <w:r w:rsidRPr="00BC77EE">
              <w:rPr>
                <w:rFonts w:ascii="Times New Roman" w:eastAsia="宋体" w:hAnsi="Times New Roman" w:cs="Times New Roman"/>
                <w:bCs/>
                <w:sz w:val="24"/>
                <w:szCs w:val="24"/>
              </w:rPr>
              <w:t>Glycerol content</w:t>
            </w:r>
          </w:p>
        </w:tc>
        <w:tc>
          <w:tcPr>
            <w:tcW w:w="893" w:type="dxa"/>
            <w:tcBorders>
              <w:top w:val="nil"/>
              <w:bottom w:val="nil"/>
            </w:tcBorders>
            <w:vAlign w:val="center"/>
          </w:tcPr>
          <w:p w:rsidR="00BD6EDA" w:rsidRPr="00BC77EE" w:rsidRDefault="00BD6EDA" w:rsidP="00C940F8">
            <w:pPr>
              <w:autoSpaceDE w:val="0"/>
              <w:autoSpaceDN w:val="0"/>
              <w:adjustRightInd w:val="0"/>
              <w:snapToGrid w:val="0"/>
              <w:spacing w:line="500" w:lineRule="exact"/>
              <w:jc w:val="center"/>
              <w:rPr>
                <w:rFonts w:ascii="Times New Roman" w:eastAsia="宋体" w:hAnsi="Times New Roman" w:cs="Times New Roman"/>
                <w:bCs/>
                <w:i/>
                <w:sz w:val="24"/>
                <w:szCs w:val="24"/>
              </w:rPr>
            </w:pPr>
            <w:r w:rsidRPr="00BC77EE">
              <w:rPr>
                <w:rFonts w:ascii="Times New Roman" w:eastAsia="宋体" w:hAnsi="Times New Roman" w:cs="Times New Roman"/>
                <w:bCs/>
                <w:i/>
                <w:sz w:val="24"/>
                <w:szCs w:val="24"/>
              </w:rPr>
              <w:t>C</w:t>
            </w:r>
          </w:p>
        </w:tc>
        <w:tc>
          <w:tcPr>
            <w:tcW w:w="1396" w:type="dxa"/>
            <w:tcBorders>
              <w:top w:val="nil"/>
              <w:bottom w:val="nil"/>
            </w:tcBorders>
            <w:vAlign w:val="center"/>
          </w:tcPr>
          <w:p w:rsidR="00BD6EDA" w:rsidRPr="00BC77EE" w:rsidRDefault="00BD6EDA" w:rsidP="00C940F8">
            <w:pPr>
              <w:autoSpaceDE w:val="0"/>
              <w:autoSpaceDN w:val="0"/>
              <w:adjustRightInd w:val="0"/>
              <w:snapToGrid w:val="0"/>
              <w:spacing w:line="500" w:lineRule="exact"/>
              <w:jc w:val="center"/>
              <w:rPr>
                <w:rFonts w:ascii="Times New Roman" w:eastAsia="宋体" w:hAnsi="Times New Roman" w:cs="Times New Roman"/>
                <w:bCs/>
                <w:sz w:val="24"/>
                <w:szCs w:val="24"/>
              </w:rPr>
            </w:pPr>
            <w:r w:rsidRPr="00BC77EE">
              <w:rPr>
                <w:rFonts w:ascii="Times New Roman" w:eastAsia="宋体" w:hAnsi="Times New Roman" w:cs="Times New Roman"/>
                <w:bCs/>
                <w:sz w:val="24"/>
                <w:szCs w:val="24"/>
              </w:rPr>
              <w:t>20</w:t>
            </w:r>
          </w:p>
        </w:tc>
        <w:tc>
          <w:tcPr>
            <w:tcW w:w="1560" w:type="dxa"/>
            <w:tcBorders>
              <w:top w:val="nil"/>
              <w:bottom w:val="nil"/>
            </w:tcBorders>
            <w:vAlign w:val="center"/>
          </w:tcPr>
          <w:p w:rsidR="00BD6EDA" w:rsidRPr="00BC77EE" w:rsidRDefault="00BD6EDA" w:rsidP="00C940F8">
            <w:pPr>
              <w:autoSpaceDE w:val="0"/>
              <w:autoSpaceDN w:val="0"/>
              <w:adjustRightInd w:val="0"/>
              <w:snapToGrid w:val="0"/>
              <w:spacing w:line="500" w:lineRule="exact"/>
              <w:jc w:val="center"/>
              <w:rPr>
                <w:rFonts w:ascii="Times New Roman" w:eastAsia="宋体" w:hAnsi="Times New Roman" w:cs="Times New Roman"/>
                <w:bCs/>
                <w:sz w:val="24"/>
                <w:szCs w:val="24"/>
              </w:rPr>
            </w:pPr>
            <w:r w:rsidRPr="00BC77EE">
              <w:rPr>
                <w:rFonts w:ascii="Times New Roman" w:eastAsia="宋体" w:hAnsi="Times New Roman" w:cs="Times New Roman"/>
                <w:bCs/>
                <w:sz w:val="24"/>
                <w:szCs w:val="24"/>
              </w:rPr>
              <w:t>25</w:t>
            </w:r>
          </w:p>
        </w:tc>
        <w:tc>
          <w:tcPr>
            <w:tcW w:w="1275" w:type="dxa"/>
            <w:tcBorders>
              <w:top w:val="nil"/>
              <w:bottom w:val="nil"/>
            </w:tcBorders>
            <w:vAlign w:val="center"/>
          </w:tcPr>
          <w:p w:rsidR="00BD6EDA" w:rsidRPr="00BC77EE" w:rsidRDefault="00BD6EDA" w:rsidP="00C940F8">
            <w:pPr>
              <w:autoSpaceDE w:val="0"/>
              <w:autoSpaceDN w:val="0"/>
              <w:adjustRightInd w:val="0"/>
              <w:snapToGrid w:val="0"/>
              <w:spacing w:line="500" w:lineRule="exact"/>
              <w:jc w:val="center"/>
              <w:rPr>
                <w:rFonts w:ascii="Times New Roman" w:eastAsia="宋体" w:hAnsi="Times New Roman" w:cs="Times New Roman"/>
                <w:bCs/>
                <w:sz w:val="24"/>
                <w:szCs w:val="24"/>
              </w:rPr>
            </w:pPr>
            <w:r w:rsidRPr="00BC77EE">
              <w:rPr>
                <w:rFonts w:ascii="Times New Roman" w:eastAsia="宋体" w:hAnsi="Times New Roman" w:cs="Times New Roman"/>
                <w:bCs/>
                <w:sz w:val="24"/>
                <w:szCs w:val="24"/>
              </w:rPr>
              <w:t>30</w:t>
            </w:r>
          </w:p>
        </w:tc>
        <w:tc>
          <w:tcPr>
            <w:tcW w:w="2518" w:type="dxa"/>
            <w:tcBorders>
              <w:top w:val="nil"/>
              <w:bottom w:val="nil"/>
            </w:tcBorders>
          </w:tcPr>
          <w:p w:rsidR="00BD6EDA" w:rsidRPr="00BC77EE" w:rsidRDefault="00BD6EDA" w:rsidP="00C940F8">
            <w:pPr>
              <w:autoSpaceDE w:val="0"/>
              <w:autoSpaceDN w:val="0"/>
              <w:adjustRightInd w:val="0"/>
              <w:snapToGrid w:val="0"/>
              <w:spacing w:line="500" w:lineRule="exact"/>
              <w:jc w:val="center"/>
              <w:rPr>
                <w:rFonts w:ascii="Times New Roman" w:eastAsia="宋体" w:hAnsi="Times New Roman" w:cs="Times New Roman"/>
                <w:bCs/>
                <w:sz w:val="24"/>
                <w:szCs w:val="24"/>
              </w:rPr>
            </w:pPr>
            <w:r w:rsidRPr="00BC77EE">
              <w:rPr>
                <w:rFonts w:ascii="Times New Roman" w:eastAsia="宋体" w:hAnsi="Times New Roman" w:cs="Times New Roman"/>
                <w:bCs/>
                <w:sz w:val="24"/>
                <w:szCs w:val="24"/>
              </w:rPr>
              <w:t>% (w/w,</w:t>
            </w:r>
            <w:r w:rsidRPr="00BC77EE">
              <w:rPr>
                <w:bCs/>
                <w:sz w:val="24"/>
                <w:szCs w:val="24"/>
              </w:rPr>
              <w:t xml:space="preserve"> </w:t>
            </w:r>
            <w:r w:rsidRPr="00BC77EE">
              <w:rPr>
                <w:rFonts w:ascii="Times New Roman" w:eastAsia="宋体" w:hAnsi="Times New Roman" w:cs="Times New Roman"/>
                <w:bCs/>
                <w:sz w:val="24"/>
                <w:szCs w:val="24"/>
              </w:rPr>
              <w:t>based on SPI)</w:t>
            </w:r>
          </w:p>
        </w:tc>
      </w:tr>
      <w:tr w:rsidR="00BD6EDA" w:rsidRPr="00BC77EE" w:rsidTr="00C940F8">
        <w:trPr>
          <w:trHeight w:val="20"/>
          <w:jc w:val="center"/>
        </w:trPr>
        <w:tc>
          <w:tcPr>
            <w:tcW w:w="2247" w:type="dxa"/>
            <w:tcBorders>
              <w:top w:val="nil"/>
              <w:bottom w:val="single" w:sz="12" w:space="0" w:color="auto"/>
            </w:tcBorders>
          </w:tcPr>
          <w:p w:rsidR="00BD6EDA" w:rsidRPr="00BC77EE" w:rsidRDefault="00BD6EDA" w:rsidP="00C940F8">
            <w:pPr>
              <w:autoSpaceDE w:val="0"/>
              <w:autoSpaceDN w:val="0"/>
              <w:adjustRightInd w:val="0"/>
              <w:snapToGrid w:val="0"/>
              <w:spacing w:line="500" w:lineRule="exact"/>
              <w:jc w:val="center"/>
              <w:rPr>
                <w:rFonts w:ascii="Times New Roman" w:eastAsia="宋体" w:hAnsi="Times New Roman" w:cs="Times New Roman"/>
                <w:bCs/>
                <w:sz w:val="24"/>
                <w:szCs w:val="24"/>
              </w:rPr>
            </w:pPr>
            <w:r w:rsidRPr="00BC77EE">
              <w:rPr>
                <w:rFonts w:ascii="Times New Roman" w:hAnsi="Times New Roman" w:cs="Times New Roman"/>
                <w:bCs/>
                <w:sz w:val="24"/>
                <w:szCs w:val="24"/>
              </w:rPr>
              <w:t>pH</w:t>
            </w:r>
          </w:p>
        </w:tc>
        <w:tc>
          <w:tcPr>
            <w:tcW w:w="893" w:type="dxa"/>
            <w:tcBorders>
              <w:top w:val="nil"/>
              <w:bottom w:val="single" w:sz="12" w:space="0" w:color="auto"/>
            </w:tcBorders>
            <w:vAlign w:val="center"/>
          </w:tcPr>
          <w:p w:rsidR="00BD6EDA" w:rsidRPr="00BC77EE" w:rsidRDefault="00BD6EDA" w:rsidP="00C940F8">
            <w:pPr>
              <w:autoSpaceDE w:val="0"/>
              <w:autoSpaceDN w:val="0"/>
              <w:adjustRightInd w:val="0"/>
              <w:snapToGrid w:val="0"/>
              <w:spacing w:line="500" w:lineRule="exact"/>
              <w:jc w:val="center"/>
              <w:rPr>
                <w:rFonts w:ascii="Times New Roman" w:eastAsia="宋体" w:hAnsi="Times New Roman" w:cs="Times New Roman"/>
                <w:bCs/>
                <w:i/>
                <w:sz w:val="24"/>
                <w:szCs w:val="24"/>
              </w:rPr>
            </w:pPr>
            <w:r w:rsidRPr="00BC77EE">
              <w:rPr>
                <w:rFonts w:ascii="Times New Roman" w:eastAsia="宋体" w:hAnsi="Times New Roman" w:cs="Times New Roman" w:hint="eastAsia"/>
                <w:bCs/>
                <w:i/>
                <w:sz w:val="24"/>
                <w:szCs w:val="24"/>
              </w:rPr>
              <w:t>D</w:t>
            </w:r>
          </w:p>
        </w:tc>
        <w:tc>
          <w:tcPr>
            <w:tcW w:w="1396" w:type="dxa"/>
            <w:tcBorders>
              <w:top w:val="nil"/>
              <w:bottom w:val="single" w:sz="12" w:space="0" w:color="auto"/>
            </w:tcBorders>
            <w:vAlign w:val="center"/>
          </w:tcPr>
          <w:p w:rsidR="00BD6EDA" w:rsidRPr="00BC77EE" w:rsidRDefault="00BD6EDA" w:rsidP="00C940F8">
            <w:pPr>
              <w:autoSpaceDE w:val="0"/>
              <w:autoSpaceDN w:val="0"/>
              <w:adjustRightInd w:val="0"/>
              <w:snapToGrid w:val="0"/>
              <w:spacing w:line="500" w:lineRule="exact"/>
              <w:jc w:val="center"/>
              <w:rPr>
                <w:rFonts w:ascii="Times New Roman" w:eastAsia="宋体" w:hAnsi="Times New Roman" w:cs="Times New Roman"/>
                <w:bCs/>
                <w:sz w:val="24"/>
                <w:szCs w:val="24"/>
              </w:rPr>
            </w:pPr>
            <w:r w:rsidRPr="00BC77EE">
              <w:rPr>
                <w:rFonts w:ascii="Times New Roman" w:eastAsia="宋体" w:hAnsi="Times New Roman" w:cs="Times New Roman" w:hint="eastAsia"/>
                <w:bCs/>
                <w:sz w:val="24"/>
                <w:szCs w:val="24"/>
              </w:rPr>
              <w:t>9</w:t>
            </w:r>
            <w:r w:rsidRPr="00BC77EE">
              <w:rPr>
                <w:rFonts w:ascii="Times New Roman" w:eastAsia="宋体" w:hAnsi="Times New Roman" w:cs="Times New Roman"/>
                <w:bCs/>
                <w:sz w:val="24"/>
                <w:szCs w:val="24"/>
              </w:rPr>
              <w:t>.0</w:t>
            </w:r>
          </w:p>
        </w:tc>
        <w:tc>
          <w:tcPr>
            <w:tcW w:w="1560" w:type="dxa"/>
            <w:tcBorders>
              <w:top w:val="nil"/>
              <w:bottom w:val="single" w:sz="12" w:space="0" w:color="auto"/>
            </w:tcBorders>
            <w:vAlign w:val="center"/>
          </w:tcPr>
          <w:p w:rsidR="00BD6EDA" w:rsidRPr="00BC77EE" w:rsidRDefault="00BD6EDA" w:rsidP="00C940F8">
            <w:pPr>
              <w:autoSpaceDE w:val="0"/>
              <w:autoSpaceDN w:val="0"/>
              <w:adjustRightInd w:val="0"/>
              <w:snapToGrid w:val="0"/>
              <w:spacing w:line="500" w:lineRule="exact"/>
              <w:jc w:val="center"/>
              <w:rPr>
                <w:rFonts w:ascii="Times New Roman" w:eastAsia="宋体" w:hAnsi="Times New Roman" w:cs="Times New Roman"/>
                <w:bCs/>
                <w:sz w:val="24"/>
                <w:szCs w:val="24"/>
              </w:rPr>
            </w:pPr>
            <w:r w:rsidRPr="00BC77EE">
              <w:rPr>
                <w:rFonts w:ascii="Times New Roman" w:eastAsia="宋体" w:hAnsi="Times New Roman" w:cs="Times New Roman" w:hint="eastAsia"/>
                <w:bCs/>
                <w:sz w:val="24"/>
                <w:szCs w:val="24"/>
              </w:rPr>
              <w:t>1</w:t>
            </w:r>
            <w:r w:rsidRPr="00BC77EE">
              <w:rPr>
                <w:rFonts w:ascii="Times New Roman" w:eastAsia="宋体" w:hAnsi="Times New Roman" w:cs="Times New Roman"/>
                <w:bCs/>
                <w:sz w:val="24"/>
                <w:szCs w:val="24"/>
              </w:rPr>
              <w:t>0.0</w:t>
            </w:r>
          </w:p>
        </w:tc>
        <w:tc>
          <w:tcPr>
            <w:tcW w:w="1275" w:type="dxa"/>
            <w:tcBorders>
              <w:top w:val="nil"/>
              <w:bottom w:val="single" w:sz="12" w:space="0" w:color="auto"/>
            </w:tcBorders>
            <w:vAlign w:val="center"/>
          </w:tcPr>
          <w:p w:rsidR="00BD6EDA" w:rsidRPr="00BC77EE" w:rsidRDefault="00BD6EDA" w:rsidP="00C940F8">
            <w:pPr>
              <w:autoSpaceDE w:val="0"/>
              <w:autoSpaceDN w:val="0"/>
              <w:adjustRightInd w:val="0"/>
              <w:snapToGrid w:val="0"/>
              <w:spacing w:line="500" w:lineRule="exact"/>
              <w:jc w:val="center"/>
              <w:rPr>
                <w:rFonts w:ascii="Times New Roman" w:eastAsia="宋体" w:hAnsi="Times New Roman" w:cs="Times New Roman"/>
                <w:bCs/>
                <w:sz w:val="24"/>
                <w:szCs w:val="24"/>
              </w:rPr>
            </w:pPr>
            <w:r w:rsidRPr="00BC77EE">
              <w:rPr>
                <w:rFonts w:ascii="Times New Roman" w:eastAsia="宋体" w:hAnsi="Times New Roman" w:cs="Times New Roman" w:hint="eastAsia"/>
                <w:bCs/>
                <w:sz w:val="24"/>
                <w:szCs w:val="24"/>
              </w:rPr>
              <w:t>1</w:t>
            </w:r>
            <w:r w:rsidRPr="00BC77EE">
              <w:rPr>
                <w:rFonts w:ascii="Times New Roman" w:eastAsia="宋体" w:hAnsi="Times New Roman" w:cs="Times New Roman"/>
                <w:bCs/>
                <w:sz w:val="24"/>
                <w:szCs w:val="24"/>
              </w:rPr>
              <w:t>1.0</w:t>
            </w:r>
          </w:p>
        </w:tc>
        <w:tc>
          <w:tcPr>
            <w:tcW w:w="2518" w:type="dxa"/>
            <w:tcBorders>
              <w:top w:val="nil"/>
              <w:bottom w:val="single" w:sz="12" w:space="0" w:color="auto"/>
            </w:tcBorders>
          </w:tcPr>
          <w:p w:rsidR="00BD6EDA" w:rsidRPr="00BC77EE" w:rsidRDefault="00BD6EDA" w:rsidP="00C940F8">
            <w:pPr>
              <w:autoSpaceDE w:val="0"/>
              <w:autoSpaceDN w:val="0"/>
              <w:adjustRightInd w:val="0"/>
              <w:snapToGrid w:val="0"/>
              <w:spacing w:line="500" w:lineRule="exact"/>
              <w:jc w:val="center"/>
              <w:rPr>
                <w:rFonts w:ascii="Times New Roman" w:eastAsia="宋体" w:hAnsi="Times New Roman" w:cs="Times New Roman"/>
                <w:bCs/>
                <w:sz w:val="24"/>
                <w:szCs w:val="24"/>
              </w:rPr>
            </w:pPr>
            <w:r w:rsidRPr="00BC77EE">
              <w:rPr>
                <w:rFonts w:ascii="Times New Roman" w:eastAsia="宋体" w:hAnsi="Times New Roman" w:cs="Times New Roman" w:hint="eastAsia"/>
                <w:bCs/>
                <w:sz w:val="24"/>
                <w:szCs w:val="24"/>
              </w:rPr>
              <w:t>-</w:t>
            </w:r>
          </w:p>
        </w:tc>
      </w:tr>
    </w:tbl>
    <w:p w:rsidR="009E2F53" w:rsidRPr="00BC77EE" w:rsidRDefault="009E2F53" w:rsidP="00BD6EDA">
      <w:pPr>
        <w:ind w:firstLineChars="200" w:firstLine="480"/>
        <w:rPr>
          <w:rFonts w:ascii="Times New Roman" w:eastAsia="Times New Roman" w:hAnsi="Times New Roman" w:cs="Times New Roman"/>
          <w:kern w:val="0"/>
          <w:sz w:val="24"/>
          <w:szCs w:val="24"/>
        </w:rPr>
      </w:pPr>
      <w:r w:rsidRPr="00BC77EE">
        <w:rPr>
          <w:rFonts w:ascii="Times New Roman" w:eastAsia="Times New Roman" w:hAnsi="Times New Roman" w:cs="Times New Roman"/>
          <w:kern w:val="0"/>
          <w:sz w:val="24"/>
          <w:szCs w:val="24"/>
        </w:rPr>
        <w:t>Values are expressed as coded levels (</w:t>
      </w:r>
      <w:r w:rsidRPr="00BC77EE">
        <w:rPr>
          <w:rFonts w:ascii="Times New Roman" w:eastAsia="Times New Roman" w:hAnsi="Times New Roman" w:cs="Times New Roman" w:hint="eastAsia"/>
          <w:kern w:val="0"/>
          <w:sz w:val="24"/>
          <w:szCs w:val="24"/>
        </w:rPr>
        <w:t>−</w:t>
      </w:r>
      <w:r w:rsidRPr="00BC77EE">
        <w:rPr>
          <w:rFonts w:ascii="Times New Roman" w:eastAsia="Times New Roman" w:hAnsi="Times New Roman" w:cs="Times New Roman"/>
          <w:kern w:val="0"/>
          <w:sz w:val="24"/>
          <w:szCs w:val="24"/>
        </w:rPr>
        <w:t>1, 0, +1).</w:t>
      </w:r>
    </w:p>
    <w:p w:rsidR="009E2F53" w:rsidRPr="00BD6EDA" w:rsidRDefault="009E2F53"/>
    <w:sectPr w:rsidR="009E2F53" w:rsidRPr="00BD6EDA" w:rsidSect="00FD6CDD">
      <w:pgSz w:w="11906" w:h="16838"/>
      <w:pgMar w:top="1134" w:right="1134" w:bottom="1134" w:left="1134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5C26"/>
    <w:rsid w:val="0004223C"/>
    <w:rsid w:val="002C250E"/>
    <w:rsid w:val="002D4F08"/>
    <w:rsid w:val="00464E3E"/>
    <w:rsid w:val="004D0C23"/>
    <w:rsid w:val="004D3A6E"/>
    <w:rsid w:val="005C5454"/>
    <w:rsid w:val="006A3B40"/>
    <w:rsid w:val="00870C2B"/>
    <w:rsid w:val="008C5C26"/>
    <w:rsid w:val="008F5538"/>
    <w:rsid w:val="00904DB5"/>
    <w:rsid w:val="00992CE0"/>
    <w:rsid w:val="009E2F53"/>
    <w:rsid w:val="00A43229"/>
    <w:rsid w:val="00A52994"/>
    <w:rsid w:val="00B866DE"/>
    <w:rsid w:val="00BC77EE"/>
    <w:rsid w:val="00BD6EDA"/>
    <w:rsid w:val="00BE03D3"/>
    <w:rsid w:val="00BE6CB7"/>
    <w:rsid w:val="00CB1076"/>
    <w:rsid w:val="00D035E7"/>
    <w:rsid w:val="00D4553C"/>
    <w:rsid w:val="00D5596A"/>
    <w:rsid w:val="00E52DE8"/>
    <w:rsid w:val="00FD6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B2A986D-1091-4CB7-A23F-ADD59B8F3F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52994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BE03D3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0"/>
    <w:uiPriority w:val="9"/>
    <w:unhideWhenUsed/>
    <w:qFormat/>
    <w:rsid w:val="00A52994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标题 2 字符"/>
    <w:basedOn w:val="a0"/>
    <w:link w:val="2"/>
    <w:uiPriority w:val="9"/>
    <w:rsid w:val="00A52994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a3">
    <w:name w:val="Normal (Web)"/>
    <w:basedOn w:val="a"/>
    <w:uiPriority w:val="99"/>
    <w:unhideWhenUsed/>
    <w:rsid w:val="00A5299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10">
    <w:name w:val="标题 1 字符"/>
    <w:basedOn w:val="a0"/>
    <w:link w:val="1"/>
    <w:uiPriority w:val="9"/>
    <w:rsid w:val="00BE03D3"/>
    <w:rPr>
      <w:b/>
      <w:bCs/>
      <w:kern w:val="44"/>
      <w:sz w:val="44"/>
      <w:szCs w:val="44"/>
    </w:rPr>
  </w:style>
  <w:style w:type="character" w:styleId="a4">
    <w:name w:val="Strong"/>
    <w:basedOn w:val="a0"/>
    <w:uiPriority w:val="22"/>
    <w:qFormat/>
    <w:rsid w:val="009E2F53"/>
    <w:rPr>
      <w:b/>
      <w:bCs/>
    </w:rPr>
  </w:style>
  <w:style w:type="paragraph" w:customStyle="1" w:styleId="MDPI31text">
    <w:name w:val="MDPI_3.1_text"/>
    <w:qFormat/>
    <w:rsid w:val="00FD6CDD"/>
    <w:pPr>
      <w:adjustRightInd w:val="0"/>
      <w:snapToGrid w:val="0"/>
      <w:spacing w:line="280" w:lineRule="atLeast"/>
      <w:ind w:left="2608" w:firstLine="425"/>
      <w:jc w:val="both"/>
    </w:pPr>
    <w:rPr>
      <w:rFonts w:ascii="Palatino Linotype" w:eastAsia="Times New Roman" w:hAnsi="Palatino Linotype" w:cs="Times New Roman"/>
      <w:snapToGrid w:val="0"/>
      <w:color w:val="000000"/>
      <w:kern w:val="0"/>
      <w:sz w:val="20"/>
      <w:lang w:eastAsia="de-DE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317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70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fontTable" Target="fontTable.xml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5</Pages>
  <Words>475</Words>
  <Characters>2713</Characters>
  <Application>Microsoft Office Word</Application>
  <DocSecurity>0</DocSecurity>
  <Lines>22</Lines>
  <Paragraphs>6</Paragraphs>
  <ScaleCrop>false</ScaleCrop>
  <Company>DoubleOX</Company>
  <LinksUpToDate>false</LinksUpToDate>
  <CharactersWithSpaces>3182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18</cp:revision>
  <dcterms:created xsi:type="dcterms:W3CDTF">2026-06-23T04:13:00Z</dcterms:created>
  <dcterms:modified xsi:type="dcterms:W3CDTF">2026-07-28T21:01:00Z</dcterms:modified>
</cp:coreProperties>
</file>