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55DFDD" w14:textId="77777777" w:rsidR="00A31C53" w:rsidRPr="00C0012E" w:rsidRDefault="00A31C53" w:rsidP="00A31C53">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Land-</w:t>
      </w:r>
      <w:r w:rsidRPr="00C0012E">
        <w:rPr>
          <w:rFonts w:ascii="Times New Roman" w:eastAsia="Times New Roman" w:hAnsi="Times New Roman" w:cs="Times New Roman"/>
          <w:b/>
          <w:bCs/>
        </w:rPr>
        <w:t xml:space="preserve">Change Trajectories of Brazilian Amazon Wetlands Across Tenure Regimes </w:t>
      </w:r>
    </w:p>
    <w:p w14:paraId="4D739CCA" w14:textId="77777777" w:rsidR="00597387" w:rsidRDefault="00597387" w:rsidP="00597387">
      <w:pPr>
        <w:spacing w:line="360" w:lineRule="auto"/>
        <w:jc w:val="both"/>
        <w:rPr>
          <w:rFonts w:ascii="Times New Roman" w:eastAsia="Times New Roman" w:hAnsi="Times New Roman" w:cs="Times New Roman"/>
          <w:color w:val="000000" w:themeColor="text1"/>
          <w:lang w:val="pt-BR"/>
        </w:rPr>
      </w:pPr>
    </w:p>
    <w:p w14:paraId="46DCAE33" w14:textId="55B83C45" w:rsidR="00597387" w:rsidRPr="004B0CD8" w:rsidRDefault="00597387" w:rsidP="00597387">
      <w:pPr>
        <w:spacing w:line="360" w:lineRule="auto"/>
        <w:jc w:val="both"/>
        <w:rPr>
          <w:rFonts w:ascii="Times New Roman" w:eastAsia="Times New Roman" w:hAnsi="Times New Roman" w:cs="Times New Roman"/>
          <w:color w:val="000000" w:themeColor="text1"/>
          <w:vertAlign w:val="superscript"/>
          <w:lang w:val="pt-BR"/>
        </w:rPr>
      </w:pPr>
      <w:r w:rsidRPr="004B0CD8">
        <w:rPr>
          <w:rFonts w:ascii="Times New Roman" w:eastAsia="Times New Roman" w:hAnsi="Times New Roman" w:cs="Times New Roman"/>
          <w:color w:val="000000" w:themeColor="text1"/>
          <w:lang w:val="pt-BR"/>
        </w:rPr>
        <w:t>Guilherme de Sousa Lobo, Ramon F. Bicudo da Silva, Emilio Moran, Mateus Batistella</w:t>
      </w:r>
    </w:p>
    <w:p w14:paraId="32417F81" w14:textId="77777777" w:rsidR="00597387" w:rsidRPr="00597387" w:rsidRDefault="00597387" w:rsidP="00597387"/>
    <w:p w14:paraId="67FAAAC6" w14:textId="348BD1CB" w:rsidR="000068B3" w:rsidRPr="000068B3" w:rsidRDefault="000068B3" w:rsidP="000068B3">
      <w:pPr>
        <w:pStyle w:val="Heading1"/>
        <w:keepNext w:val="0"/>
        <w:keepLines w:val="0"/>
        <w:widowControl w:val="0"/>
        <w:spacing w:before="0" w:after="0" w:line="360" w:lineRule="auto"/>
        <w:jc w:val="both"/>
        <w:rPr>
          <w:rFonts w:ascii="Times New Roman" w:eastAsia="Times New Roman" w:hAnsi="Times New Roman" w:cs="Times New Roman"/>
          <w:i/>
          <w:iCs/>
          <w:color w:val="000000" w:themeColor="text1"/>
          <w:sz w:val="24"/>
          <w:szCs w:val="24"/>
        </w:rPr>
      </w:pPr>
      <w:r w:rsidRPr="000068B3">
        <w:rPr>
          <w:rFonts w:ascii="Times New Roman" w:eastAsia="Times New Roman" w:hAnsi="Times New Roman" w:cs="Times New Roman"/>
          <w:i/>
          <w:iCs/>
          <w:color w:val="000000" w:themeColor="text1"/>
          <w:sz w:val="24"/>
          <w:szCs w:val="24"/>
        </w:rPr>
        <w:t xml:space="preserve">Highlights </w:t>
      </w:r>
    </w:p>
    <w:p w14:paraId="167649CB" w14:textId="77777777" w:rsidR="000068B3" w:rsidRPr="000068B3" w:rsidRDefault="000068B3" w:rsidP="000068B3">
      <w:pPr>
        <w:spacing w:line="360" w:lineRule="auto"/>
        <w:jc w:val="both"/>
        <w:rPr>
          <w:rFonts w:ascii="Times New Roman" w:eastAsia="Times New Roman" w:hAnsi="Times New Roman" w:cs="Times New Roman"/>
          <w:color w:val="000000" w:themeColor="text1"/>
        </w:rPr>
      </w:pPr>
    </w:p>
    <w:p w14:paraId="52F9BEBF" w14:textId="57A55F94" w:rsidR="000068B3" w:rsidRPr="000068B3" w:rsidRDefault="000068B3" w:rsidP="000068B3">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themeColor="text1"/>
        </w:rPr>
      </w:pPr>
      <w:r w:rsidRPr="000068B3">
        <w:rPr>
          <w:rFonts w:ascii="Times New Roman" w:eastAsia="Times New Roman" w:hAnsi="Times New Roman" w:cs="Times New Roman"/>
          <w:color w:val="000000" w:themeColor="text1"/>
        </w:rPr>
        <w:t>Brazilian Amazon wetland human modification accelerated 28.9% over 2015–2024, reaching 6.16% of total area.</w:t>
      </w:r>
    </w:p>
    <w:p w14:paraId="52178299" w14:textId="77777777" w:rsidR="000068B3" w:rsidRPr="000068B3" w:rsidRDefault="000068B3" w:rsidP="000068B3">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themeColor="text1"/>
        </w:rPr>
      </w:pPr>
      <w:r w:rsidRPr="000068B3">
        <w:rPr>
          <w:rFonts w:ascii="Times New Roman" w:eastAsia="Times New Roman" w:hAnsi="Times New Roman" w:cs="Times New Roman"/>
          <w:color w:val="000000" w:themeColor="text1"/>
        </w:rPr>
        <w:t>Land tenure regime explains up to 43% of variance in wetland human modification dynamics.</w:t>
      </w:r>
    </w:p>
    <w:p w14:paraId="6AF9FFEC" w14:textId="77777777" w:rsidR="000068B3" w:rsidRPr="000068B3" w:rsidRDefault="000068B3" w:rsidP="000068B3">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themeColor="text1"/>
        </w:rPr>
      </w:pPr>
      <w:r w:rsidRPr="000068B3">
        <w:rPr>
          <w:rFonts w:ascii="Times New Roman" w:eastAsia="Times New Roman" w:hAnsi="Times New Roman" w:cs="Times New Roman"/>
          <w:color w:val="000000" w:themeColor="text1"/>
        </w:rPr>
        <w:t>Public lands and agrarian reform settlements are the deforestation and human modified wetland hotspots</w:t>
      </w:r>
    </w:p>
    <w:p w14:paraId="13DBE07F" w14:textId="77777777" w:rsidR="000068B3" w:rsidRPr="000068B3" w:rsidRDefault="000068B3" w:rsidP="000068B3">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themeColor="text1"/>
        </w:rPr>
      </w:pPr>
      <w:proofErr w:type="spellStart"/>
      <w:r w:rsidRPr="000068B3">
        <w:rPr>
          <w:rFonts w:ascii="Times New Roman" w:eastAsia="Times New Roman" w:hAnsi="Times New Roman" w:cs="Times New Roman"/>
          <w:color w:val="000000" w:themeColor="text1"/>
        </w:rPr>
        <w:t>Tapajós</w:t>
      </w:r>
      <w:proofErr w:type="spellEnd"/>
      <w:r w:rsidRPr="000068B3">
        <w:rPr>
          <w:rFonts w:ascii="Times New Roman" w:eastAsia="Times New Roman" w:hAnsi="Times New Roman" w:cs="Times New Roman"/>
          <w:color w:val="000000" w:themeColor="text1"/>
        </w:rPr>
        <w:t xml:space="preserve"> and Xingu basins have transitioned from active deforestation to human land use consolidation in wetlands.</w:t>
      </w:r>
    </w:p>
    <w:p w14:paraId="754020DB" w14:textId="77777777" w:rsidR="000068B3" w:rsidRPr="000068B3" w:rsidRDefault="000068B3" w:rsidP="000068B3">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themeColor="text1"/>
        </w:rPr>
      </w:pPr>
      <w:r w:rsidRPr="000068B3">
        <w:rPr>
          <w:rFonts w:ascii="Times New Roman" w:eastAsia="Times New Roman" w:hAnsi="Times New Roman" w:cs="Times New Roman"/>
          <w:color w:val="000000" w:themeColor="text1"/>
        </w:rPr>
        <w:t>Negro basin fire intensification is decoupled from deforestation, driven by black-water ecological vulnerability.</w:t>
      </w:r>
    </w:p>
    <w:p w14:paraId="38395EA8" w14:textId="77777777" w:rsidR="000068B3" w:rsidRDefault="000068B3" w:rsidP="000068B3">
      <w:pPr>
        <w:widowControl w:val="0"/>
        <w:spacing w:line="360" w:lineRule="auto"/>
        <w:ind w:left="720"/>
        <w:jc w:val="both"/>
        <w:rPr>
          <w:rFonts w:ascii="Times New Roman" w:eastAsia="Times New Roman" w:hAnsi="Times New Roman" w:cs="Times New Roman"/>
          <w:color w:val="000000" w:themeColor="text1"/>
        </w:rPr>
      </w:pPr>
      <w:r w:rsidRPr="000068B3">
        <w:rPr>
          <w:rFonts w:ascii="Times New Roman" w:eastAsia="Times New Roman" w:hAnsi="Times New Roman" w:cs="Times New Roman"/>
          <w:color w:val="000000" w:themeColor="text1"/>
        </w:rPr>
        <w:t>Wetland conservation demands tenure regularization in active frontiers and specialized fire management in black-water systems.</w:t>
      </w:r>
    </w:p>
    <w:p w14:paraId="765BBE34" w14:textId="77777777" w:rsidR="000068B3" w:rsidRDefault="000068B3" w:rsidP="000068B3">
      <w:pPr>
        <w:widowControl w:val="0"/>
        <w:spacing w:line="360" w:lineRule="auto"/>
        <w:ind w:left="720"/>
        <w:jc w:val="both"/>
        <w:rPr>
          <w:rFonts w:ascii="Times New Roman" w:eastAsia="Times New Roman" w:hAnsi="Times New Roman" w:cs="Times New Roman"/>
          <w:color w:val="000000" w:themeColor="text1"/>
        </w:rPr>
      </w:pPr>
    </w:p>
    <w:p w14:paraId="2A08D2F5" w14:textId="77777777" w:rsidR="000068B3" w:rsidRDefault="000068B3" w:rsidP="000068B3">
      <w:pPr>
        <w:spacing w:line="360" w:lineRule="auto"/>
        <w:jc w:val="both"/>
        <w:rPr>
          <w:rFonts w:ascii="Times New Roman" w:eastAsia="Times New Roman" w:hAnsi="Times New Roman" w:cs="Times New Roman"/>
        </w:rPr>
      </w:pPr>
    </w:p>
    <w:p w14:paraId="473AAC4E" w14:textId="77777777" w:rsidR="00C17CD8" w:rsidRDefault="00C17CD8" w:rsidP="000068B3">
      <w:pPr>
        <w:spacing w:line="360" w:lineRule="auto"/>
        <w:jc w:val="both"/>
        <w:rPr>
          <w:rFonts w:ascii="Times New Roman" w:eastAsia="Times New Roman" w:hAnsi="Times New Roman" w:cs="Times New Roman"/>
        </w:rPr>
      </w:pPr>
    </w:p>
    <w:p w14:paraId="2AC5CFAA" w14:textId="77777777" w:rsidR="00C17CD8" w:rsidRDefault="00C17CD8" w:rsidP="000068B3">
      <w:pPr>
        <w:spacing w:line="360" w:lineRule="auto"/>
        <w:jc w:val="both"/>
        <w:rPr>
          <w:rFonts w:ascii="Times New Roman" w:eastAsia="Times New Roman" w:hAnsi="Times New Roman" w:cs="Times New Roman"/>
        </w:rPr>
      </w:pPr>
    </w:p>
    <w:p w14:paraId="38E348FD" w14:textId="77777777" w:rsidR="00C17CD8" w:rsidRDefault="00C17CD8" w:rsidP="000068B3">
      <w:pPr>
        <w:spacing w:line="360" w:lineRule="auto"/>
        <w:jc w:val="both"/>
        <w:rPr>
          <w:rFonts w:ascii="Times New Roman" w:eastAsia="Times New Roman" w:hAnsi="Times New Roman" w:cs="Times New Roman"/>
        </w:rPr>
      </w:pPr>
    </w:p>
    <w:p w14:paraId="30F4D249" w14:textId="77777777" w:rsidR="00C17CD8" w:rsidRDefault="00C17CD8" w:rsidP="000068B3">
      <w:pPr>
        <w:spacing w:line="360" w:lineRule="auto"/>
        <w:jc w:val="both"/>
        <w:rPr>
          <w:rFonts w:ascii="Times New Roman" w:eastAsia="Times New Roman" w:hAnsi="Times New Roman" w:cs="Times New Roman"/>
        </w:rPr>
      </w:pPr>
    </w:p>
    <w:p w14:paraId="545A9FFF" w14:textId="77777777" w:rsidR="00C17CD8" w:rsidRDefault="00C17CD8" w:rsidP="000068B3">
      <w:pPr>
        <w:spacing w:line="360" w:lineRule="auto"/>
        <w:jc w:val="both"/>
        <w:rPr>
          <w:rFonts w:ascii="Times New Roman" w:eastAsia="Times New Roman" w:hAnsi="Times New Roman" w:cs="Times New Roman"/>
        </w:rPr>
      </w:pPr>
    </w:p>
    <w:p w14:paraId="57C8FC22" w14:textId="77777777" w:rsidR="00C17CD8" w:rsidRDefault="00C17CD8" w:rsidP="000068B3">
      <w:pPr>
        <w:spacing w:line="360" w:lineRule="auto"/>
        <w:jc w:val="both"/>
        <w:rPr>
          <w:rFonts w:ascii="Times New Roman" w:eastAsia="Times New Roman" w:hAnsi="Times New Roman" w:cs="Times New Roman"/>
        </w:rPr>
      </w:pPr>
    </w:p>
    <w:p w14:paraId="6F83F6C5" w14:textId="77777777" w:rsidR="00C17CD8" w:rsidRDefault="00C17CD8" w:rsidP="000068B3">
      <w:pPr>
        <w:spacing w:line="360" w:lineRule="auto"/>
        <w:jc w:val="both"/>
        <w:rPr>
          <w:rFonts w:ascii="Times New Roman" w:eastAsia="Times New Roman" w:hAnsi="Times New Roman" w:cs="Times New Roman"/>
        </w:rPr>
      </w:pPr>
    </w:p>
    <w:p w14:paraId="4B89D149" w14:textId="77777777" w:rsidR="00C17CD8" w:rsidRDefault="00C17CD8" w:rsidP="000068B3">
      <w:pPr>
        <w:spacing w:line="360" w:lineRule="auto"/>
        <w:jc w:val="both"/>
        <w:rPr>
          <w:rFonts w:ascii="Times New Roman" w:eastAsia="Times New Roman" w:hAnsi="Times New Roman" w:cs="Times New Roman"/>
        </w:rPr>
      </w:pPr>
    </w:p>
    <w:p w14:paraId="78CFAF7F" w14:textId="77777777" w:rsidR="00C17CD8" w:rsidRDefault="00C17CD8" w:rsidP="000068B3">
      <w:pPr>
        <w:spacing w:line="360" w:lineRule="auto"/>
        <w:jc w:val="both"/>
        <w:rPr>
          <w:rFonts w:ascii="Times New Roman" w:eastAsia="Times New Roman" w:hAnsi="Times New Roman" w:cs="Times New Roman"/>
        </w:rPr>
      </w:pPr>
    </w:p>
    <w:p w14:paraId="745EB646" w14:textId="77777777" w:rsidR="00C17CD8" w:rsidRDefault="00C17CD8" w:rsidP="000068B3">
      <w:pPr>
        <w:spacing w:line="360" w:lineRule="auto"/>
        <w:jc w:val="both"/>
        <w:rPr>
          <w:rFonts w:ascii="Times New Roman" w:eastAsia="Times New Roman" w:hAnsi="Times New Roman" w:cs="Times New Roman"/>
        </w:rPr>
      </w:pPr>
    </w:p>
    <w:p w14:paraId="135220D6" w14:textId="77777777" w:rsidR="00C17CD8" w:rsidRPr="00C0012E" w:rsidRDefault="00C17CD8" w:rsidP="000068B3">
      <w:pPr>
        <w:spacing w:line="360" w:lineRule="auto"/>
        <w:jc w:val="both"/>
        <w:rPr>
          <w:rFonts w:ascii="Times New Roman" w:eastAsia="Times New Roman" w:hAnsi="Times New Roman" w:cs="Times New Roman"/>
        </w:rPr>
      </w:pPr>
    </w:p>
    <w:p w14:paraId="2F91D8E5" w14:textId="40DAB7AB" w:rsidR="000068B3" w:rsidRDefault="00811A22" w:rsidP="000068B3">
      <w:pPr>
        <w:spacing w:line="360" w:lineRule="auto"/>
        <w:ind w:left="640" w:hanging="640"/>
        <w:jc w:val="both"/>
        <w:rPr>
          <w:rFonts w:ascii="Times New Roman" w:eastAsia="Times New Roman" w:hAnsi="Times New Roman" w:cs="Times New Roman"/>
          <w:b/>
          <w:bCs/>
        </w:rPr>
      </w:pPr>
      <w:r w:rsidRPr="0001293F">
        <w:rPr>
          <w:rFonts w:ascii="Times New Roman" w:eastAsia="Times New Roman" w:hAnsi="Times New Roman" w:cs="Times New Roman"/>
          <w:b/>
          <w:bCs/>
        </w:rPr>
        <w:lastRenderedPageBreak/>
        <w:t>SUPPLEMENTARY INFORMATION</w:t>
      </w:r>
    </w:p>
    <w:p w14:paraId="093AA582"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9EC1750" w14:textId="3615B922" w:rsidR="000068B3" w:rsidRPr="00C0012E" w:rsidRDefault="00CA5233" w:rsidP="000068B3">
      <w:pPr>
        <w:spacing w:line="360" w:lineRule="auto"/>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drawing>
          <wp:inline distT="0" distB="0" distL="0" distR="0" wp14:anchorId="7A6C247D" wp14:editId="37BB29C2">
            <wp:extent cx="5943600" cy="4736465"/>
            <wp:effectExtent l="0" t="0" r="0" b="635"/>
            <wp:docPr id="1443451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51708" name="Picture 14434517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736465"/>
                    </a:xfrm>
                    <a:prstGeom prst="rect">
                      <a:avLst/>
                    </a:prstGeom>
                  </pic:spPr>
                </pic:pic>
              </a:graphicData>
            </a:graphic>
          </wp:inline>
        </w:drawing>
      </w:r>
    </w:p>
    <w:p w14:paraId="61471C8C" w14:textId="4C4D9404"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t>Fig</w:t>
      </w:r>
      <w:r w:rsidR="00B74DAA">
        <w:rPr>
          <w:rFonts w:ascii="Times New Roman" w:eastAsia="Times New Roman" w:hAnsi="Times New Roman" w:cs="Times New Roman"/>
        </w:rPr>
        <w:t>.</w:t>
      </w:r>
      <w:r w:rsidRPr="00C0012E">
        <w:rPr>
          <w:rFonts w:ascii="Times New Roman" w:eastAsia="Times New Roman" w:hAnsi="Times New Roman" w:cs="Times New Roman"/>
        </w:rPr>
        <w:t xml:space="preserve"> </w:t>
      </w:r>
      <w:r w:rsidR="00B74DAA">
        <w:rPr>
          <w:rFonts w:ascii="Times New Roman" w:eastAsia="Times New Roman" w:hAnsi="Times New Roman" w:cs="Times New Roman"/>
        </w:rPr>
        <w:t>S</w:t>
      </w:r>
      <w:r>
        <w:rPr>
          <w:rFonts w:ascii="Times New Roman" w:eastAsia="Times New Roman" w:hAnsi="Times New Roman" w:cs="Times New Roman"/>
        </w:rPr>
        <w:t>1</w:t>
      </w:r>
      <w:r w:rsidRPr="00C0012E">
        <w:rPr>
          <w:rFonts w:ascii="Times New Roman" w:eastAsia="Times New Roman" w:hAnsi="Times New Roman" w:cs="Times New Roman"/>
        </w:rPr>
        <w:t xml:space="preserve">: Annual deforestation rates (%) across major Amazonian wetland sub-basins (1985–2024) disaggregated by land tenure category. The solid black line represents the overall sub-basin mean, while colored lines indicate specific </w:t>
      </w:r>
      <w:r>
        <w:rPr>
          <w:rFonts w:ascii="Times New Roman" w:eastAsia="Times New Roman" w:hAnsi="Times New Roman" w:cs="Times New Roman"/>
        </w:rPr>
        <w:t xml:space="preserve">land </w:t>
      </w:r>
      <w:r w:rsidRPr="00C0012E">
        <w:rPr>
          <w:rFonts w:ascii="Times New Roman" w:eastAsia="Times New Roman" w:hAnsi="Times New Roman" w:cs="Times New Roman"/>
        </w:rPr>
        <w:t>tenure classes.</w:t>
      </w:r>
    </w:p>
    <w:p w14:paraId="001F0174" w14:textId="77777777"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br/>
      </w:r>
    </w:p>
    <w:p w14:paraId="40876368"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4FD6354"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7D84783"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F3C36B2"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340B16CB"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8763234" w14:textId="4F197185" w:rsidR="000068B3" w:rsidRPr="00C0012E" w:rsidRDefault="00CA5233" w:rsidP="000068B3">
      <w:pPr>
        <w:spacing w:line="360" w:lineRule="auto"/>
        <w:ind w:left="640" w:hanging="640"/>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lastRenderedPageBreak/>
        <w:drawing>
          <wp:inline distT="0" distB="0" distL="0" distR="0" wp14:anchorId="1E24CE7D" wp14:editId="2421976E">
            <wp:extent cx="5943600" cy="4736465"/>
            <wp:effectExtent l="0" t="0" r="0" b="635"/>
            <wp:docPr id="718333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33762" name="Picture 71833376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736465"/>
                    </a:xfrm>
                    <a:prstGeom prst="rect">
                      <a:avLst/>
                    </a:prstGeom>
                  </pic:spPr>
                </pic:pic>
              </a:graphicData>
            </a:graphic>
          </wp:inline>
        </w:drawing>
      </w:r>
    </w:p>
    <w:p w14:paraId="5970C12B" w14:textId="7BC42129"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t>Fig</w:t>
      </w:r>
      <w:r w:rsidR="00B74DAA">
        <w:rPr>
          <w:rFonts w:ascii="Times New Roman" w:eastAsia="Times New Roman" w:hAnsi="Times New Roman" w:cs="Times New Roman"/>
        </w:rPr>
        <w:t>.</w:t>
      </w:r>
      <w:r w:rsidRPr="00C0012E">
        <w:rPr>
          <w:rFonts w:ascii="Times New Roman" w:eastAsia="Times New Roman" w:hAnsi="Times New Roman" w:cs="Times New Roman"/>
        </w:rPr>
        <w:t xml:space="preserve"> </w:t>
      </w:r>
      <w:r w:rsidR="00B74DAA">
        <w:rPr>
          <w:rFonts w:ascii="Times New Roman" w:eastAsia="Times New Roman" w:hAnsi="Times New Roman" w:cs="Times New Roman"/>
        </w:rPr>
        <w:t>S</w:t>
      </w:r>
      <w:r>
        <w:rPr>
          <w:rFonts w:ascii="Times New Roman" w:eastAsia="Times New Roman" w:hAnsi="Times New Roman" w:cs="Times New Roman"/>
        </w:rPr>
        <w:t>2</w:t>
      </w:r>
      <w:r w:rsidRPr="00C0012E">
        <w:rPr>
          <w:rFonts w:ascii="Times New Roman" w:eastAsia="Times New Roman" w:hAnsi="Times New Roman" w:cs="Times New Roman"/>
        </w:rPr>
        <w:t xml:space="preserve">: </w:t>
      </w:r>
      <w:r>
        <w:rPr>
          <w:rFonts w:ascii="Times New Roman" w:eastAsia="Times New Roman" w:hAnsi="Times New Roman" w:cs="Times New Roman"/>
        </w:rPr>
        <w:t>Human</w:t>
      </w:r>
      <w:r w:rsidR="00E01835">
        <w:rPr>
          <w:rFonts w:ascii="Times New Roman" w:eastAsia="Times New Roman" w:hAnsi="Times New Roman" w:cs="Times New Roman"/>
        </w:rPr>
        <w:t>-</w:t>
      </w:r>
      <w:r>
        <w:rPr>
          <w:rFonts w:ascii="Times New Roman" w:eastAsia="Times New Roman" w:hAnsi="Times New Roman" w:cs="Times New Roman"/>
        </w:rPr>
        <w:t>modified</w:t>
      </w:r>
      <w:r w:rsidRPr="00C0012E">
        <w:rPr>
          <w:rFonts w:ascii="Times New Roman" w:eastAsia="Times New Roman" w:hAnsi="Times New Roman" w:cs="Times New Roman"/>
        </w:rPr>
        <w:t xml:space="preserve"> wetland area (%) by land tenure category across Amazonian sub-basins (1985–2024). Black lines denote the weighted mean for each sub-basin.</w:t>
      </w:r>
    </w:p>
    <w:p w14:paraId="55AF6503" w14:textId="77777777"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t> </w:t>
      </w:r>
    </w:p>
    <w:p w14:paraId="44C30E7D"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0A0FA88E"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15C20C95"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50695E0F"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754A4C8C" w14:textId="77777777" w:rsidR="000068B3" w:rsidRDefault="000068B3" w:rsidP="000068B3">
      <w:pPr>
        <w:spacing w:line="360" w:lineRule="auto"/>
        <w:ind w:left="640" w:hanging="640"/>
        <w:jc w:val="both"/>
        <w:rPr>
          <w:rFonts w:ascii="Times New Roman" w:eastAsia="Times New Roman" w:hAnsi="Times New Roman" w:cs="Times New Roman"/>
        </w:rPr>
      </w:pPr>
    </w:p>
    <w:p w14:paraId="3E6794AA" w14:textId="77777777" w:rsidR="000068B3" w:rsidRDefault="000068B3" w:rsidP="000068B3">
      <w:pPr>
        <w:spacing w:line="360" w:lineRule="auto"/>
        <w:ind w:left="640" w:hanging="640"/>
        <w:jc w:val="both"/>
        <w:rPr>
          <w:rFonts w:ascii="Times New Roman" w:eastAsia="Times New Roman" w:hAnsi="Times New Roman" w:cs="Times New Roman"/>
        </w:rPr>
      </w:pPr>
    </w:p>
    <w:p w14:paraId="26BF16B3" w14:textId="77777777" w:rsidR="000068B3" w:rsidRDefault="000068B3" w:rsidP="000068B3">
      <w:pPr>
        <w:spacing w:line="360" w:lineRule="auto"/>
        <w:ind w:left="640" w:hanging="640"/>
        <w:jc w:val="both"/>
        <w:rPr>
          <w:rFonts w:ascii="Times New Roman" w:eastAsia="Times New Roman" w:hAnsi="Times New Roman" w:cs="Times New Roman"/>
        </w:rPr>
      </w:pPr>
    </w:p>
    <w:p w14:paraId="0BD69BCF" w14:textId="71AAAE92" w:rsidR="000068B3" w:rsidRPr="00C0012E" w:rsidRDefault="00CA5233" w:rsidP="000068B3">
      <w:pPr>
        <w:spacing w:line="360" w:lineRule="auto"/>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lastRenderedPageBreak/>
        <w:drawing>
          <wp:inline distT="0" distB="0" distL="0" distR="0" wp14:anchorId="3BF812E5" wp14:editId="3EB0EA84">
            <wp:extent cx="5943600" cy="4736465"/>
            <wp:effectExtent l="0" t="0" r="0" b="635"/>
            <wp:docPr id="2980082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08241" name="Picture 2980082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736465"/>
                    </a:xfrm>
                    <a:prstGeom prst="rect">
                      <a:avLst/>
                    </a:prstGeom>
                  </pic:spPr>
                </pic:pic>
              </a:graphicData>
            </a:graphic>
          </wp:inline>
        </w:drawing>
      </w:r>
    </w:p>
    <w:p w14:paraId="43241251" w14:textId="45380A72"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t>Fig</w:t>
      </w:r>
      <w:r w:rsidR="00B74DAA">
        <w:rPr>
          <w:rFonts w:ascii="Times New Roman" w:eastAsia="Times New Roman" w:hAnsi="Times New Roman" w:cs="Times New Roman"/>
        </w:rPr>
        <w:t>. S</w:t>
      </w:r>
      <w:r>
        <w:rPr>
          <w:rFonts w:ascii="Times New Roman" w:eastAsia="Times New Roman" w:hAnsi="Times New Roman" w:cs="Times New Roman"/>
        </w:rPr>
        <w:t>3</w:t>
      </w:r>
      <w:r w:rsidRPr="00C0012E">
        <w:rPr>
          <w:rFonts w:ascii="Times New Roman" w:eastAsia="Times New Roman" w:hAnsi="Times New Roman" w:cs="Times New Roman"/>
        </w:rPr>
        <w:t xml:space="preserve">: Annual regrowth rates (%) across major Amazonian wetland sub-basins (1985–2024) disaggregated by land tenure category. The solid black line represents the overall sub-basin mean, while colored lines indicate specific </w:t>
      </w:r>
      <w:r>
        <w:rPr>
          <w:rFonts w:ascii="Times New Roman" w:eastAsia="Times New Roman" w:hAnsi="Times New Roman" w:cs="Times New Roman"/>
        </w:rPr>
        <w:t xml:space="preserve">land </w:t>
      </w:r>
      <w:r w:rsidRPr="00C0012E">
        <w:rPr>
          <w:rFonts w:ascii="Times New Roman" w:eastAsia="Times New Roman" w:hAnsi="Times New Roman" w:cs="Times New Roman"/>
        </w:rPr>
        <w:t>tenure classes.</w:t>
      </w:r>
    </w:p>
    <w:p w14:paraId="59DF7727"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6CEB092D"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0FCC06C6"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12CA456"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48A938E1"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1EF7EE13"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8751CAE"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2FDA0785" w14:textId="77777777" w:rsidR="000068B3" w:rsidRDefault="000068B3" w:rsidP="000068B3">
      <w:pPr>
        <w:spacing w:line="360" w:lineRule="auto"/>
        <w:ind w:left="640" w:hanging="640"/>
        <w:jc w:val="both"/>
        <w:rPr>
          <w:rFonts w:ascii="Times New Roman" w:eastAsia="Times New Roman" w:hAnsi="Times New Roman" w:cs="Times New Roman"/>
        </w:rPr>
      </w:pPr>
    </w:p>
    <w:p w14:paraId="5A5F37A8" w14:textId="553F4F24" w:rsidR="000068B3" w:rsidRPr="00C0012E" w:rsidRDefault="00CA5233" w:rsidP="000068B3">
      <w:pPr>
        <w:spacing w:line="360" w:lineRule="auto"/>
        <w:ind w:left="640" w:hanging="640"/>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lastRenderedPageBreak/>
        <w:drawing>
          <wp:inline distT="0" distB="0" distL="0" distR="0" wp14:anchorId="78CBF00A" wp14:editId="20FDABB4">
            <wp:extent cx="5943600" cy="4736465"/>
            <wp:effectExtent l="0" t="0" r="0" b="635"/>
            <wp:docPr id="8987973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97374" name="Picture 8987973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736465"/>
                    </a:xfrm>
                    <a:prstGeom prst="rect">
                      <a:avLst/>
                    </a:prstGeom>
                  </pic:spPr>
                </pic:pic>
              </a:graphicData>
            </a:graphic>
          </wp:inline>
        </w:drawing>
      </w:r>
    </w:p>
    <w:p w14:paraId="11E706AB" w14:textId="54955DF4" w:rsidR="000068B3" w:rsidRPr="00C0012E" w:rsidRDefault="000068B3" w:rsidP="000068B3">
      <w:pPr>
        <w:spacing w:line="360" w:lineRule="auto"/>
        <w:ind w:left="640" w:hanging="640"/>
        <w:jc w:val="both"/>
        <w:rPr>
          <w:rFonts w:ascii="Times New Roman" w:eastAsia="Times New Roman" w:hAnsi="Times New Roman" w:cs="Times New Roman"/>
        </w:rPr>
      </w:pPr>
      <w:r w:rsidRPr="00C0012E">
        <w:rPr>
          <w:rFonts w:ascii="Times New Roman" w:eastAsia="Times New Roman" w:hAnsi="Times New Roman" w:cs="Times New Roman"/>
        </w:rPr>
        <w:t>Fig</w:t>
      </w:r>
      <w:r w:rsidR="00B74DAA">
        <w:rPr>
          <w:rFonts w:ascii="Times New Roman" w:eastAsia="Times New Roman" w:hAnsi="Times New Roman" w:cs="Times New Roman"/>
        </w:rPr>
        <w:t>. S</w:t>
      </w:r>
      <w:r>
        <w:rPr>
          <w:rFonts w:ascii="Times New Roman" w:eastAsia="Times New Roman" w:hAnsi="Times New Roman" w:cs="Times New Roman"/>
        </w:rPr>
        <w:t>4</w:t>
      </w:r>
      <w:r w:rsidRPr="00C0012E">
        <w:rPr>
          <w:rFonts w:ascii="Times New Roman" w:eastAsia="Times New Roman" w:hAnsi="Times New Roman" w:cs="Times New Roman"/>
        </w:rPr>
        <w:t xml:space="preserve">: Annual </w:t>
      </w:r>
      <w:r w:rsidR="001232A0">
        <w:rPr>
          <w:rFonts w:ascii="Times New Roman" w:eastAsia="Times New Roman" w:hAnsi="Times New Roman" w:cs="Times New Roman"/>
        </w:rPr>
        <w:t>b</w:t>
      </w:r>
      <w:r w:rsidRPr="00C0012E">
        <w:rPr>
          <w:rFonts w:ascii="Times New Roman" w:eastAsia="Times New Roman" w:hAnsi="Times New Roman" w:cs="Times New Roman"/>
        </w:rPr>
        <w:t>urned area (%) in Amazonian wetlands by sub-basin and land tenure (1985–2024). The solid black line represents the average fire pressure for each respective basin.</w:t>
      </w:r>
    </w:p>
    <w:p w14:paraId="66F79168"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429220F7"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7B0789EE" w14:textId="6AD8578C" w:rsidR="000068B3" w:rsidRPr="00C0012E" w:rsidRDefault="00F040E7" w:rsidP="000068B3">
      <w:pPr>
        <w:spacing w:line="360" w:lineRule="auto"/>
        <w:ind w:left="640" w:hanging="640"/>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lastRenderedPageBreak/>
        <w:drawing>
          <wp:inline distT="0" distB="0" distL="0" distR="0" wp14:anchorId="08A385BB" wp14:editId="606A7E43">
            <wp:extent cx="5943600" cy="4662805"/>
            <wp:effectExtent l="0" t="0" r="0" b="0"/>
            <wp:docPr id="1116688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88398" name="Picture 11166883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662805"/>
                    </a:xfrm>
                    <a:prstGeom prst="rect">
                      <a:avLst/>
                    </a:prstGeom>
                  </pic:spPr>
                </pic:pic>
              </a:graphicData>
            </a:graphic>
          </wp:inline>
        </w:drawing>
      </w:r>
    </w:p>
    <w:p w14:paraId="6B43665F" w14:textId="64816A28" w:rsidR="000068B3" w:rsidRPr="00C0012E" w:rsidRDefault="000068B3" w:rsidP="000068B3">
      <w:pPr>
        <w:spacing w:line="360" w:lineRule="auto"/>
        <w:ind w:left="640" w:hanging="640"/>
        <w:jc w:val="both"/>
        <w:rPr>
          <w:rFonts w:ascii="Times New Roman" w:eastAsia="Times New Roman" w:hAnsi="Times New Roman" w:cs="Times New Roman"/>
          <w:b/>
          <w:bCs/>
        </w:rPr>
      </w:pPr>
      <w:r w:rsidRPr="00C0012E">
        <w:rPr>
          <w:rFonts w:ascii="Times New Roman" w:eastAsia="Times New Roman" w:hAnsi="Times New Roman" w:cs="Times New Roman"/>
        </w:rPr>
        <w:t>Fig</w:t>
      </w:r>
      <w:r w:rsidR="00B74DAA">
        <w:rPr>
          <w:rFonts w:ascii="Times New Roman" w:eastAsia="Times New Roman" w:hAnsi="Times New Roman" w:cs="Times New Roman"/>
        </w:rPr>
        <w:t>. S</w:t>
      </w:r>
      <w:r>
        <w:rPr>
          <w:rFonts w:ascii="Times New Roman" w:eastAsia="Times New Roman" w:hAnsi="Times New Roman" w:cs="Times New Roman"/>
        </w:rPr>
        <w:t>5</w:t>
      </w:r>
      <w:r w:rsidRPr="00C0012E">
        <w:rPr>
          <w:rFonts w:ascii="Times New Roman" w:eastAsia="Times New Roman" w:hAnsi="Times New Roman" w:cs="Times New Roman"/>
        </w:rPr>
        <w:t xml:space="preserve">: Mann-Kendall trend analysis of all </w:t>
      </w:r>
      <w:r>
        <w:rPr>
          <w:rFonts w:ascii="Times New Roman" w:eastAsia="Times New Roman" w:hAnsi="Times New Roman" w:cs="Times New Roman"/>
        </w:rPr>
        <w:t xml:space="preserve">land </w:t>
      </w:r>
      <w:r w:rsidRPr="00C0012E">
        <w:rPr>
          <w:rFonts w:ascii="Times New Roman" w:eastAsia="Times New Roman" w:hAnsi="Times New Roman" w:cs="Times New Roman"/>
        </w:rPr>
        <w:t>tenure category × sub-basin combinations (1985–2024) for (</w:t>
      </w:r>
      <w:r w:rsidR="00597387">
        <w:rPr>
          <w:rFonts w:ascii="Times New Roman" w:eastAsia="Times New Roman" w:hAnsi="Times New Roman" w:cs="Times New Roman"/>
        </w:rPr>
        <w:t>a</w:t>
      </w:r>
      <w:r w:rsidRPr="00C0012E">
        <w:rPr>
          <w:rFonts w:ascii="Times New Roman" w:eastAsia="Times New Roman" w:hAnsi="Times New Roman" w:cs="Times New Roman"/>
        </w:rPr>
        <w:t xml:space="preserve">) </w:t>
      </w:r>
      <w:r w:rsidR="00F040E7">
        <w:rPr>
          <w:rFonts w:ascii="Times New Roman" w:eastAsia="Times New Roman" w:hAnsi="Times New Roman" w:cs="Times New Roman"/>
        </w:rPr>
        <w:t>A</w:t>
      </w:r>
      <w:r w:rsidRPr="00C0012E">
        <w:rPr>
          <w:rFonts w:ascii="Times New Roman" w:eastAsia="Times New Roman" w:hAnsi="Times New Roman" w:cs="Times New Roman"/>
        </w:rPr>
        <w:t>nnual deforestation, (</w:t>
      </w:r>
      <w:r w:rsidR="00597387">
        <w:rPr>
          <w:rFonts w:ascii="Times New Roman" w:eastAsia="Times New Roman" w:hAnsi="Times New Roman" w:cs="Times New Roman"/>
        </w:rPr>
        <w:t>b</w:t>
      </w:r>
      <w:r w:rsidRPr="00C0012E">
        <w:rPr>
          <w:rFonts w:ascii="Times New Roman" w:eastAsia="Times New Roman" w:hAnsi="Times New Roman" w:cs="Times New Roman"/>
        </w:rPr>
        <w:t xml:space="preserve">) </w:t>
      </w:r>
      <w:r w:rsidR="00F040E7">
        <w:rPr>
          <w:rFonts w:ascii="Times New Roman" w:eastAsia="Times New Roman" w:hAnsi="Times New Roman" w:cs="Times New Roman"/>
        </w:rPr>
        <w:t>H</w:t>
      </w:r>
      <w:r>
        <w:rPr>
          <w:rFonts w:ascii="Times New Roman" w:eastAsia="Times New Roman" w:hAnsi="Times New Roman" w:cs="Times New Roman"/>
        </w:rPr>
        <w:t>uman</w:t>
      </w:r>
      <w:r w:rsidR="00F040E7">
        <w:rPr>
          <w:rFonts w:ascii="Times New Roman" w:eastAsia="Times New Roman" w:hAnsi="Times New Roman" w:cs="Times New Roman"/>
        </w:rPr>
        <w:t>-</w:t>
      </w:r>
      <w:r>
        <w:rPr>
          <w:rFonts w:ascii="Times New Roman" w:eastAsia="Times New Roman" w:hAnsi="Times New Roman" w:cs="Times New Roman"/>
        </w:rPr>
        <w:t>modified</w:t>
      </w:r>
      <w:r w:rsidRPr="00C0012E">
        <w:rPr>
          <w:rFonts w:ascii="Times New Roman" w:eastAsia="Times New Roman" w:hAnsi="Times New Roman" w:cs="Times New Roman"/>
        </w:rPr>
        <w:t xml:space="preserve"> </w:t>
      </w:r>
      <w:r>
        <w:rPr>
          <w:rFonts w:ascii="Times New Roman" w:eastAsia="Times New Roman" w:hAnsi="Times New Roman" w:cs="Times New Roman"/>
        </w:rPr>
        <w:t>w</w:t>
      </w:r>
      <w:r w:rsidRPr="00C0012E">
        <w:rPr>
          <w:rFonts w:ascii="Times New Roman" w:eastAsia="Times New Roman" w:hAnsi="Times New Roman" w:cs="Times New Roman"/>
        </w:rPr>
        <w:t>etland, (</w:t>
      </w:r>
      <w:r w:rsidR="00597387">
        <w:rPr>
          <w:rFonts w:ascii="Times New Roman" w:eastAsia="Times New Roman" w:hAnsi="Times New Roman" w:cs="Times New Roman"/>
        </w:rPr>
        <w:t>c</w:t>
      </w:r>
      <w:r w:rsidRPr="00C0012E">
        <w:rPr>
          <w:rFonts w:ascii="Times New Roman" w:eastAsia="Times New Roman" w:hAnsi="Times New Roman" w:cs="Times New Roman"/>
        </w:rPr>
        <w:t xml:space="preserve">) </w:t>
      </w:r>
      <w:r w:rsidR="00F040E7">
        <w:rPr>
          <w:rFonts w:ascii="Times New Roman" w:eastAsia="Times New Roman" w:hAnsi="Times New Roman" w:cs="Times New Roman"/>
        </w:rPr>
        <w:t>A</w:t>
      </w:r>
      <w:r w:rsidRPr="00C0012E">
        <w:rPr>
          <w:rFonts w:ascii="Times New Roman" w:eastAsia="Times New Roman" w:hAnsi="Times New Roman" w:cs="Times New Roman"/>
        </w:rPr>
        <w:t>nnual regrowth, and (</w:t>
      </w:r>
      <w:r w:rsidR="00597387">
        <w:rPr>
          <w:rFonts w:ascii="Times New Roman" w:eastAsia="Times New Roman" w:hAnsi="Times New Roman" w:cs="Times New Roman"/>
        </w:rPr>
        <w:t>d</w:t>
      </w:r>
      <w:r w:rsidRPr="00C0012E">
        <w:rPr>
          <w:rFonts w:ascii="Times New Roman" w:eastAsia="Times New Roman" w:hAnsi="Times New Roman" w:cs="Times New Roman"/>
        </w:rPr>
        <w:t xml:space="preserve">) </w:t>
      </w:r>
      <w:r w:rsidR="00F040E7">
        <w:rPr>
          <w:rFonts w:ascii="Times New Roman" w:eastAsia="Times New Roman" w:hAnsi="Times New Roman" w:cs="Times New Roman"/>
        </w:rPr>
        <w:t>A</w:t>
      </w:r>
      <w:r w:rsidRPr="00C0012E">
        <w:rPr>
          <w:rFonts w:ascii="Times New Roman" w:eastAsia="Times New Roman" w:hAnsi="Times New Roman" w:cs="Times New Roman"/>
        </w:rPr>
        <w:t xml:space="preserve">nnual burned area. Cell color indicates Theil-Sen slope magnitude (% yr⁻¹); diverging scale from blue (decreasing) to red (increasing). ▲ = significant increase (p &lt; 0.05); ▼ = significant decrease; ○ = not significant; — = untestable due to zero variance. Tenure categories are ordered by increasing median pressure (left to right). </w:t>
      </w:r>
    </w:p>
    <w:p w14:paraId="13BB2E8B"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0EF550DB"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742BAA89"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4A3A46D3" w14:textId="0BFB77EE" w:rsidR="000068B3" w:rsidRPr="00C0012E" w:rsidRDefault="004005D7" w:rsidP="000068B3">
      <w:pPr>
        <w:spacing w:line="360" w:lineRule="auto"/>
        <w:ind w:left="640" w:hanging="640"/>
        <w:jc w:val="both"/>
        <w:rPr>
          <w:rFonts w:ascii="Times New Roman" w:eastAsia="Times New Roman" w:hAnsi="Times New Roman" w:cs="Times New Roman"/>
        </w:rPr>
      </w:pPr>
      <w:r>
        <w:rPr>
          <w:rFonts w:ascii="Times New Roman" w:eastAsia="Times New Roman" w:hAnsi="Times New Roman" w:cs="Times New Roman"/>
          <w:noProof/>
          <w14:ligatures w14:val="standardContextual"/>
        </w:rPr>
        <w:lastRenderedPageBreak/>
        <w:drawing>
          <wp:inline distT="0" distB="0" distL="0" distR="0" wp14:anchorId="4934A0CE" wp14:editId="6257B2B1">
            <wp:extent cx="5943600" cy="5955665"/>
            <wp:effectExtent l="0" t="0" r="0" b="635"/>
            <wp:docPr id="881578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8309" name="Picture 8815783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955665"/>
                    </a:xfrm>
                    <a:prstGeom prst="rect">
                      <a:avLst/>
                    </a:prstGeom>
                  </pic:spPr>
                </pic:pic>
              </a:graphicData>
            </a:graphic>
          </wp:inline>
        </w:drawing>
      </w:r>
    </w:p>
    <w:p w14:paraId="38BBECA3" w14:textId="4CC1156D" w:rsidR="000068B3" w:rsidRPr="000A728E" w:rsidRDefault="000068B3" w:rsidP="000068B3">
      <w:pPr>
        <w:spacing w:line="360" w:lineRule="auto"/>
        <w:ind w:left="640" w:hanging="640"/>
        <w:jc w:val="both"/>
        <w:rPr>
          <w:rFonts w:ascii="Times New Roman" w:eastAsia="Times New Roman" w:hAnsi="Times New Roman" w:cs="Times New Roman"/>
          <w:lang w:val="pt-BR"/>
        </w:rPr>
      </w:pPr>
      <w:r w:rsidRPr="008C1E77">
        <w:rPr>
          <w:rFonts w:ascii="Times New Roman" w:eastAsia="Times New Roman" w:hAnsi="Times New Roman" w:cs="Times New Roman"/>
          <w:lang w:val="fr-FR"/>
        </w:rPr>
        <w:t>Fig</w:t>
      </w:r>
      <w:r w:rsidR="00B74DAA">
        <w:rPr>
          <w:rFonts w:ascii="Times New Roman" w:eastAsia="Times New Roman" w:hAnsi="Times New Roman" w:cs="Times New Roman"/>
          <w:lang w:val="fr-FR"/>
        </w:rPr>
        <w:t>. S</w:t>
      </w:r>
      <w:proofErr w:type="gramStart"/>
      <w:r>
        <w:rPr>
          <w:rFonts w:ascii="Times New Roman" w:eastAsia="Times New Roman" w:hAnsi="Times New Roman" w:cs="Times New Roman"/>
          <w:lang w:val="fr-FR"/>
        </w:rPr>
        <w:t>6</w:t>
      </w:r>
      <w:r w:rsidRPr="00DA4F84">
        <w:rPr>
          <w:rFonts w:ascii="Times New Roman" w:eastAsia="Times New Roman" w:hAnsi="Times New Roman" w:cs="Times New Roman"/>
          <w:b/>
          <w:bCs/>
          <w:lang w:val="fr-FR"/>
        </w:rPr>
        <w:t>:</w:t>
      </w:r>
      <w:proofErr w:type="gramEnd"/>
      <w:r>
        <w:rPr>
          <w:rFonts w:ascii="Times New Roman" w:eastAsia="Times New Roman" w:hAnsi="Times New Roman" w:cs="Times New Roman"/>
          <w:b/>
          <w:bCs/>
          <w:lang w:val="fr-FR"/>
        </w:rPr>
        <w:t xml:space="preserve"> </w:t>
      </w:r>
      <w:r w:rsidRPr="00DA4F84">
        <w:rPr>
          <w:rFonts w:ascii="Times New Roman" w:eastAsia="Times New Roman" w:hAnsi="Times New Roman" w:cs="Times New Roman"/>
          <w:lang w:val="fr-FR"/>
        </w:rPr>
        <w:t xml:space="preserve">Silhouette coefficients per combination. </w:t>
      </w:r>
      <w:r w:rsidRPr="000A728E">
        <w:rPr>
          <w:rFonts w:ascii="Times New Roman" w:eastAsia="Times New Roman" w:hAnsi="Times New Roman" w:cs="Times New Roman"/>
          <w:lang w:val="pt-BR"/>
        </w:rPr>
        <w:t>C0 (</w:t>
      </w:r>
      <w:proofErr w:type="spellStart"/>
      <w:r w:rsidR="004005D7">
        <w:rPr>
          <w:rFonts w:ascii="Times New Roman" w:eastAsia="Times New Roman" w:hAnsi="Times New Roman" w:cs="Times New Roman"/>
          <w:lang w:val="pt-BR"/>
        </w:rPr>
        <w:t>red</w:t>
      </w:r>
      <w:proofErr w:type="spellEnd"/>
      <w:r w:rsidR="004005D7">
        <w:rPr>
          <w:rFonts w:ascii="Times New Roman" w:eastAsia="Times New Roman" w:hAnsi="Times New Roman" w:cs="Times New Roman"/>
          <w:lang w:val="pt-BR"/>
        </w:rPr>
        <w:t>, n</w:t>
      </w:r>
      <w:r w:rsidR="00AD2D4F">
        <w:rPr>
          <w:rFonts w:ascii="Times New Roman" w:eastAsia="Times New Roman" w:hAnsi="Times New Roman" w:cs="Times New Roman"/>
          <w:lang w:val="pt-BR"/>
        </w:rPr>
        <w:t xml:space="preserve"> </w:t>
      </w:r>
      <w:r w:rsidR="004005D7">
        <w:rPr>
          <w:rFonts w:ascii="Times New Roman" w:eastAsia="Times New Roman" w:hAnsi="Times New Roman" w:cs="Times New Roman"/>
          <w:lang w:val="pt-BR"/>
        </w:rPr>
        <w:t>=</w:t>
      </w:r>
      <w:r w:rsidR="00AD2D4F">
        <w:rPr>
          <w:rFonts w:ascii="Times New Roman" w:eastAsia="Times New Roman" w:hAnsi="Times New Roman" w:cs="Times New Roman"/>
          <w:lang w:val="pt-BR"/>
        </w:rPr>
        <w:t xml:space="preserve"> </w:t>
      </w:r>
      <w:r w:rsidR="004005D7">
        <w:rPr>
          <w:rFonts w:ascii="Times New Roman" w:eastAsia="Times New Roman" w:hAnsi="Times New Roman" w:cs="Times New Roman"/>
          <w:lang w:val="pt-BR"/>
        </w:rPr>
        <w:t>9</w:t>
      </w:r>
      <w:r w:rsidRPr="000A728E">
        <w:rPr>
          <w:rFonts w:ascii="Times New Roman" w:eastAsia="Times New Roman" w:hAnsi="Times New Roman" w:cs="Times New Roman"/>
          <w:lang w:val="pt-BR"/>
        </w:rPr>
        <w:t>); C1 (</w:t>
      </w:r>
      <w:proofErr w:type="spellStart"/>
      <w:r w:rsidR="00597387">
        <w:rPr>
          <w:rFonts w:ascii="Times New Roman" w:eastAsia="Times New Roman" w:hAnsi="Times New Roman" w:cs="Times New Roman"/>
          <w:lang w:val="pt-BR"/>
        </w:rPr>
        <w:t>orange</w:t>
      </w:r>
      <w:proofErr w:type="spellEnd"/>
      <w:r w:rsidRPr="000A728E">
        <w:rPr>
          <w:rFonts w:ascii="Times New Roman" w:eastAsia="Times New Roman" w:hAnsi="Times New Roman" w:cs="Times New Roman"/>
          <w:lang w:val="pt-BR"/>
        </w:rPr>
        <w:t>, n =</w:t>
      </w:r>
      <w:r w:rsidR="00AD2D4F">
        <w:rPr>
          <w:rFonts w:ascii="Times New Roman" w:eastAsia="Times New Roman" w:hAnsi="Times New Roman" w:cs="Times New Roman"/>
          <w:lang w:val="pt-BR"/>
        </w:rPr>
        <w:t xml:space="preserve"> </w:t>
      </w:r>
      <w:r>
        <w:rPr>
          <w:rFonts w:ascii="Times New Roman" w:eastAsia="Times New Roman" w:hAnsi="Times New Roman" w:cs="Times New Roman"/>
          <w:lang w:val="pt-BR"/>
        </w:rPr>
        <w:t>5</w:t>
      </w:r>
      <w:r w:rsidRPr="000A728E">
        <w:rPr>
          <w:rFonts w:ascii="Times New Roman" w:eastAsia="Times New Roman" w:hAnsi="Times New Roman" w:cs="Times New Roman"/>
          <w:lang w:val="pt-BR"/>
        </w:rPr>
        <w:t>); C2 (</w:t>
      </w:r>
      <w:proofErr w:type="spellStart"/>
      <w:r w:rsidR="004005D7" w:rsidRPr="000A728E">
        <w:rPr>
          <w:rFonts w:ascii="Times New Roman" w:eastAsia="Times New Roman" w:hAnsi="Times New Roman" w:cs="Times New Roman"/>
          <w:lang w:val="pt-BR"/>
        </w:rPr>
        <w:t>green</w:t>
      </w:r>
      <w:proofErr w:type="spellEnd"/>
      <w:r w:rsidR="004005D7" w:rsidRPr="000A728E">
        <w:rPr>
          <w:rFonts w:ascii="Times New Roman" w:eastAsia="Times New Roman" w:hAnsi="Times New Roman" w:cs="Times New Roman"/>
          <w:lang w:val="pt-BR"/>
        </w:rPr>
        <w:t xml:space="preserve">, n = </w:t>
      </w:r>
      <w:r w:rsidR="004005D7">
        <w:rPr>
          <w:rFonts w:ascii="Times New Roman" w:eastAsia="Times New Roman" w:hAnsi="Times New Roman" w:cs="Times New Roman"/>
          <w:lang w:val="pt-BR"/>
        </w:rPr>
        <w:t>81</w:t>
      </w:r>
      <w:r w:rsidRPr="000A728E">
        <w:rPr>
          <w:rFonts w:ascii="Times New Roman" w:eastAsia="Times New Roman" w:hAnsi="Times New Roman" w:cs="Times New Roman"/>
          <w:lang w:val="pt-BR"/>
        </w:rPr>
        <w:t>)</w:t>
      </w:r>
      <w:r>
        <w:rPr>
          <w:rFonts w:ascii="Times New Roman" w:eastAsia="Times New Roman" w:hAnsi="Times New Roman" w:cs="Times New Roman"/>
          <w:lang w:val="pt-BR"/>
        </w:rPr>
        <w:t xml:space="preserve">, </w:t>
      </w:r>
      <w:proofErr w:type="spellStart"/>
      <w:r>
        <w:rPr>
          <w:rFonts w:ascii="Times New Roman" w:eastAsia="Times New Roman" w:hAnsi="Times New Roman" w:cs="Times New Roman"/>
          <w:lang w:val="pt-BR"/>
        </w:rPr>
        <w:t>and</w:t>
      </w:r>
      <w:proofErr w:type="spellEnd"/>
      <w:r>
        <w:rPr>
          <w:rFonts w:ascii="Times New Roman" w:eastAsia="Times New Roman" w:hAnsi="Times New Roman" w:cs="Times New Roman"/>
          <w:lang w:val="pt-BR"/>
        </w:rPr>
        <w:t xml:space="preserve"> C3 (</w:t>
      </w:r>
      <w:r w:rsidR="004005D7">
        <w:rPr>
          <w:rFonts w:ascii="Times New Roman" w:eastAsia="Times New Roman" w:hAnsi="Times New Roman" w:cs="Times New Roman"/>
          <w:lang w:val="pt-BR"/>
        </w:rPr>
        <w:t>blue</w:t>
      </w:r>
      <w:r w:rsidR="004005D7" w:rsidRPr="000A728E">
        <w:rPr>
          <w:rFonts w:ascii="Times New Roman" w:eastAsia="Times New Roman" w:hAnsi="Times New Roman" w:cs="Times New Roman"/>
          <w:lang w:val="pt-BR"/>
        </w:rPr>
        <w:t xml:space="preserve">, n = </w:t>
      </w:r>
      <w:r w:rsidR="004005D7">
        <w:rPr>
          <w:rFonts w:ascii="Times New Roman" w:eastAsia="Times New Roman" w:hAnsi="Times New Roman" w:cs="Times New Roman"/>
          <w:lang w:val="pt-BR"/>
        </w:rPr>
        <w:t>6</w:t>
      </w:r>
      <w:r>
        <w:rPr>
          <w:rFonts w:ascii="Times New Roman" w:eastAsia="Times New Roman" w:hAnsi="Times New Roman" w:cs="Times New Roman"/>
          <w:lang w:val="pt-BR"/>
        </w:rPr>
        <w:t>)</w:t>
      </w:r>
      <w:r w:rsidRPr="000A728E">
        <w:rPr>
          <w:rFonts w:ascii="Times New Roman" w:eastAsia="Times New Roman" w:hAnsi="Times New Roman" w:cs="Times New Roman"/>
          <w:lang w:val="pt-BR"/>
        </w:rPr>
        <w:t>.</w:t>
      </w:r>
    </w:p>
    <w:p w14:paraId="51C2CB57" w14:textId="77777777" w:rsidR="00E01835" w:rsidRDefault="00E01835" w:rsidP="000068B3">
      <w:pPr>
        <w:spacing w:line="360" w:lineRule="auto"/>
        <w:ind w:left="640" w:hanging="640"/>
        <w:jc w:val="both"/>
        <w:rPr>
          <w:rFonts w:ascii="Times New Roman" w:eastAsia="Times New Roman" w:hAnsi="Times New Roman" w:cs="Times New Roman"/>
        </w:rPr>
      </w:pPr>
    </w:p>
    <w:p w14:paraId="5505E37C" w14:textId="77777777" w:rsidR="00E01835" w:rsidRPr="00E01835" w:rsidRDefault="00E01835" w:rsidP="00E01835">
      <w:pPr>
        <w:autoSpaceDE w:val="0"/>
        <w:autoSpaceDN w:val="0"/>
        <w:adjustRightInd w:val="0"/>
        <w:spacing w:line="360" w:lineRule="auto"/>
        <w:jc w:val="both"/>
        <w:rPr>
          <w:rFonts w:ascii="Times New Roman" w:eastAsiaTheme="minorEastAsia" w:hAnsi="Times New Roman" w:cs="Times New Roman"/>
          <w:lang w:val="en-US"/>
          <w14:ligatures w14:val="standardContextual"/>
        </w:rPr>
      </w:pPr>
      <w:r w:rsidRPr="00E01835">
        <w:rPr>
          <w:rFonts w:ascii="Times New Roman" w:eastAsiaTheme="minorEastAsia" w:hAnsi="Times New Roman" w:cs="Times New Roman"/>
          <w:lang w:val="en-US"/>
          <w14:ligatures w14:val="standardContextual"/>
        </w:rPr>
        <w:t xml:space="preserve">Cluster 0 (n = 9, Silhouette = 0.161) is distinguished by an elevated human-modified wetland area trend (Theil-Sen = 0.61% yr⁻¹) while deforestation and burned area remain low. It is composed by Agrarian Reform Settlements (5 of 9 total ARS combinations) and Public Lands (2), with isolated contributions from NHIL (1) and NHQL (1). Geographically, it is concentrated in the Madeira (3) and </w:t>
      </w:r>
      <w:proofErr w:type="spellStart"/>
      <w:r w:rsidRPr="00E01835">
        <w:rPr>
          <w:rFonts w:ascii="Times New Roman" w:eastAsiaTheme="minorEastAsia" w:hAnsi="Times New Roman" w:cs="Times New Roman"/>
          <w:lang w:val="en-US"/>
          <w14:ligatures w14:val="standardContextual"/>
        </w:rPr>
        <w:t>Trombetas</w:t>
      </w:r>
      <w:proofErr w:type="spellEnd"/>
      <w:r w:rsidRPr="00E01835">
        <w:rPr>
          <w:rFonts w:ascii="Times New Roman" w:eastAsiaTheme="minorEastAsia" w:hAnsi="Times New Roman" w:cs="Times New Roman"/>
          <w:lang w:val="en-US"/>
          <w14:ligatures w14:val="standardContextual"/>
        </w:rPr>
        <w:t xml:space="preserve"> (3) sub-basins, with single combinations in </w:t>
      </w:r>
      <w:proofErr w:type="spellStart"/>
      <w:r w:rsidRPr="00E01835">
        <w:rPr>
          <w:rFonts w:ascii="Times New Roman" w:eastAsiaTheme="minorEastAsia" w:hAnsi="Times New Roman" w:cs="Times New Roman"/>
          <w:lang w:val="en-US"/>
          <w14:ligatures w14:val="standardContextual"/>
        </w:rPr>
        <w:t>Juruá</w:t>
      </w:r>
      <w:proofErr w:type="spellEnd"/>
      <w:r w:rsidRPr="00E01835">
        <w:rPr>
          <w:rFonts w:ascii="Times New Roman" w:eastAsiaTheme="minorEastAsia" w:hAnsi="Times New Roman" w:cs="Times New Roman"/>
          <w:lang w:val="en-US"/>
          <w14:ligatures w14:val="standardContextual"/>
        </w:rPr>
        <w:t>, Purus, and Xingu.</w:t>
      </w:r>
    </w:p>
    <w:p w14:paraId="0CE63EB0" w14:textId="77777777" w:rsidR="00E01835" w:rsidRDefault="00E01835" w:rsidP="00E01835">
      <w:pPr>
        <w:autoSpaceDE w:val="0"/>
        <w:autoSpaceDN w:val="0"/>
        <w:adjustRightInd w:val="0"/>
        <w:spacing w:line="360" w:lineRule="auto"/>
        <w:jc w:val="both"/>
        <w:rPr>
          <w:rFonts w:ascii="Times New Roman" w:eastAsiaTheme="minorEastAsia" w:hAnsi="Times New Roman" w:cs="Times New Roman"/>
          <w:lang w:val="en-US"/>
          <w14:ligatures w14:val="standardContextual"/>
        </w:rPr>
      </w:pPr>
    </w:p>
    <w:p w14:paraId="52EBE274" w14:textId="375682D7" w:rsidR="00E01835" w:rsidRDefault="00E01835" w:rsidP="00E01835">
      <w:pPr>
        <w:autoSpaceDE w:val="0"/>
        <w:autoSpaceDN w:val="0"/>
        <w:adjustRightInd w:val="0"/>
        <w:spacing w:line="360" w:lineRule="auto"/>
        <w:jc w:val="both"/>
        <w:rPr>
          <w:rFonts w:ascii="Times New Roman" w:eastAsiaTheme="minorEastAsia" w:hAnsi="Times New Roman" w:cs="Times New Roman"/>
          <w:lang w:val="en-US"/>
          <w14:ligatures w14:val="standardContextual"/>
        </w:rPr>
      </w:pPr>
      <w:r w:rsidRPr="00E01835">
        <w:rPr>
          <w:rFonts w:ascii="Times New Roman" w:eastAsiaTheme="minorEastAsia" w:hAnsi="Times New Roman" w:cs="Times New Roman"/>
          <w:lang w:val="en-US"/>
          <w14:ligatures w14:val="standardContextual"/>
        </w:rPr>
        <w:t>Cluster 1 (n = 5, Silhouette = 0.292) is distinguished by the highest burned area trend among all groups (Theil-Sen = 0.21% yr⁻¹) while deforestation and human-modified wetland trends remain low. Critically, 4 of 5 tenure combinations belong to the Negro sub-basin. This cluster includes HIL (1), PL (1), PUB (2), and ARS (1).</w:t>
      </w:r>
    </w:p>
    <w:p w14:paraId="54512993" w14:textId="77777777" w:rsidR="00E01835" w:rsidRDefault="00E01835" w:rsidP="00E01835">
      <w:pPr>
        <w:autoSpaceDE w:val="0"/>
        <w:autoSpaceDN w:val="0"/>
        <w:adjustRightInd w:val="0"/>
        <w:spacing w:line="360" w:lineRule="auto"/>
        <w:jc w:val="both"/>
        <w:rPr>
          <w:rFonts w:ascii="Times New Roman" w:eastAsiaTheme="minorEastAsia" w:hAnsi="Times New Roman" w:cs="Times New Roman"/>
          <w:lang w:val="en-US"/>
          <w14:ligatures w14:val="standardContextual"/>
        </w:rPr>
      </w:pPr>
    </w:p>
    <w:p w14:paraId="1757C4D0" w14:textId="3E5B6C29" w:rsidR="00E01835" w:rsidRPr="00E01835" w:rsidRDefault="00E01835" w:rsidP="00E01835">
      <w:pPr>
        <w:autoSpaceDE w:val="0"/>
        <w:autoSpaceDN w:val="0"/>
        <w:adjustRightInd w:val="0"/>
        <w:spacing w:line="360" w:lineRule="auto"/>
        <w:jc w:val="both"/>
        <w:rPr>
          <w:rFonts w:ascii="Times New Roman" w:eastAsiaTheme="minorEastAsia" w:hAnsi="Times New Roman" w:cs="Times New Roman"/>
          <w:lang w:val="en-US"/>
          <w14:ligatures w14:val="standardContextual"/>
        </w:rPr>
      </w:pPr>
      <w:r w:rsidRPr="00E01835">
        <w:rPr>
          <w:rFonts w:ascii="Times New Roman" w:eastAsiaTheme="minorEastAsia" w:hAnsi="Times New Roman" w:cs="Times New Roman"/>
          <w:lang w:val="en-US"/>
          <w14:ligatures w14:val="standardContextual"/>
        </w:rPr>
        <w:t>Cluster 2 (n = 81, Silhouette = 0.740) is characterized by near-zero Theil-Sen slopes across all four indicators (deforestation &lt; 0.01% yr⁻¹, human-modified wetland = 0.06% yr⁻¹, regrowth &lt; 0.01% yr⁻¹, burned area = 0.01% yr⁻¹). This cluster is broadly distributed across all nine sub-basins and encompasses all 13 land tenure categories, with all PLFL (9), SARS (9), and UNR (9) combinations, and the large majority of HIL (8), NHIL (8), SUPA (8), and SPA (8) combinations.</w:t>
      </w:r>
    </w:p>
    <w:p w14:paraId="5B3FBD85" w14:textId="77777777" w:rsidR="00E01835" w:rsidRDefault="00E01835" w:rsidP="00E01835">
      <w:pPr>
        <w:spacing w:line="360" w:lineRule="auto"/>
        <w:jc w:val="both"/>
        <w:rPr>
          <w:rFonts w:ascii="Times New Roman" w:eastAsiaTheme="minorEastAsia" w:hAnsi="Times New Roman" w:cs="Times New Roman"/>
          <w:lang w:val="en-US"/>
          <w14:ligatures w14:val="standardContextual"/>
        </w:rPr>
      </w:pPr>
    </w:p>
    <w:p w14:paraId="42977A9F" w14:textId="48B4CD96" w:rsidR="00E01835" w:rsidRPr="00E01835" w:rsidRDefault="00E01835" w:rsidP="00E01835">
      <w:pPr>
        <w:spacing w:line="360" w:lineRule="auto"/>
        <w:jc w:val="both"/>
        <w:rPr>
          <w:rFonts w:ascii="Times New Roman" w:eastAsia="Times New Roman" w:hAnsi="Times New Roman" w:cs="Times New Roman"/>
        </w:rPr>
      </w:pPr>
      <w:r w:rsidRPr="00E01835">
        <w:rPr>
          <w:rFonts w:ascii="Times New Roman" w:eastAsiaTheme="minorEastAsia" w:hAnsi="Times New Roman" w:cs="Times New Roman"/>
          <w:lang w:val="en-US"/>
          <w14:ligatures w14:val="standardContextual"/>
        </w:rPr>
        <w:t xml:space="preserve">Cluster 3 (n = 6, Silhouette = 0.242) represents a land use consolidation trajectory, uniquely characterized by declining deforestation (Theil-Sen = −0.02% yr⁻¹) and burned area (−0.02% yr⁻¹) alongside the highest human-modified wetland area trend of all clusters (0.70% yr⁻¹), indicating areas where active clearing has slowed but human land use consolidation continues. It is composed exclusively of Private Lands (3), Public Lands (2), and ARS (1), concentrated in the </w:t>
      </w:r>
      <w:proofErr w:type="spellStart"/>
      <w:r w:rsidRPr="00E01835">
        <w:rPr>
          <w:rFonts w:ascii="Times New Roman" w:eastAsiaTheme="minorEastAsia" w:hAnsi="Times New Roman" w:cs="Times New Roman"/>
          <w:lang w:val="en-US"/>
          <w14:ligatures w14:val="standardContextual"/>
        </w:rPr>
        <w:t>Tapajós</w:t>
      </w:r>
      <w:proofErr w:type="spellEnd"/>
      <w:r w:rsidRPr="00E01835">
        <w:rPr>
          <w:rFonts w:ascii="Times New Roman" w:eastAsiaTheme="minorEastAsia" w:hAnsi="Times New Roman" w:cs="Times New Roman"/>
          <w:lang w:val="en-US"/>
          <w14:ligatures w14:val="standardContextual"/>
        </w:rPr>
        <w:t xml:space="preserve"> (3) and Xingu (2) sub-basins, with one combination in the Madeira.</w:t>
      </w:r>
    </w:p>
    <w:p w14:paraId="0AF221F8" w14:textId="77777777" w:rsidR="00E01835" w:rsidRDefault="00E01835" w:rsidP="000068B3">
      <w:pPr>
        <w:spacing w:line="360" w:lineRule="auto"/>
        <w:ind w:left="640" w:hanging="640"/>
        <w:jc w:val="both"/>
        <w:rPr>
          <w:rFonts w:ascii="Times New Roman" w:eastAsia="Times New Roman" w:hAnsi="Times New Roman" w:cs="Times New Roman"/>
        </w:rPr>
      </w:pPr>
    </w:p>
    <w:p w14:paraId="5CC621DD" w14:textId="77777777" w:rsidR="00E01835" w:rsidRDefault="00E01835" w:rsidP="000068B3">
      <w:pPr>
        <w:spacing w:line="360" w:lineRule="auto"/>
        <w:ind w:left="640" w:hanging="640"/>
        <w:jc w:val="both"/>
        <w:rPr>
          <w:rFonts w:ascii="Times New Roman" w:eastAsia="Times New Roman" w:hAnsi="Times New Roman" w:cs="Times New Roman"/>
        </w:rPr>
      </w:pPr>
    </w:p>
    <w:p w14:paraId="0E1974EA" w14:textId="77777777" w:rsidR="00E01835" w:rsidRDefault="00E01835" w:rsidP="000068B3">
      <w:pPr>
        <w:spacing w:line="360" w:lineRule="auto"/>
        <w:ind w:left="640" w:hanging="640"/>
        <w:jc w:val="both"/>
        <w:rPr>
          <w:rFonts w:ascii="Times New Roman" w:eastAsia="Times New Roman" w:hAnsi="Times New Roman" w:cs="Times New Roman"/>
        </w:rPr>
      </w:pPr>
    </w:p>
    <w:p w14:paraId="7EB8461B" w14:textId="77777777" w:rsidR="00E01835" w:rsidRDefault="00E01835" w:rsidP="000068B3">
      <w:pPr>
        <w:spacing w:line="360" w:lineRule="auto"/>
        <w:ind w:left="640" w:hanging="640"/>
        <w:jc w:val="both"/>
        <w:rPr>
          <w:rFonts w:ascii="Times New Roman" w:eastAsia="Times New Roman" w:hAnsi="Times New Roman" w:cs="Times New Roman"/>
        </w:rPr>
      </w:pPr>
    </w:p>
    <w:p w14:paraId="3DDF1128" w14:textId="77777777" w:rsidR="00E01835" w:rsidRDefault="00E01835" w:rsidP="000068B3">
      <w:pPr>
        <w:spacing w:line="360" w:lineRule="auto"/>
        <w:ind w:left="640" w:hanging="640"/>
        <w:jc w:val="both"/>
        <w:rPr>
          <w:rFonts w:ascii="Times New Roman" w:eastAsia="Times New Roman" w:hAnsi="Times New Roman" w:cs="Times New Roman"/>
        </w:rPr>
      </w:pPr>
    </w:p>
    <w:p w14:paraId="2D6A7991" w14:textId="77777777" w:rsidR="00E01835" w:rsidRDefault="00E01835" w:rsidP="000068B3">
      <w:pPr>
        <w:spacing w:line="360" w:lineRule="auto"/>
        <w:ind w:left="640" w:hanging="640"/>
        <w:jc w:val="both"/>
        <w:rPr>
          <w:rFonts w:ascii="Times New Roman" w:eastAsia="Times New Roman" w:hAnsi="Times New Roman" w:cs="Times New Roman"/>
        </w:rPr>
      </w:pPr>
    </w:p>
    <w:p w14:paraId="6061610A" w14:textId="77777777" w:rsidR="00E01835" w:rsidRDefault="00E01835" w:rsidP="000068B3">
      <w:pPr>
        <w:spacing w:line="360" w:lineRule="auto"/>
        <w:ind w:left="640" w:hanging="640"/>
        <w:jc w:val="both"/>
        <w:rPr>
          <w:rFonts w:ascii="Times New Roman" w:eastAsia="Times New Roman" w:hAnsi="Times New Roman" w:cs="Times New Roman"/>
        </w:rPr>
      </w:pPr>
    </w:p>
    <w:p w14:paraId="758E7736" w14:textId="77777777" w:rsidR="000068B3" w:rsidRPr="00C0012E" w:rsidRDefault="000068B3" w:rsidP="000068B3">
      <w:pPr>
        <w:spacing w:line="360" w:lineRule="auto"/>
        <w:ind w:left="640" w:hanging="640"/>
        <w:jc w:val="both"/>
        <w:rPr>
          <w:rFonts w:ascii="Times New Roman" w:eastAsia="Times New Roman" w:hAnsi="Times New Roman" w:cs="Times New Roman"/>
        </w:rPr>
      </w:pPr>
    </w:p>
    <w:p w14:paraId="712B6D31" w14:textId="77777777" w:rsidR="000068B3" w:rsidRPr="000068B3" w:rsidRDefault="000068B3" w:rsidP="000068B3">
      <w:pPr>
        <w:widowControl w:val="0"/>
        <w:spacing w:line="360" w:lineRule="auto"/>
        <w:ind w:left="720"/>
        <w:jc w:val="both"/>
        <w:rPr>
          <w:rFonts w:ascii="Times New Roman" w:eastAsia="Times New Roman" w:hAnsi="Times New Roman" w:cs="Times New Roman"/>
          <w:color w:val="000000" w:themeColor="text1"/>
        </w:rPr>
      </w:pPr>
    </w:p>
    <w:p w14:paraId="26B9F03C" w14:textId="6A911366" w:rsidR="00E01835" w:rsidRDefault="00E01835">
      <w:pPr>
        <w:rPr>
          <w:color w:val="000000" w:themeColor="text1"/>
        </w:rPr>
      </w:pPr>
      <w:r>
        <w:rPr>
          <w:noProof/>
          <w:color w:val="000000" w:themeColor="text1"/>
          <w14:ligatures w14:val="standardContextual"/>
        </w:rPr>
        <w:lastRenderedPageBreak/>
        <w:drawing>
          <wp:inline distT="0" distB="0" distL="0" distR="0" wp14:anchorId="5AA21BF3" wp14:editId="6EE0E498">
            <wp:extent cx="4316793" cy="6965343"/>
            <wp:effectExtent l="0" t="0" r="1270" b="0"/>
            <wp:docPr id="562340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40568" name="Picture 5623405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39789" cy="7002449"/>
                    </a:xfrm>
                    <a:prstGeom prst="rect">
                      <a:avLst/>
                    </a:prstGeom>
                  </pic:spPr>
                </pic:pic>
              </a:graphicData>
            </a:graphic>
          </wp:inline>
        </w:drawing>
      </w:r>
    </w:p>
    <w:p w14:paraId="177799E5" w14:textId="77777777" w:rsidR="00F21210" w:rsidRDefault="00F21210">
      <w:pPr>
        <w:rPr>
          <w:color w:val="000000" w:themeColor="text1"/>
        </w:rPr>
      </w:pPr>
    </w:p>
    <w:p w14:paraId="0F36CDC4" w14:textId="75ABA502" w:rsidR="00474507" w:rsidRPr="000068B3" w:rsidRDefault="00E01835" w:rsidP="00977B1B">
      <w:pPr>
        <w:jc w:val="both"/>
        <w:rPr>
          <w:color w:val="000000" w:themeColor="text1"/>
        </w:rPr>
      </w:pPr>
      <w:r>
        <w:rPr>
          <w:color w:val="000000" w:themeColor="text1"/>
        </w:rPr>
        <w:t>Fig. S7.</w:t>
      </w:r>
      <w:r w:rsidR="00977B1B">
        <w:rPr>
          <w:color w:val="000000" w:themeColor="text1"/>
        </w:rPr>
        <w:t xml:space="preserve"> </w:t>
      </w:r>
      <w:r w:rsidR="00977B1B" w:rsidRPr="004B0CD8">
        <w:rPr>
          <w:rFonts w:ascii="Times New Roman" w:hAnsi="Times New Roman" w:cs="Times New Roman"/>
          <w:color w:val="000000" w:themeColor="text1"/>
        </w:rPr>
        <w:t xml:space="preserve">Wetland land change around tenure designation. Area-weighted, sub-basin-adjusted </w:t>
      </w:r>
      <w:r w:rsidR="0026601F">
        <w:rPr>
          <w:rFonts w:ascii="Times New Roman" w:hAnsi="Times New Roman" w:cs="Times New Roman"/>
          <w:color w:val="000000" w:themeColor="text1"/>
        </w:rPr>
        <w:t>a</w:t>
      </w:r>
      <w:r w:rsidR="00977B1B">
        <w:rPr>
          <w:rFonts w:ascii="Times New Roman" w:hAnsi="Times New Roman" w:cs="Times New Roman"/>
          <w:color w:val="000000" w:themeColor="text1"/>
        </w:rPr>
        <w:t>nnual regrowth</w:t>
      </w:r>
      <w:r w:rsidR="00977B1B" w:rsidRPr="004B0CD8">
        <w:rPr>
          <w:rFonts w:ascii="Times New Roman" w:hAnsi="Times New Roman" w:cs="Times New Roman"/>
          <w:color w:val="000000" w:themeColor="text1"/>
        </w:rPr>
        <w:t xml:space="preserve"> (left) and </w:t>
      </w:r>
      <w:r w:rsidR="0026601F">
        <w:rPr>
          <w:rFonts w:ascii="Times New Roman" w:hAnsi="Times New Roman" w:cs="Times New Roman"/>
          <w:color w:val="000000" w:themeColor="text1"/>
        </w:rPr>
        <w:t>a</w:t>
      </w:r>
      <w:r w:rsidR="00977B1B">
        <w:rPr>
          <w:rFonts w:ascii="Times New Roman" w:hAnsi="Times New Roman" w:cs="Times New Roman"/>
          <w:color w:val="000000" w:themeColor="text1"/>
        </w:rPr>
        <w:t>nnual burned area</w:t>
      </w:r>
      <w:r w:rsidR="00977B1B" w:rsidRPr="004B0CD8">
        <w:rPr>
          <w:rFonts w:ascii="Times New Roman" w:hAnsi="Times New Roman" w:cs="Times New Roman"/>
          <w:color w:val="000000" w:themeColor="text1"/>
        </w:rPr>
        <w:t xml:space="preserve"> (right) by event time (15 years before and after designation), for the six tenure classes with a formal designation event: ARS</w:t>
      </w:r>
      <w:r w:rsidR="00977B1B">
        <w:rPr>
          <w:rFonts w:ascii="Times New Roman" w:hAnsi="Times New Roman" w:cs="Times New Roman"/>
          <w:color w:val="000000" w:themeColor="text1"/>
        </w:rPr>
        <w:t xml:space="preserve"> (Agrarian Reform Settlement)</w:t>
      </w:r>
      <w:r w:rsidR="00977B1B" w:rsidRPr="004B0CD8">
        <w:rPr>
          <w:rFonts w:ascii="Times New Roman" w:hAnsi="Times New Roman" w:cs="Times New Roman"/>
          <w:color w:val="000000" w:themeColor="text1"/>
        </w:rPr>
        <w:t>, SARS</w:t>
      </w:r>
      <w:r w:rsidR="00977B1B">
        <w:rPr>
          <w:rFonts w:ascii="Times New Roman" w:hAnsi="Times New Roman" w:cs="Times New Roman"/>
          <w:color w:val="000000" w:themeColor="text1"/>
        </w:rPr>
        <w:t xml:space="preserve"> (Sustainable Agrarian Reform Settlement</w:t>
      </w:r>
      <w:r w:rsidR="00977B1B" w:rsidRPr="004B0CD8">
        <w:rPr>
          <w:rFonts w:ascii="Times New Roman" w:hAnsi="Times New Roman" w:cs="Times New Roman"/>
          <w:color w:val="000000" w:themeColor="text1"/>
        </w:rPr>
        <w:t>, HQL</w:t>
      </w:r>
      <w:r w:rsidR="00977B1B">
        <w:rPr>
          <w:rFonts w:ascii="Times New Roman" w:hAnsi="Times New Roman" w:cs="Times New Roman"/>
          <w:color w:val="000000" w:themeColor="text1"/>
        </w:rPr>
        <w:t xml:space="preserve"> (Homologated Quilombo Land)</w:t>
      </w:r>
      <w:r w:rsidR="00977B1B" w:rsidRPr="004B0CD8">
        <w:rPr>
          <w:rFonts w:ascii="Times New Roman" w:hAnsi="Times New Roman" w:cs="Times New Roman"/>
          <w:color w:val="000000" w:themeColor="text1"/>
        </w:rPr>
        <w:t>, HIL</w:t>
      </w:r>
      <w:r w:rsidR="00977B1B">
        <w:rPr>
          <w:rFonts w:ascii="Times New Roman" w:hAnsi="Times New Roman" w:cs="Times New Roman"/>
          <w:color w:val="000000" w:themeColor="text1"/>
        </w:rPr>
        <w:t xml:space="preserve"> (Homologated Indigenous Land</w:t>
      </w:r>
      <w:r w:rsidR="00977B1B" w:rsidRPr="004B0CD8">
        <w:rPr>
          <w:rFonts w:ascii="Times New Roman" w:hAnsi="Times New Roman" w:cs="Times New Roman"/>
          <w:color w:val="000000" w:themeColor="text1"/>
        </w:rPr>
        <w:t>, SUPA</w:t>
      </w:r>
      <w:r w:rsidR="00977B1B">
        <w:rPr>
          <w:rFonts w:ascii="Times New Roman" w:hAnsi="Times New Roman" w:cs="Times New Roman"/>
          <w:color w:val="000000" w:themeColor="text1"/>
        </w:rPr>
        <w:t xml:space="preserve"> (Sustainable Use Protected Area)</w:t>
      </w:r>
      <w:r w:rsidR="00977B1B" w:rsidRPr="004B0CD8">
        <w:rPr>
          <w:rFonts w:ascii="Times New Roman" w:hAnsi="Times New Roman" w:cs="Times New Roman"/>
          <w:color w:val="000000" w:themeColor="text1"/>
        </w:rPr>
        <w:t>, SPA</w:t>
      </w:r>
      <w:r w:rsidR="00977B1B">
        <w:rPr>
          <w:rFonts w:ascii="Times New Roman" w:hAnsi="Times New Roman" w:cs="Times New Roman"/>
          <w:color w:val="000000" w:themeColor="text1"/>
        </w:rPr>
        <w:t xml:space="preserve"> (Strict Protected Area)</w:t>
      </w:r>
      <w:r w:rsidR="00977B1B" w:rsidRPr="004B0CD8">
        <w:rPr>
          <w:rFonts w:ascii="Times New Roman" w:hAnsi="Times New Roman" w:cs="Times New Roman"/>
          <w:color w:val="000000" w:themeColor="text1"/>
        </w:rPr>
        <w:t>. Dashed line, designation year; shaded bands, 95% confidence intervals.</w:t>
      </w:r>
    </w:p>
    <w:sectPr w:rsidR="00474507" w:rsidRPr="000068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711EF8"/>
    <w:multiLevelType w:val="multilevel"/>
    <w:tmpl w:val="7D80FE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35290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B3"/>
    <w:rsid w:val="000068B3"/>
    <w:rsid w:val="000C7414"/>
    <w:rsid w:val="001232A0"/>
    <w:rsid w:val="00200564"/>
    <w:rsid w:val="00226669"/>
    <w:rsid w:val="0026601F"/>
    <w:rsid w:val="00382D6E"/>
    <w:rsid w:val="004005D7"/>
    <w:rsid w:val="0046204A"/>
    <w:rsid w:val="00474507"/>
    <w:rsid w:val="00491BCF"/>
    <w:rsid w:val="00597387"/>
    <w:rsid w:val="005F7E56"/>
    <w:rsid w:val="006B016B"/>
    <w:rsid w:val="00707F6F"/>
    <w:rsid w:val="00811A22"/>
    <w:rsid w:val="008D5836"/>
    <w:rsid w:val="008F5F73"/>
    <w:rsid w:val="0097283E"/>
    <w:rsid w:val="00977B1B"/>
    <w:rsid w:val="00A31C53"/>
    <w:rsid w:val="00AD2D4F"/>
    <w:rsid w:val="00B74DAA"/>
    <w:rsid w:val="00C17CD8"/>
    <w:rsid w:val="00CA5233"/>
    <w:rsid w:val="00D41037"/>
    <w:rsid w:val="00D72FEB"/>
    <w:rsid w:val="00E01835"/>
    <w:rsid w:val="00EE378F"/>
    <w:rsid w:val="00F040E7"/>
    <w:rsid w:val="00F21210"/>
    <w:rsid w:val="00F60C41"/>
    <w:rsid w:val="00F94FA2"/>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4401BC6F"/>
  <w15:chartTrackingRefBased/>
  <w15:docId w15:val="{4AB359A6-985C-0640-9F9D-47AB1CD4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8B3"/>
    <w:pPr>
      <w:spacing w:after="0" w:line="240" w:lineRule="auto"/>
    </w:pPr>
    <w:rPr>
      <w:rFonts w:ascii="Liberation Serif" w:eastAsia="Liberation Serif" w:hAnsi="Liberation Serif" w:cs="Liberation Serif"/>
      <w:kern w:val="0"/>
      <w:lang w:val="en"/>
      <w14:ligatures w14:val="none"/>
    </w:rPr>
  </w:style>
  <w:style w:type="paragraph" w:styleId="Heading1">
    <w:name w:val="heading 1"/>
    <w:basedOn w:val="Normal"/>
    <w:next w:val="Normal"/>
    <w:link w:val="Heading1Char"/>
    <w:uiPriority w:val="9"/>
    <w:qFormat/>
    <w:rsid w:val="00006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8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8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8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8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8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8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8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8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8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8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8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8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8B3"/>
    <w:rPr>
      <w:rFonts w:eastAsiaTheme="majorEastAsia" w:cstheme="majorBidi"/>
      <w:color w:val="272727" w:themeColor="text1" w:themeTint="D8"/>
    </w:rPr>
  </w:style>
  <w:style w:type="paragraph" w:styleId="Title">
    <w:name w:val="Title"/>
    <w:basedOn w:val="Normal"/>
    <w:next w:val="Normal"/>
    <w:link w:val="TitleChar"/>
    <w:uiPriority w:val="10"/>
    <w:qFormat/>
    <w:rsid w:val="000068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8B3"/>
    <w:pPr>
      <w:spacing w:before="160"/>
      <w:jc w:val="center"/>
    </w:pPr>
    <w:rPr>
      <w:i/>
      <w:iCs/>
      <w:color w:val="404040" w:themeColor="text1" w:themeTint="BF"/>
    </w:rPr>
  </w:style>
  <w:style w:type="character" w:customStyle="1" w:styleId="QuoteChar">
    <w:name w:val="Quote Char"/>
    <w:basedOn w:val="DefaultParagraphFont"/>
    <w:link w:val="Quote"/>
    <w:uiPriority w:val="29"/>
    <w:rsid w:val="000068B3"/>
    <w:rPr>
      <w:i/>
      <w:iCs/>
      <w:color w:val="404040" w:themeColor="text1" w:themeTint="BF"/>
    </w:rPr>
  </w:style>
  <w:style w:type="paragraph" w:styleId="ListParagraph">
    <w:name w:val="List Paragraph"/>
    <w:basedOn w:val="Normal"/>
    <w:uiPriority w:val="34"/>
    <w:qFormat/>
    <w:rsid w:val="000068B3"/>
    <w:pPr>
      <w:ind w:left="720"/>
      <w:contextualSpacing/>
    </w:pPr>
  </w:style>
  <w:style w:type="character" w:styleId="IntenseEmphasis">
    <w:name w:val="Intense Emphasis"/>
    <w:basedOn w:val="DefaultParagraphFont"/>
    <w:uiPriority w:val="21"/>
    <w:qFormat/>
    <w:rsid w:val="000068B3"/>
    <w:rPr>
      <w:i/>
      <w:iCs/>
      <w:color w:val="0F4761" w:themeColor="accent1" w:themeShade="BF"/>
    </w:rPr>
  </w:style>
  <w:style w:type="paragraph" w:styleId="IntenseQuote">
    <w:name w:val="Intense Quote"/>
    <w:basedOn w:val="Normal"/>
    <w:next w:val="Normal"/>
    <w:link w:val="IntenseQuoteChar"/>
    <w:uiPriority w:val="30"/>
    <w:qFormat/>
    <w:rsid w:val="00006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8B3"/>
    <w:rPr>
      <w:i/>
      <w:iCs/>
      <w:color w:val="0F4761" w:themeColor="accent1" w:themeShade="BF"/>
    </w:rPr>
  </w:style>
  <w:style w:type="character" w:styleId="IntenseReference">
    <w:name w:val="Intense Reference"/>
    <w:basedOn w:val="DefaultParagraphFont"/>
    <w:uiPriority w:val="32"/>
    <w:qFormat/>
    <w:rsid w:val="000068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712</Words>
  <Characters>4077</Characters>
  <Application>Microsoft Office Word</Application>
  <DocSecurity>0</DocSecurity>
  <Lines>131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S Lobo</dc:creator>
  <cp:keywords/>
  <dc:description/>
  <cp:lastModifiedBy>Guilherme S Lobo</cp:lastModifiedBy>
  <cp:revision>5</cp:revision>
  <dcterms:created xsi:type="dcterms:W3CDTF">2026-09-15T18:46:00Z</dcterms:created>
  <dcterms:modified xsi:type="dcterms:W3CDTF">2026-09-15T20:31:00Z</dcterms:modified>
</cp:coreProperties>
</file>