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044BB" w14:textId="77777777" w:rsidR="00086F91" w:rsidRDefault="00086F91" w:rsidP="00086F91">
      <w:pPr>
        <w:spacing w:line="480" w:lineRule="auto"/>
        <w:jc w:val="both"/>
        <w:rPr>
          <w:b/>
          <w:bCs/>
        </w:rPr>
      </w:pPr>
      <w:r>
        <w:rPr>
          <w:rFonts w:ascii="Arial Unicode MS" w:eastAsia="Arial Unicode MS" w:cs="Arial Unicode MS"/>
          <w:b/>
          <w:bCs/>
        </w:rPr>
        <w:t>Supplementary Figure legends:</w:t>
      </w:r>
    </w:p>
    <w:p w14:paraId="0DA9ACE1" w14:textId="77777777" w:rsidR="00086F91" w:rsidRDefault="00086F91" w:rsidP="00086F91">
      <w:pPr>
        <w:spacing w:line="480" w:lineRule="auto"/>
        <w:jc w:val="both"/>
      </w:pPr>
      <w:r>
        <w:rPr>
          <w:rFonts w:ascii="Arial Unicode MS" w:eastAsia="Arial Unicode MS" w:cs="Arial Unicode MS"/>
          <w:b/>
          <w:bCs/>
        </w:rPr>
        <w:t>Supplementary Fig.</w:t>
      </w:r>
      <w:r>
        <w:rPr>
          <w:rFonts w:ascii="Arial Unicode MS" w:eastAsia="Arial Unicode MS" w:cs="Arial Unicode MS"/>
          <w:b/>
          <w:bCs/>
        </w:rPr>
        <w:t> </w:t>
      </w:r>
      <w:r>
        <w:rPr>
          <w:rFonts w:ascii="Arial Unicode MS" w:eastAsia="Arial Unicode MS" w:cs="Arial Unicode MS"/>
          <w:b/>
          <w:bCs/>
        </w:rPr>
        <w:t>1:</w:t>
      </w:r>
      <w:r>
        <w:t xml:space="preserve"> Whole transcriptome data of clinical samples compared on the basis of a) sample type (normal (n = 14) vs OC (n = 22)), b) groups (Normal (n = 14), OPMD (n = 7), LN(-) (n = 6), LN (+) (n = 8)), c) clinical staging (Normal (n = 14), Stage I (n = 1), Stage II (n = 4), Stage III (n = 2), Stage IV (n = 8)), d) histological grading (Normal (n = 14), WDSCC (n = 10), MDSCC (n = 5)). Methylation analysis of </w:t>
      </w:r>
      <w:r>
        <w:rPr>
          <w:rFonts w:ascii="Arial Unicode MS" w:eastAsia="Arial Unicode MS" w:cs="Arial Unicode MS"/>
          <w:i/>
          <w:iCs/>
        </w:rPr>
        <w:t>HOXA5</w:t>
      </w:r>
      <w:r>
        <w:t>-EPD regions</w:t>
      </w:r>
      <w:r>
        <w:rPr>
          <w:rFonts w:ascii="Arial Unicode MS" w:eastAsia="Arial Unicode MS" w:cs="Arial Unicode MS"/>
          <w:i/>
          <w:iCs/>
        </w:rPr>
        <w:t xml:space="preserve"> </w:t>
      </w:r>
      <w:r>
        <w:t xml:space="preserve">in clinical samples carried out by Methyl Capture sequencing across e) all </w:t>
      </w:r>
      <w:r>
        <w:rPr>
          <w:rFonts w:ascii="Arial Unicode MS" w:eastAsia="Arial Unicode MS" w:cs="Arial Unicode MS"/>
          <w:i/>
          <w:iCs/>
        </w:rPr>
        <w:t>HOXA5</w:t>
      </w:r>
      <w:r>
        <w:t xml:space="preserve">-EPD regions, f) </w:t>
      </w:r>
      <w:r>
        <w:rPr>
          <w:rFonts w:ascii="Arial Unicode MS" w:eastAsia="Arial Unicode MS" w:cs="Arial Unicode MS"/>
          <w:i/>
          <w:iCs/>
        </w:rPr>
        <w:t>HOXA5-</w:t>
      </w:r>
      <w:r>
        <w:t xml:space="preserve">EPD2 region, g) </w:t>
      </w:r>
      <w:r>
        <w:rPr>
          <w:rFonts w:ascii="Arial Unicode MS" w:eastAsia="Arial Unicode MS" w:cs="Arial Unicode MS"/>
          <w:i/>
          <w:iCs/>
        </w:rPr>
        <w:t>HOXA5-</w:t>
      </w:r>
      <w:r>
        <w:t xml:space="preserve">EPD3 region, h) </w:t>
      </w:r>
      <w:r>
        <w:rPr>
          <w:rFonts w:ascii="Arial Unicode MS" w:eastAsia="Arial Unicode MS" w:cs="Arial Unicode MS"/>
          <w:i/>
          <w:iCs/>
        </w:rPr>
        <w:t>HOXA5</w:t>
      </w:r>
      <w:r>
        <w:t xml:space="preserve">-EPD4 region and carried out by </w:t>
      </w:r>
      <w:proofErr w:type="spellStart"/>
      <w:r>
        <w:t>Bisulfite</w:t>
      </w:r>
      <w:proofErr w:type="spellEnd"/>
      <w:r>
        <w:t xml:space="preserve"> Sanger Sequencing </w:t>
      </w:r>
      <w:proofErr w:type="spellStart"/>
      <w:r>
        <w:t>i</w:t>
      </w:r>
      <w:proofErr w:type="spellEnd"/>
      <w:r>
        <w:t xml:space="preserve">) all </w:t>
      </w:r>
      <w:r>
        <w:rPr>
          <w:rFonts w:ascii="Arial Unicode MS" w:eastAsia="Arial Unicode MS" w:cs="Arial Unicode MS"/>
          <w:i/>
          <w:iCs/>
        </w:rPr>
        <w:t>HOXA5</w:t>
      </w:r>
      <w:r>
        <w:t xml:space="preserve">-EPD regions, j) </w:t>
      </w:r>
      <w:r>
        <w:rPr>
          <w:rFonts w:ascii="Arial Unicode MS" w:eastAsia="Arial Unicode MS" w:cs="Arial Unicode MS"/>
          <w:i/>
          <w:iCs/>
        </w:rPr>
        <w:t>HOXA5-</w:t>
      </w:r>
      <w:r>
        <w:t xml:space="preserve">EPD2 region, k) </w:t>
      </w:r>
      <w:r>
        <w:rPr>
          <w:rFonts w:ascii="Arial Unicode MS" w:eastAsia="Arial Unicode MS" w:cs="Arial Unicode MS"/>
          <w:i/>
          <w:iCs/>
        </w:rPr>
        <w:t>HOXA5-</w:t>
      </w:r>
      <w:r>
        <w:t xml:space="preserve">EPD3 region, l) </w:t>
      </w:r>
      <w:r>
        <w:rPr>
          <w:rFonts w:ascii="Arial Unicode MS" w:eastAsia="Arial Unicode MS" w:cs="Arial Unicode MS"/>
          <w:i/>
          <w:iCs/>
        </w:rPr>
        <w:t>HOXA5</w:t>
      </w:r>
      <w:r>
        <w:t>-EPD4 region. Data was represented as mean</w:t>
      </w:r>
      <w:r>
        <w:rPr>
          <w:rFonts w:ascii="Arial Unicode MS" w:eastAsia="Arial Unicode MS" w:cs="Arial Unicode MS"/>
        </w:rPr>
        <w:t> ± </w:t>
      </w:r>
      <w:r>
        <w:t>standard deviation values and either student t-test or one-way ANOVA statistical analysis was performed to determine the significance; p-value &lt; 0.12(ns), &lt; 0.05 (*), &lt; 0.01 (**), and &lt; 0.001 (***).</w:t>
      </w:r>
    </w:p>
    <w:p w14:paraId="4159D947" w14:textId="77777777" w:rsidR="00086F91" w:rsidRDefault="00086F91" w:rsidP="00086F91">
      <w:pPr>
        <w:spacing w:line="480" w:lineRule="auto"/>
        <w:jc w:val="both"/>
      </w:pPr>
      <w:r>
        <w:rPr>
          <w:rFonts w:ascii="Arial Unicode MS" w:eastAsia="Arial Unicode MS" w:cs="Arial Unicode MS"/>
          <w:b/>
          <w:bCs/>
        </w:rPr>
        <w:t>Supplementary Fig.</w:t>
      </w:r>
      <w:r>
        <w:rPr>
          <w:rFonts w:ascii="Arial Unicode MS" w:eastAsia="Arial Unicode MS" w:cs="Arial Unicode MS"/>
          <w:b/>
          <w:bCs/>
        </w:rPr>
        <w:t> </w:t>
      </w:r>
      <w:r>
        <w:rPr>
          <w:rFonts w:ascii="Arial Unicode MS" w:eastAsia="Arial Unicode MS" w:cs="Arial Unicode MS"/>
          <w:b/>
          <w:bCs/>
        </w:rPr>
        <w:t>2:</w:t>
      </w:r>
      <w:r>
        <w:t xml:space="preserve"> Line plots representing the </w:t>
      </w:r>
      <w:proofErr w:type="spellStart"/>
      <w:r>
        <w:t>bisulfite</w:t>
      </w:r>
      <w:proofErr w:type="spellEnd"/>
      <w:r>
        <w:t xml:space="preserve"> Sanger sequencing results from 3D engineered oral mucosa models for a) </w:t>
      </w:r>
      <w:r>
        <w:rPr>
          <w:rFonts w:ascii="Arial Unicode MS" w:eastAsia="Arial Unicode MS" w:cs="Arial Unicode MS"/>
          <w:i/>
          <w:iCs/>
        </w:rPr>
        <w:t>HOXA5-</w:t>
      </w:r>
      <w:r>
        <w:t xml:space="preserve">EPD2 region and b) </w:t>
      </w:r>
      <w:r>
        <w:rPr>
          <w:rFonts w:ascii="Arial Unicode MS" w:eastAsia="Arial Unicode MS" w:cs="Arial Unicode MS"/>
          <w:i/>
          <w:iCs/>
        </w:rPr>
        <w:t>HOXA5</w:t>
      </w:r>
      <w:r>
        <w:t xml:space="preserve">-EPD3 region. Non-linear regression analysis results used to determine the IC50 concentrations of c) 5-Aza-2-deoxcytidine and d) All-trans retinoic acid in SCC9 cells. e) Representative histogram of cell cycle analysis results for </w:t>
      </w:r>
      <w:r>
        <w:rPr>
          <w:rFonts w:ascii="Arial Unicode MS" w:eastAsia="Arial Unicode MS" w:cs="Arial Unicode MS"/>
          <w:i/>
          <w:iCs/>
        </w:rPr>
        <w:t>HOXA5-</w:t>
      </w:r>
      <w:r>
        <w:t xml:space="preserve">OE cells compared with control cells via flow cytometry. f) Representative scatter plot of </w:t>
      </w:r>
      <w:proofErr w:type="spellStart"/>
      <w:r>
        <w:t>Annexin</w:t>
      </w:r>
      <w:proofErr w:type="spellEnd"/>
      <w:r>
        <w:t xml:space="preserve"> V-FITC apoptosis analysis results for </w:t>
      </w:r>
      <w:r>
        <w:rPr>
          <w:rFonts w:ascii="Arial Unicode MS" w:eastAsia="Arial Unicode MS" w:cs="Arial Unicode MS"/>
          <w:i/>
          <w:iCs/>
        </w:rPr>
        <w:t>HOXA5-</w:t>
      </w:r>
      <w:r>
        <w:t>OE cells compared with control cells via flow cytometry.</w:t>
      </w:r>
    </w:p>
    <w:p w14:paraId="2EF152B5" w14:textId="77777777" w:rsidR="00086F91" w:rsidRDefault="00086F91" w:rsidP="00086F91">
      <w:pPr>
        <w:spacing w:line="480" w:lineRule="auto"/>
        <w:jc w:val="both"/>
      </w:pPr>
      <w:r>
        <w:rPr>
          <w:rFonts w:ascii="Arial Unicode MS" w:eastAsia="Arial Unicode MS" w:cs="Arial Unicode MS"/>
          <w:b/>
          <w:bCs/>
        </w:rPr>
        <w:t>Supplementary Fig.</w:t>
      </w:r>
      <w:r>
        <w:rPr>
          <w:rFonts w:ascii="Arial Unicode MS" w:eastAsia="Arial Unicode MS" w:cs="Arial Unicode MS"/>
          <w:b/>
          <w:bCs/>
        </w:rPr>
        <w:t> </w:t>
      </w:r>
      <w:r>
        <w:rPr>
          <w:rFonts w:ascii="Arial Unicode MS" w:eastAsia="Arial Unicode MS" w:cs="Arial Unicode MS"/>
          <w:b/>
          <w:bCs/>
        </w:rPr>
        <w:t>3:</w:t>
      </w:r>
      <w:r>
        <w:t xml:space="preserve"> Protein-protein interaction network of significant differentially expressed genes from </w:t>
      </w:r>
      <w:r>
        <w:rPr>
          <w:rFonts w:ascii="Arial Unicode MS" w:eastAsia="Arial Unicode MS" w:cs="Arial Unicode MS"/>
          <w:i/>
          <w:iCs/>
        </w:rPr>
        <w:t>HOXA5</w:t>
      </w:r>
      <w:r>
        <w:t xml:space="preserve"> overexpression transcriptome data.</w:t>
      </w:r>
    </w:p>
    <w:p w14:paraId="7AFEC264" w14:textId="77777777" w:rsidR="00086F91" w:rsidRDefault="00086F91" w:rsidP="00086F91">
      <w:pPr>
        <w:spacing w:line="480" w:lineRule="auto"/>
        <w:jc w:val="both"/>
      </w:pPr>
      <w:r>
        <w:rPr>
          <w:rFonts w:ascii="Arial Unicode MS" w:eastAsia="Arial Unicode MS" w:cs="Arial Unicode MS"/>
          <w:b/>
          <w:bCs/>
        </w:rPr>
        <w:t>Supplementary Fig.</w:t>
      </w:r>
      <w:r>
        <w:rPr>
          <w:rFonts w:ascii="Arial Unicode MS" w:eastAsia="Arial Unicode MS" w:cs="Arial Unicode MS"/>
          <w:b/>
          <w:bCs/>
        </w:rPr>
        <w:t> </w:t>
      </w:r>
      <w:r>
        <w:rPr>
          <w:rFonts w:ascii="Arial Unicode MS" w:eastAsia="Arial Unicode MS" w:cs="Arial Unicode MS"/>
          <w:b/>
          <w:bCs/>
        </w:rPr>
        <w:t>4:</w:t>
      </w:r>
      <w:r>
        <w:t xml:space="preserve"> Workflow for identification and functional characterization of </w:t>
      </w:r>
      <w:r>
        <w:rPr>
          <w:rFonts w:ascii="Arial Unicode MS" w:eastAsia="Arial Unicode MS" w:cs="Arial Unicode MS"/>
          <w:i/>
          <w:iCs/>
        </w:rPr>
        <w:t>HOXA5</w:t>
      </w:r>
      <w:r>
        <w:t xml:space="preserve"> promoter regions.</w:t>
      </w:r>
    </w:p>
    <w:p w14:paraId="1A7471F6" w14:textId="77777777" w:rsidR="00086F91" w:rsidRDefault="00086F91" w:rsidP="00086F91">
      <w:pPr>
        <w:spacing w:line="480" w:lineRule="auto"/>
        <w:jc w:val="both"/>
      </w:pPr>
      <w:r>
        <w:rPr>
          <w:rFonts w:ascii="Arial Unicode MS" w:eastAsia="Arial Unicode MS" w:cs="Arial Unicode MS"/>
          <w:b/>
          <w:bCs/>
        </w:rPr>
        <w:lastRenderedPageBreak/>
        <w:t>Supplementary Fig.</w:t>
      </w:r>
      <w:r>
        <w:rPr>
          <w:rFonts w:ascii="Arial Unicode MS" w:eastAsia="Arial Unicode MS" w:cs="Arial Unicode MS"/>
          <w:b/>
          <w:bCs/>
        </w:rPr>
        <w:t> </w:t>
      </w:r>
      <w:r>
        <w:rPr>
          <w:rFonts w:ascii="Arial Unicode MS" w:eastAsia="Arial Unicode MS" w:cs="Arial Unicode MS"/>
          <w:b/>
          <w:bCs/>
        </w:rPr>
        <w:t>5:</w:t>
      </w:r>
      <w:r>
        <w:t xml:space="preserve"> Uncropped images of the corresponding blots and gels, with membrane edges visible.</w:t>
      </w:r>
    </w:p>
    <w:p w14:paraId="0044B91F" w14:textId="77777777" w:rsidR="00086F91" w:rsidRDefault="00086F91" w:rsidP="00086F91">
      <w:pPr>
        <w:spacing w:line="480" w:lineRule="auto"/>
        <w:jc w:val="both"/>
        <w:rPr>
          <w:b/>
          <w:bCs/>
        </w:rPr>
      </w:pPr>
      <w:r>
        <w:rPr>
          <w:rFonts w:ascii="Arial Unicode MS" w:eastAsia="Arial Unicode MS" w:cs="Arial Unicode MS"/>
          <w:b/>
          <w:bCs/>
        </w:rPr>
        <w:t>Supplementary Table legends:</w:t>
      </w:r>
    </w:p>
    <w:p w14:paraId="677E8A10" w14:textId="77777777" w:rsidR="00086F91" w:rsidRDefault="00086F91" w:rsidP="00086F91">
      <w:pPr>
        <w:spacing w:line="480" w:lineRule="auto"/>
        <w:jc w:val="both"/>
        <w:rPr>
          <w:rFonts w:ascii="Arial Unicode MS" w:hAnsi="Arial Unicode MS" w:cs="Arial Unicode MS"/>
        </w:rPr>
      </w:pPr>
      <w:r>
        <w:rPr>
          <w:rFonts w:ascii="Arial Unicode MS" w:eastAsia="Arial Unicode MS" w:cs="Arial Unicode MS"/>
          <w:b/>
          <w:bCs/>
        </w:rPr>
        <w:t>Supplementary Table</w:t>
      </w:r>
      <w:r>
        <w:rPr>
          <w:rFonts w:ascii="Arial Unicode MS" w:eastAsia="Arial Unicode MS" w:cs="Arial Unicode MS"/>
          <w:b/>
          <w:bCs/>
        </w:rPr>
        <w:t> </w:t>
      </w:r>
      <w:r>
        <w:rPr>
          <w:rFonts w:ascii="Arial Unicode MS" w:eastAsia="Arial Unicode MS" w:cs="Arial Unicode MS"/>
          <w:b/>
          <w:bCs/>
        </w:rPr>
        <w:t xml:space="preserve">1: </w:t>
      </w:r>
      <w:r>
        <w:rPr>
          <w:rFonts w:ascii="Arial Unicode MS" w:eastAsia="Arial Unicode MS" w:cs="Arial Unicode MS"/>
        </w:rPr>
        <w:t>Antibodies, primers, and chromatin immunoprecipitation (</w:t>
      </w:r>
      <w:proofErr w:type="spellStart"/>
      <w:r>
        <w:rPr>
          <w:rFonts w:ascii="Arial Unicode MS" w:eastAsia="Arial Unicode MS" w:cs="Arial Unicode MS"/>
        </w:rPr>
        <w:t>ChIP</w:t>
      </w:r>
      <w:proofErr w:type="spellEnd"/>
      <w:r>
        <w:rPr>
          <w:rFonts w:ascii="Arial Unicode MS" w:eastAsia="Arial Unicode MS" w:cs="Arial Unicode MS"/>
        </w:rPr>
        <w:t>) assay reagents used in this study.</w:t>
      </w:r>
    </w:p>
    <w:p w14:paraId="7C8383AB" w14:textId="77777777" w:rsidR="00086F91" w:rsidRDefault="00086F91" w:rsidP="00086F91">
      <w:pPr>
        <w:spacing w:line="480" w:lineRule="auto"/>
        <w:jc w:val="both"/>
      </w:pPr>
      <w:r>
        <w:rPr>
          <w:rFonts w:ascii="Arial Unicode MS" w:eastAsia="Arial Unicode MS" w:cs="Arial Unicode MS"/>
          <w:b/>
          <w:bCs/>
        </w:rPr>
        <w:t>Supplementary Table</w:t>
      </w:r>
      <w:r>
        <w:rPr>
          <w:rFonts w:ascii="Arial Unicode MS" w:eastAsia="Arial Unicode MS" w:cs="Arial Unicode MS"/>
          <w:b/>
          <w:bCs/>
        </w:rPr>
        <w:t> </w:t>
      </w:r>
      <w:r>
        <w:rPr>
          <w:rFonts w:ascii="Arial Unicode MS" w:eastAsia="Arial Unicode MS" w:cs="Arial Unicode MS"/>
          <w:b/>
          <w:bCs/>
        </w:rPr>
        <w:t>2:</w:t>
      </w:r>
      <w:r>
        <w:t xml:space="preserve"> Culture conditions and other details related to the cell lines used in the study.</w:t>
      </w:r>
    </w:p>
    <w:p w14:paraId="5C5F2903" w14:textId="77777777" w:rsidR="00086F91" w:rsidRDefault="00086F91" w:rsidP="00086F91">
      <w:pPr>
        <w:spacing w:line="480" w:lineRule="auto"/>
        <w:jc w:val="both"/>
      </w:pPr>
      <w:r>
        <w:rPr>
          <w:rFonts w:ascii="Arial Unicode MS" w:eastAsia="Arial Unicode MS" w:cs="Arial Unicode MS"/>
          <w:b/>
          <w:bCs/>
          <w:iCs/>
        </w:rPr>
        <w:t>Supplementary Table</w:t>
      </w:r>
      <w:r>
        <w:rPr>
          <w:rFonts w:ascii="Arial Unicode MS" w:eastAsia="Arial Unicode MS" w:cs="Arial Unicode MS"/>
          <w:b/>
          <w:bCs/>
          <w:iCs/>
        </w:rPr>
        <w:t> </w:t>
      </w:r>
      <w:r>
        <w:rPr>
          <w:rFonts w:ascii="Arial Unicode MS" w:eastAsia="Arial Unicode MS" w:cs="Arial Unicode MS"/>
          <w:b/>
          <w:bCs/>
          <w:iCs/>
        </w:rPr>
        <w:t>3:</w:t>
      </w:r>
      <w:r>
        <w:rPr>
          <w:rFonts w:ascii="Arial Unicode MS" w:eastAsia="Arial Unicode MS" w:cs="Arial Unicode MS"/>
          <w:iCs/>
        </w:rPr>
        <w:t xml:space="preserve"> Collagen gel ingredients for preparing 3D engineered tissue constructs.</w:t>
      </w:r>
    </w:p>
    <w:p w14:paraId="49B53586" w14:textId="77777777" w:rsidR="00086F91" w:rsidRDefault="00086F91" w:rsidP="00086F91">
      <w:pPr>
        <w:spacing w:line="480" w:lineRule="auto"/>
        <w:jc w:val="both"/>
      </w:pPr>
      <w:r>
        <w:rPr>
          <w:rFonts w:ascii="Arial Unicode MS" w:eastAsia="Arial Unicode MS" w:cs="Arial Unicode MS"/>
          <w:b/>
          <w:bCs/>
        </w:rPr>
        <w:t>Supplementary Table</w:t>
      </w:r>
      <w:r>
        <w:rPr>
          <w:rFonts w:ascii="Arial Unicode MS" w:eastAsia="Arial Unicode MS" w:cs="Arial Unicode MS"/>
          <w:b/>
          <w:bCs/>
        </w:rPr>
        <w:t> </w:t>
      </w:r>
      <w:r>
        <w:rPr>
          <w:rFonts w:ascii="Arial Unicode MS" w:eastAsia="Arial Unicode MS" w:cs="Arial Unicode MS"/>
          <w:b/>
          <w:bCs/>
        </w:rPr>
        <w:t>4:</w:t>
      </w:r>
      <w:r>
        <w:t xml:space="preserve"> List of transcription factor binding sites predicted across </w:t>
      </w:r>
      <w:r>
        <w:rPr>
          <w:rFonts w:ascii="Arial Unicode MS" w:eastAsia="Arial Unicode MS" w:cs="Arial Unicode MS"/>
          <w:i/>
          <w:iCs/>
        </w:rPr>
        <w:t xml:space="preserve">HOXA5 </w:t>
      </w:r>
      <w:r>
        <w:t xml:space="preserve">promoter using </w:t>
      </w:r>
      <w:proofErr w:type="spellStart"/>
      <w:r>
        <w:t>AnimalTFDB</w:t>
      </w:r>
      <w:proofErr w:type="spellEnd"/>
      <w:r>
        <w:t>.</w:t>
      </w:r>
    </w:p>
    <w:p w14:paraId="47D342ED" w14:textId="77777777" w:rsidR="00086F91" w:rsidRDefault="00086F91" w:rsidP="00086F91">
      <w:pPr>
        <w:spacing w:line="480" w:lineRule="auto"/>
        <w:jc w:val="both"/>
      </w:pPr>
      <w:r>
        <w:rPr>
          <w:rFonts w:ascii="Arial Unicode MS" w:eastAsia="Arial Unicode MS" w:cs="Arial Unicode MS"/>
          <w:b/>
          <w:bCs/>
        </w:rPr>
        <w:t>Supplementary Table</w:t>
      </w:r>
      <w:r>
        <w:rPr>
          <w:rFonts w:ascii="Arial Unicode MS" w:eastAsia="Arial Unicode MS" w:cs="Arial Unicode MS"/>
          <w:b/>
          <w:bCs/>
        </w:rPr>
        <w:t> </w:t>
      </w:r>
      <w:r>
        <w:rPr>
          <w:rFonts w:ascii="Arial Unicode MS" w:eastAsia="Arial Unicode MS" w:cs="Arial Unicode MS"/>
          <w:b/>
          <w:bCs/>
        </w:rPr>
        <w:t xml:space="preserve">5: </w:t>
      </w:r>
      <w:r>
        <w:t xml:space="preserve">List of all the differentially expressed genes from the </w:t>
      </w:r>
      <w:r>
        <w:rPr>
          <w:rFonts w:ascii="Arial Unicode MS" w:eastAsia="Arial Unicode MS" w:cs="Arial Unicode MS"/>
          <w:i/>
          <w:iCs/>
        </w:rPr>
        <w:t>HOXA5-</w:t>
      </w:r>
      <w:r>
        <w:t>OE transcriptome analysis.</w:t>
      </w:r>
    </w:p>
    <w:p w14:paraId="0EBB517F" w14:textId="77777777" w:rsidR="00086F91" w:rsidRDefault="00086F91" w:rsidP="00086F91">
      <w:pPr>
        <w:spacing w:line="480" w:lineRule="auto"/>
        <w:jc w:val="both"/>
      </w:pPr>
      <w:r>
        <w:rPr>
          <w:rFonts w:ascii="Arial Unicode MS" w:eastAsia="Arial Unicode MS" w:cs="Arial Unicode MS"/>
          <w:b/>
          <w:bCs/>
        </w:rPr>
        <w:t>Supplementary Table</w:t>
      </w:r>
      <w:r>
        <w:rPr>
          <w:rFonts w:ascii="Arial Unicode MS" w:eastAsia="Arial Unicode MS" w:cs="Arial Unicode MS"/>
          <w:b/>
          <w:bCs/>
        </w:rPr>
        <w:t> </w:t>
      </w:r>
      <w:r>
        <w:rPr>
          <w:rFonts w:ascii="Arial Unicode MS" w:eastAsia="Arial Unicode MS" w:cs="Arial Unicode MS"/>
          <w:b/>
          <w:bCs/>
        </w:rPr>
        <w:t xml:space="preserve">6: </w:t>
      </w:r>
      <w:r>
        <w:t>List of all the enriched Gene Ontology terms associated with upregulated and downregulated genes.</w:t>
      </w:r>
    </w:p>
    <w:p w14:paraId="43322EFB" w14:textId="77777777" w:rsidR="00086F91" w:rsidRDefault="00086F91" w:rsidP="00086F91">
      <w:pPr>
        <w:spacing w:line="480" w:lineRule="auto"/>
        <w:jc w:val="both"/>
      </w:pPr>
      <w:r>
        <w:rPr>
          <w:rFonts w:ascii="Arial Unicode MS" w:eastAsia="Arial Unicode MS" w:cs="Arial Unicode MS"/>
          <w:b/>
          <w:bCs/>
        </w:rPr>
        <w:t>Supplementary Table</w:t>
      </w:r>
      <w:r>
        <w:rPr>
          <w:rFonts w:ascii="Arial Unicode MS" w:eastAsia="Arial Unicode MS" w:cs="Arial Unicode MS"/>
          <w:b/>
          <w:bCs/>
        </w:rPr>
        <w:t> </w:t>
      </w:r>
      <w:r>
        <w:rPr>
          <w:rFonts w:ascii="Arial Unicode MS" w:eastAsia="Arial Unicode MS" w:cs="Arial Unicode MS"/>
          <w:b/>
          <w:bCs/>
        </w:rPr>
        <w:t xml:space="preserve">7: </w:t>
      </w:r>
      <w:r>
        <w:t>List of all the enriched KEGG pathway terms associated with upregulated and downregulated genes.</w:t>
      </w:r>
    </w:p>
    <w:p w14:paraId="774135B6" w14:textId="77777777" w:rsidR="00086F91" w:rsidRDefault="00086F91" w:rsidP="00086F91">
      <w:pPr>
        <w:spacing w:line="480" w:lineRule="auto"/>
        <w:jc w:val="both"/>
      </w:pPr>
      <w:r>
        <w:rPr>
          <w:rFonts w:ascii="Arial Unicode MS" w:eastAsia="Arial Unicode MS" w:cs="Arial Unicode MS"/>
          <w:b/>
          <w:bCs/>
        </w:rPr>
        <w:t>Supplementary Table</w:t>
      </w:r>
      <w:r>
        <w:rPr>
          <w:rFonts w:ascii="Arial Unicode MS" w:eastAsia="Arial Unicode MS" w:cs="Arial Unicode MS"/>
          <w:b/>
          <w:bCs/>
        </w:rPr>
        <w:t> </w:t>
      </w:r>
      <w:r>
        <w:rPr>
          <w:rFonts w:ascii="Arial Unicode MS" w:eastAsia="Arial Unicode MS" w:cs="Arial Unicode MS"/>
          <w:b/>
          <w:bCs/>
        </w:rPr>
        <w:t xml:space="preserve">8: </w:t>
      </w:r>
      <w:r>
        <w:t>List of all the drug molecules that target the hub genes from both GDSC and CTRP database.</w:t>
      </w:r>
    </w:p>
    <w:p w14:paraId="1CD3DDBB" w14:textId="77777777" w:rsidR="0001364A" w:rsidRPr="00086F91" w:rsidRDefault="0001364A" w:rsidP="00086F91">
      <w:bookmarkStart w:id="0" w:name="_GoBack"/>
      <w:bookmarkEnd w:id="0"/>
    </w:p>
    <w:sectPr w:rsidR="0001364A" w:rsidRPr="00086F91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B9B68" w14:textId="77777777" w:rsidR="006301BF" w:rsidRDefault="006301BF" w:rsidP="003E2FDB">
      <w:pPr>
        <w:spacing w:after="0" w:line="240" w:lineRule="auto"/>
      </w:pPr>
      <w:r>
        <w:separator/>
      </w:r>
    </w:p>
  </w:endnote>
  <w:endnote w:type="continuationSeparator" w:id="0">
    <w:p w14:paraId="5336A328" w14:textId="77777777" w:rsidR="006301BF" w:rsidRDefault="006301BF" w:rsidP="003E2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84839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D800D6" w14:textId="52598FA0" w:rsidR="003E2FDB" w:rsidRDefault="003E2F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6F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9B9F8C" w14:textId="77777777" w:rsidR="003E2FDB" w:rsidRDefault="003E2F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C220B" w14:textId="77777777" w:rsidR="006301BF" w:rsidRDefault="006301BF" w:rsidP="003E2FDB">
      <w:pPr>
        <w:spacing w:after="0" w:line="240" w:lineRule="auto"/>
      </w:pPr>
      <w:r>
        <w:separator/>
      </w:r>
    </w:p>
  </w:footnote>
  <w:footnote w:type="continuationSeparator" w:id="0">
    <w:p w14:paraId="4A65426D" w14:textId="77777777" w:rsidR="006301BF" w:rsidRDefault="006301BF" w:rsidP="003E2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60C7E"/>
    <w:multiLevelType w:val="multilevel"/>
    <w:tmpl w:val="36500B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2868653E"/>
    <w:multiLevelType w:val="hybridMultilevel"/>
    <w:tmpl w:val="B28AF9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938AE"/>
    <w:multiLevelType w:val="hybridMultilevel"/>
    <w:tmpl w:val="3FF8961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AF19BD"/>
    <w:multiLevelType w:val="hybridMultilevel"/>
    <w:tmpl w:val="1FC8A3DE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210A55"/>
    <w:multiLevelType w:val="multilevel"/>
    <w:tmpl w:val="75548C9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xpv5rwvaf02pqepdev5tpsyr90dw29eze9x&quot;&gt;My EndNote Library&lt;record-ids&gt;&lt;item&gt;321&lt;/item&gt;&lt;item&gt;392&lt;/item&gt;&lt;item&gt;393&lt;/item&gt;&lt;item&gt;394&lt;/item&gt;&lt;item&gt;397&lt;/item&gt;&lt;item&gt;575&lt;/item&gt;&lt;item&gt;591&lt;/item&gt;&lt;item&gt;606&lt;/item&gt;&lt;item&gt;1057&lt;/item&gt;&lt;/record-ids&gt;&lt;/item&gt;&lt;/Libraries&gt;"/>
  </w:docVars>
  <w:rsids>
    <w:rsidRoot w:val="00111BDA"/>
    <w:rsid w:val="0001364A"/>
    <w:rsid w:val="00020042"/>
    <w:rsid w:val="00033E7C"/>
    <w:rsid w:val="00035E27"/>
    <w:rsid w:val="000509E6"/>
    <w:rsid w:val="000539C6"/>
    <w:rsid w:val="00071E14"/>
    <w:rsid w:val="000838B7"/>
    <w:rsid w:val="00086F91"/>
    <w:rsid w:val="00093030"/>
    <w:rsid w:val="000E4BAF"/>
    <w:rsid w:val="000F16CD"/>
    <w:rsid w:val="00111BDA"/>
    <w:rsid w:val="00116640"/>
    <w:rsid w:val="001256A8"/>
    <w:rsid w:val="00174331"/>
    <w:rsid w:val="001A2C26"/>
    <w:rsid w:val="001B6AFB"/>
    <w:rsid w:val="001F42EF"/>
    <w:rsid w:val="00202C15"/>
    <w:rsid w:val="00212B92"/>
    <w:rsid w:val="00246708"/>
    <w:rsid w:val="00261876"/>
    <w:rsid w:val="00287050"/>
    <w:rsid w:val="002A7676"/>
    <w:rsid w:val="002B4727"/>
    <w:rsid w:val="00323F30"/>
    <w:rsid w:val="00326D28"/>
    <w:rsid w:val="003E2FDB"/>
    <w:rsid w:val="003F3278"/>
    <w:rsid w:val="00414339"/>
    <w:rsid w:val="00416247"/>
    <w:rsid w:val="00432855"/>
    <w:rsid w:val="00480233"/>
    <w:rsid w:val="004807F7"/>
    <w:rsid w:val="004B3E65"/>
    <w:rsid w:val="004C2EBF"/>
    <w:rsid w:val="004F0F97"/>
    <w:rsid w:val="005024E9"/>
    <w:rsid w:val="005161B1"/>
    <w:rsid w:val="00530CA2"/>
    <w:rsid w:val="00551FD8"/>
    <w:rsid w:val="005B1281"/>
    <w:rsid w:val="00617C21"/>
    <w:rsid w:val="00624FC3"/>
    <w:rsid w:val="006301BF"/>
    <w:rsid w:val="0066004D"/>
    <w:rsid w:val="00695D46"/>
    <w:rsid w:val="006C4B6E"/>
    <w:rsid w:val="00700A2F"/>
    <w:rsid w:val="00712741"/>
    <w:rsid w:val="00731C2A"/>
    <w:rsid w:val="007410B0"/>
    <w:rsid w:val="00763A9D"/>
    <w:rsid w:val="007F4E6B"/>
    <w:rsid w:val="00840058"/>
    <w:rsid w:val="00863624"/>
    <w:rsid w:val="00867E93"/>
    <w:rsid w:val="008B73D6"/>
    <w:rsid w:val="008E4875"/>
    <w:rsid w:val="008F292D"/>
    <w:rsid w:val="00907E47"/>
    <w:rsid w:val="009202BD"/>
    <w:rsid w:val="00927BF5"/>
    <w:rsid w:val="00942E52"/>
    <w:rsid w:val="0097308B"/>
    <w:rsid w:val="00974647"/>
    <w:rsid w:val="00982D8A"/>
    <w:rsid w:val="009C5243"/>
    <w:rsid w:val="009E504E"/>
    <w:rsid w:val="00A74D01"/>
    <w:rsid w:val="00AD3A75"/>
    <w:rsid w:val="00AE40AC"/>
    <w:rsid w:val="00B02BCF"/>
    <w:rsid w:val="00B06FC7"/>
    <w:rsid w:val="00BD77A1"/>
    <w:rsid w:val="00BE6F19"/>
    <w:rsid w:val="00C01DB1"/>
    <w:rsid w:val="00C17006"/>
    <w:rsid w:val="00C275C5"/>
    <w:rsid w:val="00CB133B"/>
    <w:rsid w:val="00D32EA9"/>
    <w:rsid w:val="00D51137"/>
    <w:rsid w:val="00D86FE5"/>
    <w:rsid w:val="00DC7060"/>
    <w:rsid w:val="00DF7ABE"/>
    <w:rsid w:val="00E05633"/>
    <w:rsid w:val="00E329B8"/>
    <w:rsid w:val="00F01EE6"/>
    <w:rsid w:val="00F344C6"/>
    <w:rsid w:val="00F37063"/>
    <w:rsid w:val="00F74709"/>
    <w:rsid w:val="00F84D3E"/>
    <w:rsid w:val="00FA4D32"/>
    <w:rsid w:val="00FC0D27"/>
    <w:rsid w:val="00FE6702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BFD78"/>
  <w15:chartTrackingRefBased/>
  <w15:docId w15:val="{7D170197-B3B8-4D9A-9B19-3314E0020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BDA"/>
  </w:style>
  <w:style w:type="paragraph" w:styleId="Heading1">
    <w:name w:val="heading 1"/>
    <w:basedOn w:val="Normal"/>
    <w:next w:val="Normal"/>
    <w:link w:val="Heading1Char"/>
    <w:uiPriority w:val="9"/>
    <w:qFormat/>
    <w:rsid w:val="00111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1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1B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1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1B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1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1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1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1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11B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1B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1B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1BD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1BD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1B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1B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1B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1B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1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1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1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1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1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1BD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111B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1B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B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B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1BDA"/>
    <w:rPr>
      <w:b/>
      <w:bCs/>
      <w:smallCaps/>
      <w:color w:val="2F5496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111BDA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11BDA"/>
  </w:style>
  <w:style w:type="character" w:customStyle="1" w:styleId="EndNoteBibliographyTitleChar">
    <w:name w:val="EndNote Bibliography Title Char"/>
    <w:basedOn w:val="ListParagraphChar"/>
    <w:link w:val="EndNoteBibliographyTitle"/>
    <w:rsid w:val="00111BDA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11BDA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111BDA"/>
    <w:rPr>
      <w:rFonts w:ascii="Calibri" w:hAnsi="Calibri" w:cs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E2F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FDB"/>
  </w:style>
  <w:style w:type="paragraph" w:styleId="Footer">
    <w:name w:val="footer"/>
    <w:basedOn w:val="Normal"/>
    <w:link w:val="FooterChar"/>
    <w:uiPriority w:val="99"/>
    <w:unhideWhenUsed/>
    <w:rsid w:val="003E2F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FDB"/>
  </w:style>
  <w:style w:type="character" w:styleId="LineNumber">
    <w:name w:val="line number"/>
    <w:basedOn w:val="DefaultParagraphFont"/>
    <w:uiPriority w:val="99"/>
    <w:semiHidden/>
    <w:unhideWhenUsed/>
    <w:rsid w:val="002A7676"/>
  </w:style>
  <w:style w:type="paragraph" w:customStyle="1" w:styleId="MDPI42tablebody">
    <w:name w:val="MDPI_4.2_table_body"/>
    <w:qFormat/>
    <w:rsid w:val="00FE6702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  <w:style w:type="paragraph" w:customStyle="1" w:styleId="MDPI21heading1">
    <w:name w:val="MDPI_2.1_heading1"/>
    <w:qFormat/>
    <w:rsid w:val="00FE6702"/>
    <w:pPr>
      <w:adjustRightInd w:val="0"/>
      <w:snapToGrid w:val="0"/>
      <w:spacing w:before="240" w:after="60" w:line="280" w:lineRule="atLeast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Cs w:val="22"/>
      <w:lang w:val="en-US" w:eastAsia="de-DE" w:bidi="en-US"/>
      <w14:ligatures w14:val="none"/>
    </w:rPr>
  </w:style>
  <w:style w:type="character" w:styleId="Strong">
    <w:name w:val="Strong"/>
    <w:basedOn w:val="DefaultParagraphFont"/>
    <w:uiPriority w:val="22"/>
    <w:qFormat/>
    <w:rsid w:val="00F37063"/>
    <w:rPr>
      <w:rFonts w:ascii="Times New Roman" w:hAnsi="Times New Roman"/>
      <w:b/>
      <w:bCs/>
    </w:rPr>
  </w:style>
  <w:style w:type="character" w:customStyle="1" w:styleId="BodyTextChar">
    <w:name w:val="Body Text Char"/>
    <w:basedOn w:val="DefaultParagraphFont"/>
    <w:link w:val="BodyText"/>
    <w:qFormat/>
    <w:rsid w:val="0066004D"/>
    <w:rPr>
      <w:rFonts w:ascii="Cambria" w:eastAsia="Cambria" w:hAnsi="Cambria" w:cs="Times New Roman"/>
      <w:kern w:val="0"/>
    </w:rPr>
  </w:style>
  <w:style w:type="paragraph" w:styleId="BodyText">
    <w:name w:val="Body Text"/>
    <w:basedOn w:val="Normal"/>
    <w:link w:val="BodyTextChar"/>
    <w:qFormat/>
    <w:rsid w:val="0066004D"/>
    <w:pPr>
      <w:suppressAutoHyphens/>
      <w:spacing w:before="180" w:after="180" w:line="240" w:lineRule="auto"/>
    </w:pPr>
    <w:rPr>
      <w:rFonts w:ascii="Cambria" w:eastAsia="Cambria" w:hAnsi="Cambria" w:cs="Times New Roman"/>
      <w:kern w:val="0"/>
    </w:rPr>
  </w:style>
  <w:style w:type="character" w:customStyle="1" w:styleId="BodyTextChar1">
    <w:name w:val="Body Text Char1"/>
    <w:basedOn w:val="DefaultParagraphFont"/>
    <w:uiPriority w:val="99"/>
    <w:semiHidden/>
    <w:rsid w:val="0066004D"/>
  </w:style>
  <w:style w:type="table" w:styleId="TableGrid">
    <w:name w:val="Table Grid"/>
    <w:basedOn w:val="TableNormal"/>
    <w:qFormat/>
    <w:rsid w:val="0066004D"/>
    <w:pPr>
      <w:suppressAutoHyphens/>
      <w:spacing w:after="0" w:line="240" w:lineRule="auto"/>
    </w:pPr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sum-journal-citation">
    <w:name w:val="docsum-journal-citation"/>
    <w:rsid w:val="004807F7"/>
  </w:style>
  <w:style w:type="paragraph" w:customStyle="1" w:styleId="ListParagraph1">
    <w:name w:val="List Paragraph1"/>
    <w:basedOn w:val="Normal"/>
    <w:uiPriority w:val="99"/>
    <w:rsid w:val="004807F7"/>
    <w:pPr>
      <w:spacing w:after="0" w:line="240" w:lineRule="auto"/>
      <w:ind w:left="720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customStyle="1" w:styleId="SuppliedContentStart">
    <w:name w:val="SuppliedContentStart"/>
    <w:basedOn w:val="Normal"/>
    <w:qFormat/>
    <w:rsid w:val="00246708"/>
    <w:pPr>
      <w:spacing w:after="0" w:line="240" w:lineRule="auto"/>
    </w:pPr>
    <w:rPr>
      <w:rFonts w:ascii="Times New Roman" w:eastAsia="Arial Unicode MS" w:hAnsi="Times New Roman" w:cs="Times New Roman"/>
      <w:kern w:val="0"/>
      <w:lang w:val="en-US"/>
      <w14:ligatures w14:val="none"/>
    </w:rPr>
  </w:style>
  <w:style w:type="paragraph" w:customStyle="1" w:styleId="SuppliedContentEnd">
    <w:name w:val="SuppliedContentEnd"/>
    <w:basedOn w:val="Normal"/>
    <w:qFormat/>
    <w:rsid w:val="00246708"/>
    <w:pPr>
      <w:spacing w:after="0" w:line="240" w:lineRule="auto"/>
    </w:pPr>
    <w:rPr>
      <w:rFonts w:ascii="Times New Roman" w:eastAsia="Arial Unicode MS" w:hAnsi="Times New Roman" w:cs="Times New Roman"/>
      <w:kern w:val="0"/>
      <w:lang w:val="en-US"/>
      <w14:ligatures w14:val="none"/>
    </w:rPr>
  </w:style>
  <w:style w:type="paragraph" w:customStyle="1" w:styleId="Head2">
    <w:name w:val="Head2"/>
    <w:autoRedefine/>
    <w:qFormat/>
    <w:rsid w:val="00480233"/>
    <w:pPr>
      <w:spacing w:before="240" w:after="0" w:line="240" w:lineRule="auto"/>
    </w:pPr>
    <w:rPr>
      <w:rFonts w:ascii="Arial Unicode MS" w:eastAsia="Arial Unicode MS" w:hAnsi="Arial Unicode MS" w:cs="Arial Unicode MS"/>
      <w:color w:val="235195"/>
      <w:kern w:val="0"/>
      <w:sz w:val="32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0C5C6-100A-43C7-8521-569F429CB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Zenab Darban</dc:creator>
  <cp:keywords/>
  <dc:description/>
  <cp:lastModifiedBy>Mareeswaran S</cp:lastModifiedBy>
  <cp:revision>55</cp:revision>
  <dcterms:created xsi:type="dcterms:W3CDTF">2026-03-13T04:32:00Z</dcterms:created>
  <dcterms:modified xsi:type="dcterms:W3CDTF">2026-09-25T10:26:00Z</dcterms:modified>
</cp:coreProperties>
</file>