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B0D3D">
      <w:pPr>
        <w:spacing w:after="360"/>
        <w:jc w:val="center"/>
      </w:pPr>
      <w:r>
        <w:rPr>
          <w:b/>
          <w:sz w:val="36"/>
        </w:rPr>
        <w:t>Supplementary Material</w:t>
      </w:r>
    </w:p>
    <w:p w14:paraId="35F15E90">
      <w:pPr>
        <w:spacing w:after="360"/>
      </w:pPr>
      <w:r>
        <w:rPr>
          <w:b/>
        </w:rPr>
        <w:t>Table S1. Missing Data Imputation Strategy for Clinical Variables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984"/>
        <w:gridCol w:w="1984"/>
        <w:gridCol w:w="2381"/>
      </w:tblGrid>
      <w:tr w14:paraId="0BE71DDF">
        <w:trPr>
          <w:tblHeader/>
          <w:jc w:val="center"/>
        </w:trPr>
        <w:tc>
          <w:tcPr>
            <w:tcW w:w="198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60631">
            <w:pPr>
              <w:spacing w:after="0"/>
              <w:jc w:val="center"/>
            </w:pPr>
            <w:r>
              <w:rPr>
                <w:b/>
                <w:sz w:val="17"/>
              </w:rPr>
              <w:t>Variable</w:t>
            </w:r>
          </w:p>
        </w:tc>
        <w:tc>
          <w:tcPr>
            <w:tcW w:w="198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2297F">
            <w:pPr>
              <w:spacing w:after="0"/>
              <w:jc w:val="center"/>
            </w:pPr>
            <w:r>
              <w:rPr>
                <w:b/>
                <w:sz w:val="17"/>
              </w:rPr>
              <w:t>Imputation method</w:t>
            </w:r>
          </w:p>
        </w:tc>
        <w:tc>
          <w:tcPr>
            <w:tcW w:w="198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F063E">
            <w:pPr>
              <w:spacing w:after="0"/>
              <w:jc w:val="center"/>
            </w:pPr>
            <w:r>
              <w:rPr>
                <w:b/>
                <w:sz w:val="17"/>
              </w:rPr>
              <w:t>Imputation value</w:t>
            </w:r>
          </w:p>
        </w:tc>
        <w:tc>
          <w:tcPr>
            <w:tcW w:w="238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A5591">
            <w:pPr>
              <w:spacing w:after="0"/>
              <w:jc w:val="center"/>
            </w:pPr>
            <w:r>
              <w:rPr>
                <w:b/>
                <w:sz w:val="17"/>
              </w:rPr>
              <w:t>Missing percentage (%)</w:t>
            </w:r>
          </w:p>
        </w:tc>
      </w:tr>
      <w:tr w14:paraId="5ED49A0B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59337">
            <w:pPr>
              <w:spacing w:after="0"/>
            </w:pPr>
            <w:r>
              <w:rPr>
                <w:sz w:val="17"/>
              </w:rPr>
              <w:t>Height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B80C9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E01F3">
            <w:pPr>
              <w:spacing w:after="0"/>
              <w:jc w:val="center"/>
            </w:pPr>
            <w:r>
              <w:rPr>
                <w:sz w:val="17"/>
              </w:rPr>
              <w:t>173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9C6EF">
            <w:pPr>
              <w:spacing w:after="0"/>
              <w:jc w:val="center"/>
            </w:pPr>
            <w:r>
              <w:rPr>
                <w:sz w:val="17"/>
              </w:rPr>
              <w:t>7.41</w:t>
            </w:r>
          </w:p>
        </w:tc>
      </w:tr>
      <w:tr w14:paraId="79CFE4F8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EB01B">
            <w:pPr>
              <w:spacing w:after="0"/>
            </w:pPr>
            <w:r>
              <w:rPr>
                <w:sz w:val="17"/>
              </w:rPr>
              <w:t>SpO₂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95682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83B57E">
            <w:pPr>
              <w:spacing w:after="0"/>
              <w:jc w:val="center"/>
            </w:pPr>
            <w:r>
              <w:rPr>
                <w:sz w:val="17"/>
              </w:rPr>
              <w:t>96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98E99">
            <w:pPr>
              <w:spacing w:after="0"/>
              <w:jc w:val="center"/>
            </w:pPr>
            <w:r>
              <w:rPr>
                <w:sz w:val="17"/>
              </w:rPr>
              <w:t>6.37</w:t>
            </w:r>
          </w:p>
        </w:tc>
      </w:tr>
      <w:tr w14:paraId="19802AA3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1448D">
            <w:pPr>
              <w:spacing w:after="0"/>
            </w:pPr>
            <w:r>
              <w:rPr>
                <w:sz w:val="17"/>
              </w:rPr>
              <w:t>Lactate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8F2A1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3F102">
            <w:pPr>
              <w:spacing w:after="0"/>
              <w:jc w:val="center"/>
            </w:pPr>
            <w:r>
              <w:rPr>
                <w:sz w:val="17"/>
              </w:rPr>
              <w:t>2.6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E2764">
            <w:pPr>
              <w:spacing w:after="0"/>
              <w:jc w:val="center"/>
            </w:pPr>
            <w:r>
              <w:rPr>
                <w:sz w:val="17"/>
              </w:rPr>
              <w:t>5.08</w:t>
            </w:r>
          </w:p>
        </w:tc>
      </w:tr>
      <w:tr w14:paraId="5DA2861A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B52B5">
            <w:pPr>
              <w:spacing w:after="0"/>
            </w:pPr>
            <w:r>
              <w:rPr>
                <w:sz w:val="17"/>
              </w:rPr>
              <w:t>Weight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DC89B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7609A">
            <w:pPr>
              <w:spacing w:after="0"/>
              <w:jc w:val="center"/>
            </w:pPr>
            <w:r>
              <w:rPr>
                <w:sz w:val="17"/>
              </w:rPr>
              <w:t>84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680C0">
            <w:pPr>
              <w:spacing w:after="0"/>
              <w:jc w:val="center"/>
            </w:pPr>
            <w:r>
              <w:rPr>
                <w:sz w:val="17"/>
              </w:rPr>
              <w:t>0.30</w:t>
            </w:r>
          </w:p>
        </w:tc>
      </w:tr>
      <w:tr w14:paraId="7E7BFE6B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40ED5">
            <w:pPr>
              <w:spacing w:after="0"/>
            </w:pPr>
            <w:r>
              <w:rPr>
                <w:sz w:val="17"/>
              </w:rPr>
              <w:t>Hemoglobin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84F79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214431">
            <w:pPr>
              <w:spacing w:after="0"/>
              <w:jc w:val="center"/>
            </w:pPr>
            <w:r>
              <w:rPr>
                <w:sz w:val="17"/>
              </w:rPr>
              <w:t>8.6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A2DDA">
            <w:pPr>
              <w:spacing w:after="0"/>
              <w:jc w:val="center"/>
            </w:pPr>
            <w:r>
              <w:rPr>
                <w:sz w:val="17"/>
              </w:rPr>
              <w:t>0.22</w:t>
            </w:r>
          </w:p>
        </w:tc>
      </w:tr>
      <w:tr w14:paraId="3ACBAF94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172DC">
            <w:pPr>
              <w:spacing w:after="0"/>
            </w:pPr>
            <w:r>
              <w:rPr>
                <w:sz w:val="17"/>
              </w:rPr>
              <w:t>WBC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EAF66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60BA2">
            <w:pPr>
              <w:spacing w:after="0"/>
              <w:jc w:val="center"/>
            </w:pPr>
            <w:r>
              <w:rPr>
                <w:sz w:val="17"/>
              </w:rPr>
              <w:t>16.4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8E1CC2">
            <w:pPr>
              <w:spacing w:after="0"/>
              <w:jc w:val="center"/>
            </w:pPr>
            <w:r>
              <w:rPr>
                <w:sz w:val="17"/>
              </w:rPr>
              <w:t>0.22</w:t>
            </w:r>
          </w:p>
        </w:tc>
      </w:tr>
      <w:tr w14:paraId="13B1D4C0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5EE54">
            <w:pPr>
              <w:spacing w:after="0"/>
            </w:pPr>
            <w:r>
              <w:rPr>
                <w:sz w:val="17"/>
              </w:rPr>
              <w:t>Creatinine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5C9F7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AC55E">
            <w:pPr>
              <w:spacing w:after="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4E8D7">
            <w:pPr>
              <w:spacing w:after="0"/>
              <w:jc w:val="center"/>
            </w:pPr>
            <w:r>
              <w:rPr>
                <w:sz w:val="17"/>
              </w:rPr>
              <w:t>0.22</w:t>
            </w:r>
          </w:p>
        </w:tc>
      </w:tr>
      <w:tr w14:paraId="0F362ACF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654CB">
            <w:pPr>
              <w:spacing w:after="0"/>
            </w:pPr>
            <w:r>
              <w:rPr>
                <w:sz w:val="17"/>
              </w:rPr>
              <w:t>Platelet count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055BF2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4EF69">
            <w:pPr>
              <w:spacing w:after="0"/>
              <w:jc w:val="center"/>
            </w:pPr>
            <w:r>
              <w:rPr>
                <w:sz w:val="17"/>
              </w:rPr>
              <w:t>122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5AF78A">
            <w:pPr>
              <w:spacing w:after="0"/>
              <w:jc w:val="center"/>
            </w:pPr>
            <w:r>
              <w:rPr>
                <w:sz w:val="17"/>
              </w:rPr>
              <w:t>0.22</w:t>
            </w:r>
          </w:p>
        </w:tc>
      </w:tr>
      <w:tr w14:paraId="5D78766E">
        <w:trPr>
          <w:cantSplit/>
          <w:jc w:val="center"/>
        </w:trPr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4C970">
            <w:pPr>
              <w:spacing w:after="0"/>
            </w:pPr>
            <w:r>
              <w:rPr>
                <w:sz w:val="17"/>
              </w:rPr>
              <w:t>Hematocrit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D643E">
            <w:pPr>
              <w:spacing w:after="0"/>
              <w:jc w:val="center"/>
            </w:pPr>
            <w:r>
              <w:rPr>
                <w:sz w:val="17"/>
              </w:rPr>
              <w:t>Median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19033">
            <w:pPr>
              <w:spacing w:after="0"/>
              <w:jc w:val="center"/>
            </w:pPr>
            <w:r>
              <w:rPr>
                <w:sz w:val="17"/>
              </w:rPr>
              <w:t>26.2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31290">
            <w:pPr>
              <w:spacing w:after="0"/>
              <w:jc w:val="center"/>
            </w:pPr>
            <w:r>
              <w:rPr>
                <w:sz w:val="17"/>
              </w:rPr>
              <w:t>0.22</w:t>
            </w:r>
          </w:p>
        </w:tc>
      </w:tr>
    </w:tbl>
    <w:p w14:paraId="3511996E">
      <w:pPr>
        <w:spacing w:before="60" w:after="80" w:line="240" w:lineRule="auto"/>
      </w:pPr>
      <w:r>
        <w:rPr>
          <w:sz w:val="16"/>
        </w:rPr>
        <w:t>SpO₂, peripheral oxygen saturation; WBC, white blood cell count.</w:t>
      </w:r>
    </w:p>
    <w:p w14:paraId="06525FC4">
      <w:pPr>
        <w:spacing w:before="60" w:after="80" w:line="240" w:lineRule="auto"/>
      </w:pPr>
    </w:p>
    <w:p w14:paraId="02BFD5A8">
      <w:pPr>
        <w:spacing w:before="60" w:after="80" w:line="240" w:lineRule="auto"/>
        <w:rPr>
          <w:b/>
        </w:rPr>
      </w:pPr>
      <w:r>
        <w:rPr>
          <w:b/>
        </w:rPr>
        <w:t>Table S2. ICD Diagnosis and Procedure Code Patterns Used to Identify the Neurocritical Care Subgroup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2400"/>
        <w:gridCol w:w="2400"/>
        <w:gridCol w:w="2400"/>
      </w:tblGrid>
      <w:tr w14:paraId="2651E083">
        <w:trPr>
          <w:jc w:val="center"/>
        </w:trPr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81D75">
            <w:pPr>
              <w:spacing w:after="0"/>
              <w:jc w:val="center"/>
            </w:pPr>
            <w:r>
              <w:rPr>
                <w:b/>
                <w:sz w:val="15"/>
                <w:szCs w:val="15"/>
              </w:rPr>
              <w:t>Category</w:t>
            </w:r>
          </w:p>
        </w:tc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7F732">
            <w:pPr>
              <w:spacing w:after="0"/>
              <w:jc w:val="center"/>
            </w:pPr>
            <w:r>
              <w:rPr>
                <w:b/>
                <w:sz w:val="15"/>
                <w:szCs w:val="15"/>
              </w:rPr>
              <w:t>ICD version</w:t>
            </w:r>
          </w:p>
        </w:tc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CB065">
            <w:pPr>
              <w:spacing w:after="0"/>
              <w:jc w:val="center"/>
            </w:pPr>
            <w:r>
              <w:rPr>
                <w:b/>
                <w:sz w:val="15"/>
                <w:szCs w:val="15"/>
              </w:rPr>
              <w:t>Code pattern or range</w:t>
            </w:r>
          </w:p>
        </w:tc>
        <w:tc>
          <w:tcPr>
            <w:tcW w:w="24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6E511">
            <w:pPr>
              <w:spacing w:after="0"/>
              <w:jc w:val="center"/>
            </w:pPr>
            <w:r>
              <w:rPr>
                <w:b/>
                <w:sz w:val="15"/>
                <w:szCs w:val="15"/>
              </w:rPr>
              <w:t>Description</w:t>
            </w:r>
          </w:p>
        </w:tc>
      </w:tr>
      <w:tr w14:paraId="72CD9ACD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6A51B9">
            <w:pPr>
              <w:spacing w:after="0"/>
            </w:pPr>
            <w:r>
              <w:rPr>
                <w:sz w:val="15"/>
                <w:szCs w:val="15"/>
              </w:rPr>
              <w:t>Traumatic brain injury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6EBC5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B8DB59">
            <w:pPr>
              <w:spacing w:after="0"/>
            </w:pPr>
            <w:r>
              <w:rPr>
                <w:sz w:val="15"/>
                <w:szCs w:val="15"/>
              </w:rPr>
              <w:t>850–854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93845">
            <w:pPr>
              <w:spacing w:after="0"/>
            </w:pPr>
            <w:r>
              <w:rPr>
                <w:sz w:val="15"/>
                <w:szCs w:val="15"/>
              </w:rPr>
              <w:t>Intracranial injury, including concussion, contusion, laceration, and traumatic intracranial hemorrhage</w:t>
            </w:r>
          </w:p>
        </w:tc>
      </w:tr>
      <w:tr w14:paraId="1B7490FA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15695">
            <w:pPr>
              <w:spacing w:after="0"/>
            </w:pPr>
            <w:r>
              <w:rPr>
                <w:sz w:val="15"/>
                <w:szCs w:val="15"/>
              </w:rPr>
              <w:t>Traumatic brain injury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7016C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E7C07">
            <w:pPr>
              <w:spacing w:after="0"/>
            </w:pPr>
            <w:r>
              <w:rPr>
                <w:sz w:val="15"/>
                <w:szCs w:val="15"/>
              </w:rPr>
              <w:t>S06*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77ACE">
            <w:pPr>
              <w:spacing w:after="0"/>
            </w:pPr>
            <w:r>
              <w:rPr>
                <w:sz w:val="15"/>
                <w:szCs w:val="15"/>
              </w:rPr>
              <w:t>Intracranial injury</w:t>
            </w:r>
          </w:p>
        </w:tc>
      </w:tr>
      <w:tr w14:paraId="04C5E576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5797B">
            <w:pPr>
              <w:spacing w:after="0"/>
            </w:pPr>
            <w:r>
              <w:rPr>
                <w:sz w:val="15"/>
                <w:szCs w:val="15"/>
              </w:rPr>
              <w:t>Stroke / cerebrovascular disease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AF0F98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8E83E">
            <w:pPr>
              <w:spacing w:after="0"/>
            </w:pPr>
            <w:r>
              <w:rPr>
                <w:sz w:val="15"/>
                <w:szCs w:val="15"/>
              </w:rPr>
              <w:t>430–439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D02C0">
            <w:pPr>
              <w:spacing w:after="0"/>
            </w:pPr>
            <w:r>
              <w:rPr>
                <w:sz w:val="15"/>
                <w:szCs w:val="15"/>
              </w:rPr>
              <w:t>Cerebrovascular diseases</w:t>
            </w:r>
          </w:p>
        </w:tc>
      </w:tr>
      <w:tr w14:paraId="5B1D8DB8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EE705">
            <w:pPr>
              <w:spacing w:after="0"/>
            </w:pPr>
            <w:r>
              <w:rPr>
                <w:sz w:val="15"/>
                <w:szCs w:val="15"/>
              </w:rPr>
              <w:t>Stroke / cerebrovascular disease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84BB6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9840E">
            <w:pPr>
              <w:spacing w:after="0"/>
            </w:pPr>
            <w:r>
              <w:rPr>
                <w:sz w:val="15"/>
                <w:szCs w:val="15"/>
              </w:rPr>
              <w:t>I60–I69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6A1AE7">
            <w:pPr>
              <w:spacing w:after="0"/>
            </w:pPr>
            <w:r>
              <w:rPr>
                <w:sz w:val="15"/>
                <w:szCs w:val="15"/>
              </w:rPr>
              <w:t>Cerebrovascular diseases</w:t>
            </w:r>
          </w:p>
        </w:tc>
      </w:tr>
      <w:tr w14:paraId="1A4ADF06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331FC">
            <w:pPr>
              <w:spacing w:after="0"/>
            </w:pPr>
            <w:r>
              <w:rPr>
                <w:sz w:val="15"/>
                <w:szCs w:val="15"/>
              </w:rPr>
              <w:t>Intracranial hemorrhage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37FC1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490C4">
            <w:pPr>
              <w:spacing w:after="0"/>
            </w:pPr>
            <w:r>
              <w:rPr>
                <w:sz w:val="15"/>
                <w:szCs w:val="15"/>
              </w:rPr>
              <w:t>431*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9D702">
            <w:pPr>
              <w:spacing w:after="0"/>
            </w:pPr>
            <w:r>
              <w:rPr>
                <w:sz w:val="15"/>
                <w:szCs w:val="15"/>
              </w:rPr>
              <w:t>Intracerebral hemorrhage</w:t>
            </w:r>
          </w:p>
        </w:tc>
      </w:tr>
      <w:tr w14:paraId="47A2AEFD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96B4E">
            <w:pPr>
              <w:spacing w:after="0"/>
            </w:pPr>
            <w:r>
              <w:rPr>
                <w:sz w:val="15"/>
                <w:szCs w:val="15"/>
              </w:rPr>
              <w:t>Intracranial hemorrhage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4A04C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F55EF">
            <w:pPr>
              <w:spacing w:after="0"/>
            </w:pPr>
            <w:r>
              <w:rPr>
                <w:sz w:val="15"/>
                <w:szCs w:val="15"/>
              </w:rPr>
              <w:t>I61*; I62*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90F3F">
            <w:pPr>
              <w:spacing w:after="0"/>
            </w:pPr>
            <w:r>
              <w:rPr>
                <w:sz w:val="15"/>
                <w:szCs w:val="15"/>
              </w:rPr>
              <w:t>Intracerebral and other nontraumatic intracranial hemorrhage</w:t>
            </w:r>
          </w:p>
        </w:tc>
      </w:tr>
      <w:tr w14:paraId="32AC6D4A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C46D9">
            <w:pPr>
              <w:spacing w:after="0"/>
            </w:pPr>
            <w:r>
              <w:rPr>
                <w:sz w:val="15"/>
                <w:szCs w:val="15"/>
              </w:rPr>
              <w:t>Subarachnoid hemorrhage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3FF93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96922">
            <w:pPr>
              <w:spacing w:after="0"/>
            </w:pPr>
            <w:r>
              <w:rPr>
                <w:sz w:val="15"/>
                <w:szCs w:val="15"/>
              </w:rPr>
              <w:t>430*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5AB85">
            <w:pPr>
              <w:spacing w:after="0"/>
            </w:pPr>
            <w:r>
              <w:rPr>
                <w:sz w:val="15"/>
                <w:szCs w:val="15"/>
              </w:rPr>
              <w:t>Subarachnoid hemorrhage</w:t>
            </w:r>
          </w:p>
        </w:tc>
      </w:tr>
      <w:tr w14:paraId="0CC8083A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8D3AF">
            <w:pPr>
              <w:spacing w:after="0"/>
            </w:pPr>
            <w:r>
              <w:rPr>
                <w:sz w:val="15"/>
                <w:szCs w:val="15"/>
              </w:rPr>
              <w:t>Subarachnoid hemorrhage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93AA4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B06145">
            <w:pPr>
              <w:spacing w:after="0"/>
            </w:pPr>
            <w:r>
              <w:rPr>
                <w:sz w:val="15"/>
                <w:szCs w:val="15"/>
              </w:rPr>
              <w:t>I60*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5802D">
            <w:pPr>
              <w:spacing w:after="0"/>
            </w:pPr>
            <w:r>
              <w:rPr>
                <w:sz w:val="15"/>
                <w:szCs w:val="15"/>
              </w:rPr>
              <w:t>Nontraumatic subarachnoid hemorrhage</w:t>
            </w:r>
          </w:p>
        </w:tc>
      </w:tr>
      <w:tr w14:paraId="680DE077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21F07">
            <w:pPr>
              <w:spacing w:after="0"/>
            </w:pPr>
            <w:r>
              <w:rPr>
                <w:sz w:val="15"/>
                <w:szCs w:val="15"/>
              </w:rPr>
              <w:t>Status epilepticus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D4969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C44EE">
            <w:pPr>
              <w:spacing w:after="0"/>
            </w:pPr>
            <w:r>
              <w:rPr>
                <w:sz w:val="15"/>
                <w:szCs w:val="15"/>
              </w:rPr>
              <w:t>345.3*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EDF8F">
            <w:pPr>
              <w:spacing w:after="0"/>
            </w:pPr>
            <w:r>
              <w:rPr>
                <w:sz w:val="15"/>
                <w:szCs w:val="15"/>
              </w:rPr>
              <w:t>Status epilepticus</w:t>
            </w:r>
          </w:p>
        </w:tc>
      </w:tr>
      <w:tr w14:paraId="5B321379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F12AA">
            <w:pPr>
              <w:spacing w:after="0"/>
            </w:pPr>
            <w:r>
              <w:rPr>
                <w:sz w:val="15"/>
                <w:szCs w:val="15"/>
              </w:rPr>
              <w:t>Status epilepticus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B253B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FFC50B">
            <w:pPr>
              <w:spacing w:after="0"/>
            </w:pPr>
            <w:r>
              <w:rPr>
                <w:sz w:val="15"/>
                <w:szCs w:val="15"/>
              </w:rPr>
              <w:t>G41*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41318">
            <w:pPr>
              <w:spacing w:after="0"/>
            </w:pPr>
            <w:r>
              <w:rPr>
                <w:sz w:val="15"/>
                <w:szCs w:val="15"/>
              </w:rPr>
              <w:t>Status epilepticus</w:t>
            </w:r>
          </w:p>
        </w:tc>
      </w:tr>
      <w:tr w14:paraId="65FEEE01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7BF4B">
            <w:pPr>
              <w:spacing w:after="0"/>
            </w:pPr>
            <w:r>
              <w:rPr>
                <w:sz w:val="15"/>
                <w:szCs w:val="15"/>
              </w:rPr>
              <w:t>Anoxic brain damage / SQL-labeled cerebral edema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1BF9C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C5727">
            <w:pPr>
              <w:spacing w:after="0"/>
            </w:pPr>
            <w:r>
              <w:rPr>
                <w:sz w:val="15"/>
                <w:szCs w:val="15"/>
              </w:rPr>
              <w:t>G93.1*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4B6FC7">
            <w:pPr>
              <w:spacing w:after="0"/>
            </w:pPr>
            <w:r>
              <w:rPr>
                <w:sz w:val="15"/>
                <w:szCs w:val="15"/>
              </w:rPr>
              <w:t>Anoxic brain damage, not elsewhere classified; labeled Cerebral_Edema in the extraction SQL</w:t>
            </w:r>
          </w:p>
        </w:tc>
      </w:tr>
      <w:tr w14:paraId="7A1B80F8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138B2">
            <w:pPr>
              <w:spacing w:after="0"/>
            </w:pPr>
            <w:r>
              <w:rPr>
                <w:sz w:val="15"/>
                <w:szCs w:val="15"/>
              </w:rPr>
              <w:t>Cerebral edema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2A405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D6A77">
            <w:pPr>
              <w:spacing w:after="0"/>
            </w:pPr>
            <w:r>
              <w:rPr>
                <w:sz w:val="15"/>
                <w:szCs w:val="15"/>
              </w:rPr>
              <w:t>348.5*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FE74E">
            <w:pPr>
              <w:spacing w:after="0"/>
            </w:pPr>
            <w:r>
              <w:rPr>
                <w:sz w:val="15"/>
                <w:szCs w:val="15"/>
              </w:rPr>
              <w:t>Cerebral edema</w:t>
            </w:r>
          </w:p>
        </w:tc>
      </w:tr>
      <w:tr w14:paraId="77A43BA7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05F04">
            <w:pPr>
              <w:spacing w:after="0"/>
            </w:pPr>
            <w:r>
              <w:rPr>
                <w:sz w:val="15"/>
                <w:szCs w:val="15"/>
              </w:rPr>
              <w:t>Meningitis / encephalitis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02924">
            <w:pPr>
              <w:spacing w:after="0"/>
            </w:pPr>
            <w:r>
              <w:rPr>
                <w:sz w:val="15"/>
                <w:szCs w:val="15"/>
              </w:rPr>
              <w:t>ICD-9-CM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9BF98">
            <w:pPr>
              <w:spacing w:after="0"/>
            </w:pPr>
            <w:r>
              <w:rPr>
                <w:sz w:val="15"/>
                <w:szCs w:val="15"/>
              </w:rPr>
              <w:t>320*; 322*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9022E">
            <w:pPr>
              <w:spacing w:after="0"/>
            </w:pPr>
            <w:r>
              <w:rPr>
                <w:sz w:val="15"/>
                <w:szCs w:val="15"/>
              </w:rPr>
              <w:t>Bacterial meningitis and meningitis of unspecified cause</w:t>
            </w:r>
          </w:p>
        </w:tc>
      </w:tr>
      <w:tr w14:paraId="1E3F8469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57464">
            <w:pPr>
              <w:spacing w:after="0"/>
            </w:pPr>
            <w:r>
              <w:rPr>
                <w:sz w:val="15"/>
                <w:szCs w:val="15"/>
              </w:rPr>
              <w:t>Meningitis / encephalitis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E6BD1">
            <w:pPr>
              <w:spacing w:after="0"/>
            </w:pPr>
            <w:r>
              <w:rPr>
                <w:sz w:val="15"/>
                <w:szCs w:val="15"/>
              </w:rPr>
              <w:t>ICD-10-CM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1CCBB">
            <w:pPr>
              <w:spacing w:after="0"/>
            </w:pPr>
            <w:r>
              <w:rPr>
                <w:sz w:val="15"/>
                <w:szCs w:val="15"/>
              </w:rPr>
              <w:t>G0*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D87AF">
            <w:pPr>
              <w:spacing w:after="0"/>
            </w:pPr>
            <w:r>
              <w:rPr>
                <w:sz w:val="15"/>
                <w:szCs w:val="15"/>
              </w:rPr>
              <w:t>Inflammatory diseases of the central nervous system (G00–G09)</w:t>
            </w:r>
          </w:p>
        </w:tc>
      </w:tr>
      <w:tr w14:paraId="69AE9612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8D808">
            <w:pPr>
              <w:spacing w:after="0"/>
            </w:pPr>
            <w:r>
              <w:rPr>
                <w:sz w:val="15"/>
                <w:szCs w:val="15"/>
              </w:rPr>
              <w:t>Neurosurgical procedure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F77F3">
            <w:pPr>
              <w:spacing w:after="0"/>
            </w:pPr>
            <w:r>
              <w:rPr>
                <w:sz w:val="15"/>
                <w:szCs w:val="15"/>
              </w:rPr>
              <w:t>ICD-9-CM procedure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5B2F8F">
            <w:pPr>
              <w:spacing w:after="0"/>
            </w:pPr>
            <w:r>
              <w:rPr>
                <w:sz w:val="15"/>
                <w:szCs w:val="15"/>
              </w:rPr>
              <w:t>01*; 02*; 03*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51791">
            <w:pPr>
              <w:spacing w:after="0"/>
            </w:pPr>
            <w:r>
              <w:rPr>
                <w:sz w:val="15"/>
                <w:szCs w:val="15"/>
              </w:rPr>
              <w:t>Operations on the nervous system</w:t>
            </w:r>
          </w:p>
        </w:tc>
      </w:tr>
    </w:tbl>
    <w:p w14:paraId="5C738AD5">
      <w:pPr>
        <w:rPr>
          <w:rFonts w:eastAsia="MS Mincho" w:cs="Times New Roman"/>
          <w:szCs w:val="20"/>
        </w:rPr>
      </w:pPr>
      <w:r>
        <w:rPr>
          <w:sz w:val="16"/>
          <w:szCs w:val="16"/>
        </w:rPr>
        <w:t>Patients were identified as neurocritical care patients if they had at least one qualifying diagnosis code (ICD-9-CM or ICD-10-CM) or an ICD-9-CM neurosurgical procedure code (01–03) during the index hospitalization. The asterisk (*) denotes any subcode within the specified category and corresponds to the SQL wildcard %. The stroke/cerebrovascular rows overlap with the intracranial and subarachnoid hemorrhage rows because the extraction query used the broader 43* and I6* patterns. G93.1* denotes anoxic brain damage and was labeled Cerebral_Edema in the original extraction SQL; the label does not change the code actually used for subgroup inclusion.</w:t>
      </w:r>
    </w:p>
    <w:p w14:paraId="580CD93A">
      <w:r>
        <w:rPr>
          <w:b/>
        </w:rPr>
        <w:t>Table S3. Univariable Fine–Gray Associations Between Prespecified Covariates and 28-Day Mortality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948"/>
        <w:gridCol w:w="1701"/>
      </w:tblGrid>
      <w:tr w14:paraId="0DF10B3F">
        <w:trPr>
          <w:tblHeader/>
          <w:jc w:val="center"/>
        </w:trPr>
        <w:tc>
          <w:tcPr>
            <w:tcW w:w="3969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CF6AC">
            <w:pPr>
              <w:spacing w:after="0"/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2948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EE4DD">
            <w:pPr>
              <w:spacing w:after="0"/>
              <w:jc w:val="center"/>
            </w:pPr>
            <w:r>
              <w:rPr>
                <w:b/>
                <w:sz w:val="18"/>
              </w:rPr>
              <w:t>sHR (95% CI)</w:t>
            </w:r>
          </w:p>
        </w:tc>
        <w:tc>
          <w:tcPr>
            <w:tcW w:w="170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42F79">
            <w:pPr>
              <w:spacing w:after="0"/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14:paraId="072D2762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552C0">
            <w:pPr>
              <w:spacing w:after="0"/>
            </w:pPr>
            <w:r>
              <w:rPr>
                <w:sz w:val="18"/>
              </w:rPr>
              <w:t>Age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D5FC4">
            <w:pPr>
              <w:spacing w:after="0"/>
              <w:jc w:val="center"/>
            </w:pPr>
            <w:r>
              <w:rPr>
                <w:sz w:val="18"/>
              </w:rPr>
              <w:t>1.024 (1.021–1.027)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10EDD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  <w:tr w14:paraId="6BA7CA4C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B2DD9">
            <w:pPr>
              <w:spacing w:after="0"/>
            </w:pPr>
            <w:r>
              <w:rPr>
                <w:sz w:val="18"/>
              </w:rPr>
              <w:t>SOFA score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560E68">
            <w:pPr>
              <w:spacing w:after="0"/>
              <w:jc w:val="center"/>
            </w:pPr>
            <w:r>
              <w:rPr>
                <w:sz w:val="18"/>
              </w:rPr>
              <w:t>1.129 (1.118–1.140)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55E38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  <w:tr w14:paraId="495A560C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59C7C">
            <w:pPr>
              <w:spacing w:after="0"/>
            </w:pPr>
            <w:r>
              <w:rPr>
                <w:sz w:val="18"/>
              </w:rPr>
              <w:t>Charlson Comorbidity Index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35DEC5">
            <w:pPr>
              <w:spacing w:after="0"/>
              <w:jc w:val="center"/>
            </w:pPr>
            <w:r>
              <w:rPr>
                <w:sz w:val="18"/>
              </w:rPr>
              <w:t>1.144 (1.129–1.160)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6B3B4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  <w:tr w14:paraId="480BBB60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4F033">
            <w:pPr>
              <w:spacing w:after="0"/>
            </w:pPr>
            <w:r>
              <w:rPr>
                <w:sz w:val="18"/>
              </w:rPr>
              <w:t>Creatinine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5EF60">
            <w:pPr>
              <w:spacing w:after="0"/>
              <w:jc w:val="center"/>
            </w:pPr>
            <w:r>
              <w:rPr>
                <w:sz w:val="18"/>
              </w:rPr>
              <w:t>1.178 (1.147–1.209)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53512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  <w:tr w14:paraId="3B2F8063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6F267">
            <w:pPr>
              <w:spacing w:after="0"/>
            </w:pPr>
            <w:r>
              <w:rPr>
                <w:sz w:val="18"/>
              </w:rPr>
              <w:t>Hemoglobin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06684">
            <w:pPr>
              <w:spacing w:after="0"/>
              <w:jc w:val="center"/>
            </w:pPr>
            <w:r>
              <w:rPr>
                <w:sz w:val="18"/>
              </w:rPr>
              <w:t>0.863 (0.842–0.885)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6EDDC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  <w:tr w14:paraId="37A901AB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425E1">
            <w:pPr>
              <w:spacing w:after="0"/>
            </w:pPr>
            <w:r>
              <w:rPr>
                <w:sz w:val="18"/>
              </w:rPr>
              <w:t>Vasopressor use</w:t>
            </w:r>
          </w:p>
        </w:tc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B8D59">
            <w:pPr>
              <w:spacing w:after="0"/>
              <w:jc w:val="center"/>
            </w:pPr>
            <w:r>
              <w:rPr>
                <w:sz w:val="18"/>
              </w:rPr>
              <w:t>1.683 (1.535–1.846)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552DE6">
            <w:pPr>
              <w:spacing w:after="0"/>
              <w:jc w:val="center"/>
            </w:pPr>
            <w:r>
              <w:rPr>
                <w:sz w:val="18"/>
              </w:rPr>
              <w:t>&lt;0.001</w:t>
            </w:r>
          </w:p>
        </w:tc>
      </w:tr>
    </w:tbl>
    <w:p w14:paraId="18FBE409">
      <w:pPr>
        <w:spacing w:before="60" w:after="80" w:line="240" w:lineRule="auto"/>
      </w:pPr>
      <w:r>
        <w:rPr>
          <w:sz w:val="16"/>
        </w:rPr>
        <w:t>CI, confidence interval; sHR, subdistribution hazard ratio; SOFA, Sequential Organ Failure Assessment. Estimates are reported per one-unit increase for continuous variables and for vasopressor use versus no use.</w:t>
      </w:r>
    </w:p>
    <w:p w14:paraId="7B9E32D0">
      <w:pPr>
        <w:spacing w:before="60" w:after="80" w:line="240" w:lineRule="auto"/>
      </w:pPr>
      <w:r>
        <w:rPr>
          <w:b/>
        </w:rPr>
        <w:t>Table S4. Variance Inflation Factors for Prespecified Covariates in the Overall Cohort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1417"/>
        <w:gridCol w:w="1701"/>
        <w:gridCol w:w="1531"/>
      </w:tblGrid>
      <w:tr w14:paraId="158B0140">
        <w:trPr>
          <w:tblHeader/>
          <w:jc w:val="center"/>
        </w:trPr>
        <w:tc>
          <w:tcPr>
            <w:tcW w:w="3969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6BCD6">
            <w:pPr>
              <w:spacing w:after="0"/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1417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CEE79">
            <w:pPr>
              <w:spacing w:after="0"/>
              <w:jc w:val="center"/>
            </w:pPr>
            <w:r>
              <w:rPr>
                <w:b/>
                <w:sz w:val="18"/>
              </w:rPr>
              <w:t>VIF</w:t>
            </w:r>
          </w:p>
        </w:tc>
        <w:tc>
          <w:tcPr>
            <w:tcW w:w="170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F76B7F">
            <w:pPr>
              <w:spacing w:after="0"/>
              <w:jc w:val="center"/>
            </w:pPr>
            <w:r>
              <w:rPr>
                <w:b/>
                <w:sz w:val="18"/>
              </w:rPr>
              <w:t>Threshold</w:t>
            </w:r>
          </w:p>
        </w:tc>
        <w:tc>
          <w:tcPr>
            <w:tcW w:w="153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07958">
            <w:pPr>
              <w:spacing w:after="0"/>
              <w:jc w:val="center"/>
            </w:pPr>
            <w:r>
              <w:rPr>
                <w:b/>
                <w:sz w:val="18"/>
              </w:rPr>
              <w:t>Result</w:t>
            </w:r>
          </w:p>
        </w:tc>
      </w:tr>
      <w:tr w14:paraId="745EFC8C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12F67">
            <w:pPr>
              <w:spacing w:after="0"/>
            </w:pPr>
            <w:r>
              <w:rPr>
                <w:sz w:val="18"/>
              </w:rPr>
              <w:t>Age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99709">
            <w:pPr>
              <w:spacing w:after="0"/>
              <w:jc w:val="center"/>
            </w:pPr>
            <w:r>
              <w:rPr>
                <w:sz w:val="18"/>
              </w:rPr>
              <w:t>1.65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C1625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44584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  <w:tr w14:paraId="214556B8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D04677">
            <w:pPr>
              <w:spacing w:after="0"/>
            </w:pPr>
            <w:r>
              <w:rPr>
                <w:sz w:val="18"/>
              </w:rPr>
              <w:t>SOFA score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23FF5">
            <w:pPr>
              <w:spacing w:after="0"/>
              <w:jc w:val="center"/>
            </w:pPr>
            <w:r>
              <w:rPr>
                <w:sz w:val="18"/>
              </w:rPr>
              <w:t>1.85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BAE8C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2A843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  <w:tr w14:paraId="1A653869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4C7AA">
            <w:pPr>
              <w:spacing w:after="0"/>
            </w:pPr>
            <w:r>
              <w:rPr>
                <w:sz w:val="18"/>
              </w:rPr>
              <w:t>Charlson Comorbidity Index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89255">
            <w:pPr>
              <w:spacing w:after="0"/>
              <w:jc w:val="center"/>
            </w:pPr>
            <w:r>
              <w:rPr>
                <w:sz w:val="18"/>
              </w:rPr>
              <w:t>1.77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FA37A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956DF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  <w:tr w14:paraId="36B3ED79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1E05A">
            <w:pPr>
              <w:spacing w:after="0"/>
            </w:pPr>
            <w:r>
              <w:rPr>
                <w:sz w:val="18"/>
              </w:rPr>
              <w:t>Creatinine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C4362">
            <w:pPr>
              <w:spacing w:after="0"/>
              <w:jc w:val="center"/>
            </w:pPr>
            <w:r>
              <w:rPr>
                <w:sz w:val="18"/>
              </w:rPr>
              <w:t>1.36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CF777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A590F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  <w:tr w14:paraId="63A1CF22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1C229">
            <w:pPr>
              <w:spacing w:after="0"/>
            </w:pPr>
            <w:r>
              <w:rPr>
                <w:sz w:val="18"/>
              </w:rPr>
              <w:t>Hemoglobin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FD96F">
            <w:pPr>
              <w:spacing w:after="0"/>
              <w:jc w:val="center"/>
            </w:pPr>
            <w:r>
              <w:rPr>
                <w:sz w:val="18"/>
              </w:rPr>
              <w:t>1.2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BBF5F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8EDD8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  <w:tr w14:paraId="399DB3AB">
        <w:trPr>
          <w:cantSplit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5D07E">
            <w:pPr>
              <w:spacing w:after="0"/>
            </w:pPr>
            <w:r>
              <w:rPr>
                <w:sz w:val="18"/>
              </w:rPr>
              <w:t>Vasopressor use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0683A">
            <w:pPr>
              <w:spacing w:after="0"/>
              <w:jc w:val="center"/>
            </w:pPr>
            <w:r>
              <w:rPr>
                <w:sz w:val="18"/>
              </w:rPr>
              <w:t>1.44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F0ECE">
            <w:pPr>
              <w:spacing w:after="0"/>
              <w:jc w:val="center"/>
            </w:pPr>
            <w:r>
              <w:rPr>
                <w:sz w:val="18"/>
              </w:rPr>
              <w:t>&lt; 5.00</w:t>
            </w:r>
          </w:p>
        </w:tc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E4737">
            <w:pPr>
              <w:spacing w:after="0"/>
              <w:jc w:val="center"/>
            </w:pPr>
            <w:r>
              <w:rPr>
                <w:sz w:val="18"/>
              </w:rPr>
              <w:t>Pass</w:t>
            </w:r>
          </w:p>
        </w:tc>
      </w:tr>
    </w:tbl>
    <w:p w14:paraId="7648B94B">
      <w:pPr>
        <w:spacing w:before="60" w:after="80" w:line="240" w:lineRule="auto"/>
      </w:pPr>
      <w:r>
        <w:rPr>
          <w:sz w:val="16"/>
        </w:rPr>
        <w:t>VIF, variance inflation factor. A VIF &lt;5.0 was considered acceptable.</w:t>
      </w:r>
    </w:p>
    <w:p w14:paraId="2FD82A82">
      <w:r>
        <w:br w:type="page"/>
      </w:r>
      <w:r>
        <w:rPr>
          <w:b/>
        </w:rPr>
        <w:t>Table S5. Linearity Assessment for the Fine–Gray Models in the Overall Cohort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2665"/>
        <w:gridCol w:w="1984"/>
        <w:gridCol w:w="1247"/>
        <w:gridCol w:w="2211"/>
      </w:tblGrid>
      <w:tr w14:paraId="085F0614">
        <w:trPr>
          <w:tblHeader/>
          <w:jc w:val="center"/>
        </w:trPr>
        <w:tc>
          <w:tcPr>
            <w:tcW w:w="153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26C6B">
            <w:pPr>
              <w:spacing w:after="0"/>
              <w:jc w:val="center"/>
            </w:pPr>
            <w:r>
              <w:rPr>
                <w:b/>
                <w:sz w:val="16"/>
              </w:rPr>
              <w:t>Term type</w:t>
            </w:r>
          </w:p>
        </w:tc>
        <w:tc>
          <w:tcPr>
            <w:tcW w:w="2665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076C01">
            <w:pPr>
              <w:spacing w:after="0"/>
              <w:jc w:val="center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98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B017FC">
            <w:pPr>
              <w:spacing w:after="0"/>
              <w:jc w:val="center"/>
            </w:pPr>
            <w:r>
              <w:rPr>
                <w:b/>
                <w:sz w:val="16"/>
              </w:rPr>
              <w:t>Quadratic-term sHR</w:t>
            </w:r>
          </w:p>
        </w:tc>
        <w:tc>
          <w:tcPr>
            <w:tcW w:w="1247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DB0F7">
            <w:pPr>
              <w:spacing w:after="0"/>
              <w:jc w:val="center"/>
            </w:pPr>
            <w:r>
              <w:rPr>
                <w:b/>
                <w:sz w:val="16"/>
              </w:rPr>
              <w:t>P value</w:t>
            </w:r>
          </w:p>
        </w:tc>
        <w:tc>
          <w:tcPr>
            <w:tcW w:w="221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B52EBB">
            <w:pPr>
              <w:spacing w:after="0"/>
              <w:jc w:val="center"/>
            </w:pPr>
            <w:r>
              <w:rPr>
                <w:b/>
                <w:sz w:val="16"/>
              </w:rPr>
              <w:t>Linearity assumption</w:t>
            </w:r>
          </w:p>
        </w:tc>
      </w:tr>
      <w:tr w14:paraId="2FFDE419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058D6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1A266E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&lt;125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6DB6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0.9999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5CC4A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0.549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52083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408B755E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70665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2C60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125-130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1AA54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83EBB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0.836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A189C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4731ABB0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AA3BA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5EFC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130-135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18719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76AC9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0.615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AE41F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2B27FA91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A8FA4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B71F9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135-140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03E2C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50857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0.616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69AFF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5CE04453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3D12C7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8C278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140-145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87105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1.0001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81EF7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0.021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3EF0D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Violated</w:t>
            </w:r>
          </w:p>
        </w:tc>
      </w:tr>
      <w:tr w14:paraId="660A98D4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E9449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62A05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145-150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4E6C80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11432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0.533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E10C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5A98E0CD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13A82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3E45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150-155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4F225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0.9997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20BE4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0.008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A7BF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Violated</w:t>
            </w:r>
          </w:p>
        </w:tc>
      </w:tr>
      <w:tr w14:paraId="0302A46D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1437B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6E35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≥155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FBA66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0.9999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B04BA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0.423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F8872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67687C8D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09945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19CFC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Age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2DDBE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1.0002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17795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0.005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DDC84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Violated</w:t>
            </w:r>
          </w:p>
        </w:tc>
      </w:tr>
      <w:tr w14:paraId="7801F4F8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6BDAA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A6E7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SOFA score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8E28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0.9997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2D143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0.813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6C4F2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55D2AE9F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A3831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A7012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Charlson Comorbidity Index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476FF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0.9973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CFABB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0.249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9790C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7468F846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BCC65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9FB07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Creatinine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7408F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0.9836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D895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0.134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99B5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  <w:tr w14:paraId="0D190AF4">
        <w:trPr>
          <w:cantSplit/>
          <w:jc w:val="center"/>
        </w:trPr>
        <w:tc>
          <w:tcPr>
            <w:tcW w:w="15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0F1EC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75C2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Hemoglobin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C4F51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1.0025</w:t>
            </w: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004A5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0.65</w:t>
            </w:r>
          </w:p>
        </w:tc>
        <w:tc>
          <w:tcPr>
            <w:tcW w:w="2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74DFE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Satisfied</w:t>
            </w:r>
          </w:p>
        </w:tc>
      </w:tr>
    </w:tbl>
    <w:p w14:paraId="6EA499A6">
      <w:pPr>
        <w:spacing w:before="60" w:after="80" w:line="240" w:lineRule="auto"/>
        <w:rPr>
          <w:rFonts w:ascii="Arial" w:hAnsi="Arial"/>
          <w:sz w:val="16"/>
        </w:rPr>
        <w:sectPr>
          <w:pgSz w:w="11906" w:h="16838"/>
          <w:pgMar w:top="1080" w:right="1152" w:bottom="1080" w:left="1152" w:header="720" w:footer="720" w:gutter="0"/>
          <w:cols w:space="720" w:num="1"/>
          <w:docGrid w:linePitch="360" w:charSpace="0"/>
        </w:sectPr>
      </w:pPr>
      <w:r>
        <w:rPr>
          <w:rFonts w:hint="eastAsia"/>
          <w:sz w:val="16"/>
        </w:rPr>
        <w:t>Linearity was evaluated by adding a quadratic term to the fully adjusted Fine–Gray model. A P value &lt;0.05 for the quadratic term was interpreted as evidence against linearity. RCS sensitivity analyses were therefore performed for the 140–145 and 150–155 mmol/L serum sodium concentration time-proportion variables, and age was modeled using RCS in the multivariable analyses. RCS, restricted cubic spline; sHR, subdistribution hazard ratio.</w:t>
      </w:r>
      <w:r>
        <w:rPr>
          <w:rFonts w:ascii="Arial" w:hAnsi="Arial"/>
          <w:sz w:val="16"/>
        </w:rPr>
        <w:t xml:space="preserve"> </w:t>
      </w:r>
    </w:p>
    <w:p w14:paraId="2D71200E">
      <w:pPr>
        <w:keepNext/>
        <w:spacing w:before="200" w:after="100"/>
        <w:rPr>
          <w:b/>
        </w:rPr>
      </w:pPr>
      <w:r>
        <w:rPr>
          <w:b/>
        </w:rPr>
        <w:t>Table S6. Time-Varying Coefficient Tests of the Fine–Gray Proportional Subdistribution Hazards Assumption</w:t>
      </w:r>
    </w:p>
    <w:tbl>
      <w:tblPr>
        <w:tblW w:w="133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3024"/>
        <w:gridCol w:w="1680"/>
        <w:gridCol w:w="1680"/>
        <w:gridCol w:w="3654"/>
        <w:gridCol w:w="1680"/>
      </w:tblGrid>
      <w:tr w14:paraId="06AB9FE9">
        <w:trPr>
          <w:trHeight w:val="981" w:hRule="atLeast"/>
          <w:jc w:val="center"/>
        </w:trPr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2D2A90A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Serum sodium concentration range (mmol/L)</w:t>
            </w:r>
          </w:p>
        </w:tc>
        <w:tc>
          <w:tcPr>
            <w:tcW w:w="3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48BF460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Model term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DF34CE9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Time-interaction coefficient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CAE4FE6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P value</w:t>
            </w:r>
          </w:p>
        </w:tc>
        <w:tc>
          <w:tcPr>
            <w:tcW w:w="36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432F1A2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Interpretation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D59F57D">
            <w:pPr>
              <w:spacing w:after="0"/>
              <w:jc w:val="center"/>
              <w:rPr>
                <w:rFonts w:hint="default" w:ascii="Arial Bold" w:hAnsi="Arial Bold" w:cs="Arial Bold"/>
                <w:b/>
                <w:bCs/>
                <w:sz w:val="14"/>
              </w:rPr>
            </w:pPr>
            <w:r>
              <w:rPr>
                <w:rFonts w:hint="default" w:ascii="Arial Bold" w:hAnsi="Arial Bold" w:cs="Arial Bold"/>
                <w:b/>
                <w:bCs/>
                <w:sz w:val="14"/>
                <w:lang w:val="en-US" w:eastAsia="zh-CN"/>
              </w:rPr>
              <w:t>Global P value</w:t>
            </w:r>
          </w:p>
        </w:tc>
      </w:tr>
      <w:tr w14:paraId="19B39CAB">
        <w:trPr>
          <w:trHeight w:val="3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3F802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D56C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&lt;125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7AB4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-0.01427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C0FB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0.296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55F01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9B3E0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0.013</w:t>
            </w:r>
          </w:p>
        </w:tc>
      </w:tr>
      <w:tr w14:paraId="61B1045F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7B28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5873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1E5F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0978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8B838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B44E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A9B004C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F012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0549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FD99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181DB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1B7CB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3115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1B90D62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CF9AF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BA9F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7A7F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0B99A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555AB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B30E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16E57023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6F5BC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0D27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6D9D2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3C5E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BD199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4BEA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50C940F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48F5E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D15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21FC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192F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B05E1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6BAD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14687D4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E8CCF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CAF9E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77713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E5427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523AD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60F2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BE80EDA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C446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&lt;125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274F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BCB9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-0.23253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E67FF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FEF8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5D116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BCCA0B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871EC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B64B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1CDC6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6B02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D945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1645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0.022</w:t>
            </w:r>
          </w:p>
        </w:tc>
      </w:tr>
      <w:tr w14:paraId="1F70194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2C025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FE8F8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398C0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92F5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093C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74C7A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62DE8A9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1573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113E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087C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AB55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4919E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316E3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0B1ECA9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4A98F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6AF21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832C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28F3C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A97B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E3FA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226420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F915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95B39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6FA6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71931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1F197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DEB06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4549FD8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C3E8E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2E4D5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7FB7B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69FD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D4C32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3A6A7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5503F2A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7E9FE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56CE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4FCF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D7EDC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0A1D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E691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9BC983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B7AA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125–130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C3636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FB64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-0.23516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CB9E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62E8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3E5B6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51D0DEB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9DC29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212C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D619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5025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082D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387A9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0.025</w:t>
            </w:r>
          </w:p>
        </w:tc>
      </w:tr>
      <w:tr w14:paraId="413CDB38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622B1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314B1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4B4A9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16C63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CA0FA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16E3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329721B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65A2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B152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2C2C8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167DD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754C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48A4E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384CF5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E158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6FD79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E9B0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ECC4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8312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3CB0C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326D6E4A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96E2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DCDF0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9E4B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6C33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13F97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92D3C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2E8D4B8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36E74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2257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5AEF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2DAC6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09A9F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393D5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76B4E3F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8ED3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8E91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97F4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6DDE1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0912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21FE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2573478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4680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130–135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C635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34C6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-0.23049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C14D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93DC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9BD44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1D1F8A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B7435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A984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EBFF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8724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D574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FE2E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0.019</w:t>
            </w:r>
          </w:p>
        </w:tc>
      </w:tr>
      <w:tr w14:paraId="0CB8A8B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FFCDC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E50E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2D4D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4E1F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A66D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7E2E1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B50E12E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59AE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47A8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1984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2B716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0B2C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741F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36EB89A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50C3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9D79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78E85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E340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BA798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0FAB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6620E3F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5917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C6D7B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E95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D453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F8AD1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E5F83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096228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EB0A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7D42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27E8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19ADA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99071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E5E9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6094604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AF3F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4A76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9D720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5F537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7E91E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DBD9B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3EA7F4A9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BF80C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135–140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E486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7DD71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-0.23614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68D1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08AEE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389FC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EBCF624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C043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30D3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1703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F29A9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F8EF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DBB5F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0.025</w:t>
            </w:r>
          </w:p>
        </w:tc>
      </w:tr>
      <w:tr w14:paraId="76CBEDE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988F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0E678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A74C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F7DC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10B4C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295B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16B4A69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DF446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7AAA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F76D1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B05D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C967A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EC42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51E0B42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7E907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ABE1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2B9E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1F98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6392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C6F1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5693E0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B690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F23BA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AF0A3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8240B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F48C7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17378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15CA85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365F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5A486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9926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B1458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F0BD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B8FF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178260A8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40D9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408D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0CE1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D52D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D3268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C3AB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8C3DFB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D532D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140–145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26F79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A512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-0.23113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3D1ED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F230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F684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3578B18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E198A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045C4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0381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4C84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75D7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FF2DB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0.018</w:t>
            </w:r>
          </w:p>
        </w:tc>
      </w:tr>
      <w:tr w14:paraId="20F10D53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D74A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4773E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1037F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DBD18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70AC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C0A77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766A5E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C2E7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83337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43A6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F5C1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1AE22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054C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2112C5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26E1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3AB94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B8213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37809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C8868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B2F68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30C8F25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323FE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60B3C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23325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0CFB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1C3C6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1930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66402AC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9D911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D31D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C5AE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CCD6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5D36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FCCAF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E217FE2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140A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07F60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BB30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195F2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EB0E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C32C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269D64D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15E8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145–150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8AF28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24A0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-0.22808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81CB7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5467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9185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99033CE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F469F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885E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A803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71D2D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39DD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97556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0.014</w:t>
            </w:r>
          </w:p>
        </w:tc>
      </w:tr>
      <w:tr w14:paraId="684FCB05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DAC54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FECF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DAC67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2A95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80889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2CF2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722EB4C2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9F7CD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66EF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6D21C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6EF3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F65BA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CFB79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0DCF1CE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B58A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2A7FE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DFB8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F535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31109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2EE77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0B9C1CC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298FF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CC856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26EA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6C0F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8E58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53FB7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2BAB549D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9AC80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905A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014CC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887D9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38F30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EBF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6931930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C295C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C48C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10B31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-0.08024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08AF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6FCA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9AE3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681558C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2AC13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150–155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0B1A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3CF1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7E5A6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75E7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161B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2BA248E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4DE8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3D5D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Time proportion: 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00B20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5AFA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188E17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C56D3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0.014</w:t>
            </w:r>
          </w:p>
        </w:tc>
      </w:tr>
      <w:tr w14:paraId="4A587E37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5E52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3803D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C5620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B27B62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93AD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7526F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78423BE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D3CF9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2E94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Age RCS basis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68F1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-0.00946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AADC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EDF5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754A3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550CB08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6F9D0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0A82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Charlson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B3D5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0.01942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AF0B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3927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EA4A4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6FD82AF6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CF889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CD65C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2FD0B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BE14D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17A2C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837B5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34C49693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F3E4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D04F4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Creatinine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9053CB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-0.02794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7C96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65ECE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8EF63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11A6FB9C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875C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DF100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Hemoglobin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CCD83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-0.0767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52C88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1DAEE1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41F3C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  <w:tr w14:paraId="46706491">
        <w:trPr>
          <w:trHeight w:val="356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24847A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≥155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893B14F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28FEB2A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-0.2436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7B869B6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A6FD67D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  <w:r>
              <w:rPr>
                <w:rFonts w:hint="eastAsia" w:ascii="Arial" w:hAnsi="Arial"/>
                <w:sz w:val="14"/>
                <w:lang w:val="en-US" w:eastAsia="zh-CN"/>
              </w:rPr>
              <w:t>No evidence of non-proportionality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532AD9C">
            <w:pPr>
              <w:spacing w:after="0"/>
              <w:jc w:val="center"/>
              <w:rPr>
                <w:rFonts w:hint="eastAsia" w:ascii="Arial" w:hAnsi="Arial"/>
                <w:sz w:val="14"/>
              </w:rPr>
            </w:pPr>
          </w:p>
        </w:tc>
      </w:tr>
    </w:tbl>
    <w:p w14:paraId="36228A71">
      <w:pPr>
        <w:spacing w:before="60" w:after="80" w:line="240" w:lineRule="auto"/>
        <w:rPr>
          <w:sz w:val="16"/>
        </w:rPr>
      </w:pPr>
      <w:r>
        <w:rPr>
          <w:rFonts w:hint="eastAsia"/>
          <w:sz w:val="16"/>
        </w:rPr>
        <w:t>The proportional subdistribution hazards assumption was assessed by testing interactions between each model term and log(time) in the fully adjusted Fine–Gray models. All serum sodium concentration time-proportion terms showed no evidence of non-proportionality (P = 0.256–0.969). Mild time dependence was observed for hemoglobin, and the global tests were statistically significant in all eight models. Global P values represent joint tests across all model terms. RCS, restricted cubic spline; SOFA, Sequential Organ Failure Assessment.</w:t>
      </w:r>
    </w:p>
    <w:p w14:paraId="046A1B70">
      <w:pPr>
        <w:spacing w:before="60" w:after="80" w:line="240" w:lineRule="auto"/>
        <w:rPr>
          <w:sz w:val="16"/>
        </w:rPr>
      </w:pPr>
    </w:p>
    <w:p w14:paraId="4EEEA899">
      <w:pPr>
        <w:spacing w:before="60" w:after="80" w:line="240" w:lineRule="auto"/>
        <w:rPr>
          <w:sz w:val="16"/>
        </w:rPr>
      </w:pPr>
    </w:p>
    <w:p w14:paraId="62B4934F">
      <w:pPr>
        <w:spacing w:before="60" w:after="80" w:line="240" w:lineRule="auto"/>
        <w:rPr>
          <w:sz w:val="16"/>
        </w:rPr>
        <w:sectPr>
          <w:pgSz w:w="16838" w:h="11906" w:orient="landscape"/>
          <w:pgMar w:top="936" w:right="936" w:bottom="936" w:left="936" w:header="720" w:footer="720" w:gutter="0"/>
          <w:cols w:space="720" w:num="1"/>
          <w:docGrid w:linePitch="360" w:charSpace="0"/>
        </w:sectPr>
      </w:pPr>
      <w:bookmarkStart w:id="0" w:name="_GoBack"/>
      <w:bookmarkEnd w:id="0"/>
    </w:p>
    <w:p w14:paraId="7EE595F9">
      <w:pPr>
        <w:keepNext/>
        <w:spacing w:before="200" w:after="100"/>
      </w:pPr>
      <w:r>
        <w:rPr>
          <w:b/>
        </w:rPr>
        <w:t>Table S7. Sensitivity Analysis Excluding Patients with ESRD or Renal Replacement Therapy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438"/>
        <w:gridCol w:w="1134"/>
        <w:gridCol w:w="2438"/>
        <w:gridCol w:w="1134"/>
      </w:tblGrid>
      <w:tr w14:paraId="7B520A74">
        <w:trPr>
          <w:tblHeader/>
          <w:jc w:val="center"/>
        </w:trPr>
        <w:tc>
          <w:tcPr>
            <w:tcW w:w="181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259A1">
            <w:pPr>
              <w:spacing w:after="0"/>
              <w:jc w:val="center"/>
            </w:pPr>
            <w:r>
              <w:rPr>
                <w:rFonts w:hint="eastAsia"/>
                <w:b/>
                <w:sz w:val="16"/>
              </w:rPr>
              <w:t xml:space="preserve">Serum sodium concentration range </w:t>
            </w:r>
            <w:r>
              <w:rPr>
                <w:b/>
                <w:sz w:val="16"/>
              </w:rPr>
              <w:t>(mmol/L)</w:t>
            </w:r>
          </w:p>
        </w:tc>
        <w:tc>
          <w:tcPr>
            <w:tcW w:w="2438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40ED1A">
            <w:pPr>
              <w:spacing w:after="0"/>
              <w:jc w:val="center"/>
            </w:pPr>
            <w:r>
              <w:rPr>
                <w:b/>
                <w:sz w:val="16"/>
              </w:rPr>
              <w:t>Overall cohort sHR (95% CI)</w:t>
            </w:r>
          </w:p>
        </w:tc>
        <w:tc>
          <w:tcPr>
            <w:tcW w:w="113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71D82">
            <w:pPr>
              <w:spacing w:after="0"/>
              <w:jc w:val="center"/>
            </w:pPr>
            <w:r>
              <w:rPr>
                <w:b/>
                <w:sz w:val="16"/>
              </w:rPr>
              <w:t>P value</w:t>
            </w:r>
          </w:p>
        </w:tc>
        <w:tc>
          <w:tcPr>
            <w:tcW w:w="2438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03DB0">
            <w:pPr>
              <w:spacing w:after="0"/>
              <w:jc w:val="center"/>
            </w:pPr>
            <w:r>
              <w:rPr>
                <w:b/>
                <w:sz w:val="16"/>
              </w:rPr>
              <w:t>After exclusion sHR (95% CI)</w:t>
            </w:r>
          </w:p>
        </w:tc>
        <w:tc>
          <w:tcPr>
            <w:tcW w:w="1134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36C04">
            <w:pPr>
              <w:spacing w:after="0"/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14:paraId="6FAB495F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1AC0C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&lt;125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C14B6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1.016 (1.006 - 1.026)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419D2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0.002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37449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1.016 (1.006-1.027)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681B2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0.002</w:t>
            </w:r>
          </w:p>
        </w:tc>
      </w:tr>
      <w:tr w14:paraId="26B4B7AE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CE69D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125-130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F691E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1.008 (1.004 - 1.011)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A3ADE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F53234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1.007 (1.003-1.012)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86607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</w:tr>
      <w:tr w14:paraId="70E99F7B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8E795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130-135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ABE02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1.003 (1.000 - 1.005)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24D81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0.017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81750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1.002 (1.000-1.004)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C5DF6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0.032</w:t>
            </w:r>
          </w:p>
        </w:tc>
      </w:tr>
      <w:tr w14:paraId="58689E0F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C8CDA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135-140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2AB0F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0.996 (0.994 - 0.997)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7846C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784849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0.996 (0.994-0.997)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95799E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</w:tr>
      <w:tr w14:paraId="3C93678F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A6297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140-145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C8856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0.996 (0.994 - 0.998)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690E3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EBB49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0.996 (0.994-0.998)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62F67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</w:tr>
      <w:tr w14:paraId="538F06F4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51639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145-150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A8365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1.003 (1.001 - 1.005)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C6500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0.015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48394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1.002 (1.000-1.004)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D763A5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0.04</w:t>
            </w:r>
          </w:p>
        </w:tc>
      </w:tr>
      <w:tr w14:paraId="2FB5E01C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99ABC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150-155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B0C30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1.013 (1.009 - 1.018)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62BB20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E2229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1.013 (1.009-1.017)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3DBD91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</w:tr>
      <w:tr w14:paraId="4ACE2BD7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D14417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≥155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DD42F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1.021 (1.017 - 1.026)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881DA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  <w:tc>
          <w:tcPr>
            <w:tcW w:w="243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3BEDFC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1.021 (1.016-1.026)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F42AE">
            <w:pPr>
              <w:spacing w:after="0"/>
              <w:jc w:val="center"/>
              <w:rPr>
                <w:rFonts w:ascii="Arial" w:hAnsi="Arial"/>
                <w:sz w:val="16"/>
              </w:rPr>
            </w:pPr>
            <w:r>
              <w:rPr>
                <w:rFonts w:hint="eastAsia" w:ascii="Arial" w:hAnsi="Arial"/>
                <w:sz w:val="16"/>
                <w:lang w:val="en-US" w:eastAsia="zh-CN"/>
              </w:rPr>
              <w:t>&lt;0.001</w:t>
            </w:r>
          </w:p>
        </w:tc>
      </w:tr>
    </w:tbl>
    <w:p w14:paraId="3E7C9C31">
      <w:pPr>
        <w:spacing w:before="60" w:after="80" w:line="240" w:lineRule="auto"/>
      </w:pPr>
      <w:r>
        <w:rPr>
          <w:sz w:val="16"/>
        </w:rPr>
        <w:t xml:space="preserve">The sensitivity cohort excluded patients with ESRD (ICD-9-CM 585.6 or ICD-10-CM N18.6) or documented renal replacement therapy during the index ICU admission. Estimates are from fully adjusted Fine–Gray Model 4 and are reported per 1-percentage-point increase in the proportion of monitored time spent within the </w:t>
      </w:r>
      <w:r>
        <w:rPr>
          <w:rFonts w:hint="eastAsia"/>
          <w:sz w:val="16"/>
        </w:rPr>
        <w:t>corresponding serum sodium concentration range</w:t>
      </w:r>
      <w:r>
        <w:rPr>
          <w:sz w:val="16"/>
        </w:rPr>
        <w:t>. CI, confidence interval; ESRD, end-stage renal disease; sHR, subdistribution hazard ratio.</w:t>
      </w:r>
    </w:p>
    <w:p w14:paraId="613AF413">
      <w:pPr>
        <w:spacing w:before="60" w:after="80" w:line="240" w:lineRule="auto"/>
        <w:jc w:val="both"/>
        <w:rPr>
          <w:b/>
        </w:rPr>
      </w:pPr>
    </w:p>
    <w:p w14:paraId="62DFE78D">
      <w:pPr>
        <w:spacing w:before="60" w:after="80" w:line="240" w:lineRule="auto"/>
        <w:jc w:val="both"/>
      </w:pPr>
      <w:r>
        <w:rPr>
          <w:b/>
        </w:rPr>
        <w:t>Table S8. Linearity Assessment for the Fine–Gray Models in the Neurocritical Care Subgroup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402"/>
        <w:gridCol w:w="1871"/>
        <w:gridCol w:w="2098"/>
      </w:tblGrid>
      <w:tr w14:paraId="30108E21">
        <w:trPr>
          <w:tblHeader/>
          <w:jc w:val="center"/>
        </w:trPr>
        <w:tc>
          <w:tcPr>
            <w:tcW w:w="170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A12CB">
            <w:pPr>
              <w:spacing w:after="0"/>
              <w:jc w:val="center"/>
            </w:pPr>
            <w:r>
              <w:rPr>
                <w:b/>
                <w:sz w:val="16"/>
              </w:rPr>
              <w:t>Term type</w:t>
            </w:r>
          </w:p>
        </w:tc>
        <w:tc>
          <w:tcPr>
            <w:tcW w:w="3402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90D55">
            <w:pPr>
              <w:spacing w:after="0"/>
              <w:jc w:val="center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871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A1561">
            <w:pPr>
              <w:spacing w:after="0"/>
              <w:jc w:val="center"/>
            </w:pPr>
            <w:r>
              <w:rPr>
                <w:b/>
                <w:sz w:val="16"/>
              </w:rPr>
              <w:t>P value for quadratic term</w:t>
            </w:r>
          </w:p>
        </w:tc>
        <w:tc>
          <w:tcPr>
            <w:tcW w:w="2098" w:type="dxa"/>
            <w:tcBorders>
              <w:bottom w:val="single" w:color="000000" w:sz="8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889AA">
            <w:pPr>
              <w:spacing w:after="0"/>
              <w:jc w:val="center"/>
            </w:pPr>
            <w:r>
              <w:rPr>
                <w:b/>
                <w:sz w:val="16"/>
              </w:rPr>
              <w:t>Linearity assumption</w:t>
            </w:r>
          </w:p>
        </w:tc>
      </w:tr>
      <w:tr w14:paraId="0ACB8429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18541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E9757">
            <w:pPr>
              <w:spacing w:after="0"/>
            </w:pPr>
            <w:r>
              <w:rPr>
                <w:sz w:val="16"/>
              </w:rPr>
              <w:t>&lt;125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DE0554">
            <w:pPr>
              <w:spacing w:after="0"/>
              <w:jc w:val="center"/>
            </w:pPr>
            <w:r>
              <w:rPr>
                <w:sz w:val="16"/>
              </w:rPr>
              <w:t>0.310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DDB8F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509EDA75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8D721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71A63">
            <w:pPr>
              <w:spacing w:after="0"/>
            </w:pPr>
            <w:r>
              <w:rPr>
                <w:sz w:val="16"/>
              </w:rPr>
              <w:t>125-130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59FE4">
            <w:pPr>
              <w:spacing w:after="0"/>
              <w:jc w:val="center"/>
            </w:pPr>
            <w:r>
              <w:rPr>
                <w:sz w:val="16"/>
              </w:rPr>
              <w:t>0.434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EC1F8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1B45B9F8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5A7A99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46415">
            <w:pPr>
              <w:spacing w:after="0"/>
            </w:pPr>
            <w:r>
              <w:rPr>
                <w:sz w:val="16"/>
              </w:rPr>
              <w:t>130-135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5541B">
            <w:pPr>
              <w:spacing w:after="0"/>
              <w:jc w:val="center"/>
            </w:pPr>
            <w:r>
              <w:rPr>
                <w:sz w:val="16"/>
              </w:rPr>
              <w:t>0.778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04DDD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52D46012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30366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1FFF4">
            <w:pPr>
              <w:spacing w:after="0"/>
            </w:pPr>
            <w:r>
              <w:rPr>
                <w:sz w:val="16"/>
              </w:rPr>
              <w:t>135-140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4A93E">
            <w:pPr>
              <w:spacing w:after="0"/>
              <w:jc w:val="center"/>
            </w:pPr>
            <w:r>
              <w:rPr>
                <w:sz w:val="16"/>
              </w:rPr>
              <w:t>0.812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32FFC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14E60E8A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466A9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093421">
            <w:pPr>
              <w:spacing w:after="0"/>
            </w:pPr>
            <w:r>
              <w:rPr>
                <w:sz w:val="16"/>
              </w:rPr>
              <w:t>140-145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831BD">
            <w:pPr>
              <w:spacing w:after="0"/>
              <w:jc w:val="center"/>
            </w:pPr>
            <w:r>
              <w:rPr>
                <w:sz w:val="16"/>
              </w:rPr>
              <w:t>0.114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5CDB6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282015F2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21084B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6DC06">
            <w:pPr>
              <w:spacing w:after="0"/>
            </w:pPr>
            <w:r>
              <w:rPr>
                <w:sz w:val="16"/>
              </w:rPr>
              <w:t>145-150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2C2BF6">
            <w:pPr>
              <w:spacing w:after="0"/>
              <w:jc w:val="center"/>
            </w:pPr>
            <w:r>
              <w:rPr>
                <w:sz w:val="16"/>
              </w:rPr>
              <w:t>0.320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15818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5AA3070C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5E960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B5F7B">
            <w:pPr>
              <w:spacing w:after="0"/>
            </w:pPr>
            <w:r>
              <w:rPr>
                <w:sz w:val="16"/>
              </w:rPr>
              <w:t>150-155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D6CE4">
            <w:pPr>
              <w:spacing w:after="0"/>
              <w:jc w:val="center"/>
            </w:pPr>
            <w:r>
              <w:rPr>
                <w:sz w:val="16"/>
              </w:rPr>
              <w:t>0.080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CA44A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44BF46A3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59241">
            <w:pPr>
              <w:spacing w:after="0"/>
            </w:pPr>
            <w:r>
              <w:rPr>
                <w:sz w:val="16"/>
              </w:rPr>
              <w:t>Exposure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9C7FE">
            <w:pPr>
              <w:spacing w:after="0"/>
            </w:pPr>
            <w:r>
              <w:rPr>
                <w:sz w:val="16"/>
              </w:rPr>
              <w:t>≥155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BAF9B">
            <w:pPr>
              <w:spacing w:after="0"/>
              <w:jc w:val="center"/>
            </w:pPr>
            <w:r>
              <w:rPr>
                <w:sz w:val="16"/>
              </w:rPr>
              <w:t>0.409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C842B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2236BA12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4CCA0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300B8">
            <w:pPr>
              <w:spacing w:after="0"/>
            </w:pPr>
            <w:r>
              <w:rPr>
                <w:sz w:val="16"/>
              </w:rPr>
              <w:t>Age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81E8E4">
            <w:pPr>
              <w:spacing w:after="0"/>
              <w:jc w:val="center"/>
            </w:pPr>
            <w:r>
              <w:rPr>
                <w:sz w:val="16"/>
              </w:rPr>
              <w:t>0.149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0C49E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5194D199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67534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3C7AF">
            <w:pPr>
              <w:spacing w:after="0"/>
            </w:pPr>
            <w:r>
              <w:rPr>
                <w:sz w:val="16"/>
              </w:rPr>
              <w:t>Charlson Comorbidity Index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AD781">
            <w:pPr>
              <w:spacing w:after="0"/>
              <w:jc w:val="center"/>
            </w:pPr>
            <w:r>
              <w:rPr>
                <w:sz w:val="16"/>
              </w:rPr>
              <w:t>0.236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C8FC6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558E6005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43658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C69C54">
            <w:pPr>
              <w:spacing w:after="0"/>
            </w:pPr>
            <w:r>
              <w:rPr>
                <w:sz w:val="16"/>
              </w:rPr>
              <w:t>SOFA score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7CBB84">
            <w:pPr>
              <w:spacing w:after="0"/>
              <w:jc w:val="center"/>
            </w:pPr>
            <w:r>
              <w:rPr>
                <w:sz w:val="16"/>
              </w:rPr>
              <w:t>0.508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016632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  <w:tr w14:paraId="1CF5CA99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52595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322AA">
            <w:pPr>
              <w:spacing w:after="0"/>
            </w:pPr>
            <w:r>
              <w:rPr>
                <w:sz w:val="16"/>
              </w:rPr>
              <w:t>Creatinine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76CB4">
            <w:pPr>
              <w:spacing w:after="0"/>
              <w:jc w:val="center"/>
            </w:pPr>
            <w:r>
              <w:rPr>
                <w:sz w:val="16"/>
              </w:rPr>
              <w:t>0.019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6F6B27">
            <w:pPr>
              <w:spacing w:after="0"/>
              <w:jc w:val="center"/>
            </w:pPr>
            <w:r>
              <w:rPr>
                <w:sz w:val="16"/>
              </w:rPr>
              <w:t>Violated</w:t>
            </w:r>
          </w:p>
        </w:tc>
      </w:tr>
      <w:tr w14:paraId="6785B6C8">
        <w:trPr>
          <w:cantSplit/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41EB2">
            <w:pPr>
              <w:spacing w:after="0"/>
            </w:pPr>
            <w:r>
              <w:rPr>
                <w:sz w:val="16"/>
              </w:rPr>
              <w:t>Covariate</w:t>
            </w:r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37ADD">
            <w:pPr>
              <w:spacing w:after="0"/>
            </w:pPr>
            <w:r>
              <w:rPr>
                <w:sz w:val="16"/>
              </w:rPr>
              <w:t>Hemoglobin</w:t>
            </w:r>
          </w:p>
        </w:tc>
        <w:tc>
          <w:tcPr>
            <w:tcW w:w="187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6DBA3B">
            <w:pPr>
              <w:spacing w:after="0"/>
              <w:jc w:val="center"/>
            </w:pPr>
            <w:r>
              <w:rPr>
                <w:sz w:val="16"/>
              </w:rPr>
              <w:t>0.457</w:t>
            </w:r>
          </w:p>
        </w:tc>
        <w:tc>
          <w:tcPr>
            <w:tcW w:w="209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E30ED3">
            <w:pPr>
              <w:spacing w:after="0"/>
              <w:jc w:val="center"/>
            </w:pPr>
            <w:r>
              <w:rPr>
                <w:sz w:val="16"/>
              </w:rPr>
              <w:t>Satisfied</w:t>
            </w:r>
          </w:p>
        </w:tc>
      </w:tr>
    </w:tbl>
    <w:p w14:paraId="4C9B1965">
      <w:pPr>
        <w:spacing w:before="60" w:after="80" w:line="240" w:lineRule="auto"/>
      </w:pPr>
      <w:r>
        <w:rPr>
          <w:sz w:val="16"/>
        </w:rPr>
        <w:t xml:space="preserve">Linearity was evaluated by adding a quadratic term to the fully adjusted Fine–Gray model. </w:t>
      </w:r>
      <w:r>
        <w:rPr>
          <w:rFonts w:hint="eastAsia"/>
          <w:sz w:val="16"/>
        </w:rPr>
        <w:t>All eight serum sodium concentration time-proportion variables satisfied the linearity assumption.</w:t>
      </w:r>
      <w:r>
        <w:rPr>
          <w:sz w:val="16"/>
        </w:rPr>
        <w:t xml:space="preserve"> Creatinine showed evidence against linearity and was modeled using RCS in the neurocritical care analysis. RCS, restricted cubic spline.</w:t>
      </w:r>
    </w:p>
    <w:p w14:paraId="6E00DD2D">
      <w:r>
        <w:br w:type="page"/>
      </w:r>
      <w:r>
        <w:rPr>
          <w:b/>
        </w:rPr>
        <w:t>Figure S1. Patient Selection Flowchart for the Neurocritical Care Subgroup</w:t>
      </w:r>
    </w:p>
    <w:p w14:paraId="5B478F0F">
      <w:pPr>
        <w:spacing w:after="80"/>
        <w:jc w:val="center"/>
      </w:pPr>
      <w:r>
        <w:drawing>
          <wp:inline distT="0" distB="0" distL="0" distR="0">
            <wp:extent cx="4480560" cy="4985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98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5B2E7">
      <w:pPr>
        <w:spacing w:before="60" w:after="80" w:line="240" w:lineRule="auto"/>
      </w:pPr>
      <w:r>
        <w:rPr>
          <w:sz w:val="16"/>
        </w:rPr>
        <w:t>ICU, intensive care unit; MIMIC, Medical Information Mart for Intensive Care.</w:t>
      </w:r>
    </w:p>
    <w:p w14:paraId="535CFD4B">
      <w:r>
        <w:br w:type="page"/>
      </w:r>
      <w:r>
        <w:rPr>
          <w:rFonts w:hint="eastAsia"/>
          <w:b/>
        </w:rPr>
        <w:t>Figure S2. Restricted Cubic Spline Sensitivity Analysis for Nonlinear Serum Sodium Concentration Time-Proportion Variables</w:t>
      </w:r>
    </w:p>
    <w:p w14:paraId="3927FD44">
      <w:pPr>
        <w:spacing w:after="80"/>
        <w:jc w:val="center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089650" cy="3653790"/>
            <wp:effectExtent l="0" t="0" r="6350" b="3810"/>
            <wp:docPr id="2" name="图片 2" descr="FigureS2_FG_RCS_Nonlinear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_FG_RCS_Nonlinearity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DE298">
      <w:pPr>
        <w:spacing w:before="60" w:after="80" w:line="240" w:lineRule="auto"/>
        <w:rPr>
          <w:sz w:val="16"/>
        </w:rPr>
      </w:pPr>
      <w:r>
        <w:rPr>
          <w:rFonts w:hint="eastAsia"/>
          <w:sz w:val="16"/>
        </w:rPr>
        <w:t>Restricted cubic spline curves from fully adjusted Fine–Gray Model 4 for the 140–145 and 150–155 mmol/L serum sodium concentration ranges. The reference was 0% of monitored time within the corresponding serum sodium concentration range. Solid lines indicate estimated sHRs, and shaded areas indicate 95% confidence intervals. RCS, restricted cubic spline; sHR, subdistribution hazard ratio.</w:t>
      </w:r>
    </w:p>
    <w:sectPr>
      <w:pgSz w:w="11906" w:h="16838"/>
      <w:pgMar w:top="1080" w:right="1152" w:bottom="1080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0B3"/>
    <w:rsid w:val="00034616"/>
    <w:rsid w:val="0006063C"/>
    <w:rsid w:val="0015074B"/>
    <w:rsid w:val="0029639D"/>
    <w:rsid w:val="00326F90"/>
    <w:rsid w:val="00462D06"/>
    <w:rsid w:val="00827309"/>
    <w:rsid w:val="00843B12"/>
    <w:rsid w:val="009C6057"/>
    <w:rsid w:val="00AA1D8D"/>
    <w:rsid w:val="00B47730"/>
    <w:rsid w:val="00C5780E"/>
    <w:rsid w:val="00CB0664"/>
    <w:rsid w:val="00D81FF6"/>
    <w:rsid w:val="00E921F7"/>
    <w:rsid w:val="00FC693F"/>
    <w:rsid w:val="776F5BB2"/>
    <w:rsid w:val="FF97482C"/>
    <w:rsid w:val="FFFDF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1886</Words>
  <Characters>10753</Characters>
  <Lines>89</Lines>
  <Paragraphs>25</Paragraphs>
  <TotalTime>35</TotalTime>
  <ScaleCrop>false</ScaleCrop>
  <LinksUpToDate>false</LinksUpToDate>
  <CharactersWithSpaces>12614</CharactersWithSpaces>
  <Application>WPS Office_12.1.22522.22522_F1E327BC-269C-435d-A152-05C5408002CA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2026-08-04T01:46:00Z</dcterms:created>
  <dc:creator>python-docx</dc:creator>
  <dc:description>generated by python-docx</dc:description>
  <cp:lastModifiedBy>yummy</cp:lastModifiedBy>
  <dcterms:modified xsi:type="dcterms:W3CDTF">2026-09-05T11:49:40Z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2052-12.1.22522.22522</vt:lpwstr>
  </property>
  <property fmtid="{D5CDD505-2E9C-101B-9397-08002B2CF9AE}" pid="3" name="ICV">
    <vt:lpwstr>1C670582F93E227E9919756A12958310_42</vt:lpwstr>
  </property>
</Properties>
</file>