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1416" w:rsidRPr="002B0354" w:rsidRDefault="00C51416" w:rsidP="00C51416">
      <w:pPr>
        <w:pStyle w:val="Nessunaspaziatura"/>
        <w:rPr>
          <w:b/>
          <w:bCs/>
          <w:lang w:val="en-GB"/>
        </w:rPr>
      </w:pPr>
      <w:r w:rsidRPr="002B0354">
        <w:rPr>
          <w:b/>
          <w:bCs/>
          <w:lang w:val="en-GB"/>
        </w:rPr>
        <w:t xml:space="preserve">The pathogen </w:t>
      </w:r>
      <w:r w:rsidRPr="002B0354">
        <w:rPr>
          <w:b/>
          <w:bCs/>
          <w:i/>
          <w:iCs/>
          <w:lang w:val="en-GB"/>
        </w:rPr>
        <w:t xml:space="preserve">Borrelia burgdorferi </w:t>
      </w:r>
      <w:proofErr w:type="spellStart"/>
      <w:r w:rsidRPr="002B0354">
        <w:rPr>
          <w:b/>
          <w:bCs/>
          <w:i/>
          <w:iCs/>
          <w:lang w:val="en-GB"/>
        </w:rPr>
        <w:t>sensu</w:t>
      </w:r>
      <w:proofErr w:type="spellEnd"/>
      <w:r w:rsidRPr="002B0354">
        <w:rPr>
          <w:b/>
          <w:bCs/>
          <w:i/>
          <w:iCs/>
          <w:lang w:val="en-GB"/>
        </w:rPr>
        <w:t xml:space="preserve"> </w:t>
      </w:r>
      <w:proofErr w:type="spellStart"/>
      <w:r w:rsidRPr="002B0354">
        <w:rPr>
          <w:b/>
          <w:bCs/>
          <w:i/>
          <w:iCs/>
          <w:lang w:val="en-GB"/>
        </w:rPr>
        <w:t>lato</w:t>
      </w:r>
      <w:proofErr w:type="spellEnd"/>
      <w:r w:rsidRPr="002B0354">
        <w:rPr>
          <w:b/>
          <w:bCs/>
          <w:i/>
          <w:iCs/>
          <w:lang w:val="en-GB"/>
        </w:rPr>
        <w:t xml:space="preserve"> (</w:t>
      </w:r>
      <w:proofErr w:type="spellStart"/>
      <w:r w:rsidRPr="00F258BF">
        <w:rPr>
          <w:b/>
          <w:bCs/>
          <w:lang w:val="en-GB"/>
        </w:rPr>
        <w:t>s.l</w:t>
      </w:r>
      <w:r w:rsidRPr="00ED6468">
        <w:rPr>
          <w:b/>
          <w:bCs/>
          <w:i/>
          <w:iCs/>
          <w:lang w:val="en-GB"/>
        </w:rPr>
        <w:t>.</w:t>
      </w:r>
      <w:proofErr w:type="spellEnd"/>
      <w:r w:rsidRPr="002B0354">
        <w:rPr>
          <w:b/>
          <w:bCs/>
          <w:i/>
          <w:iCs/>
          <w:lang w:val="en-GB"/>
        </w:rPr>
        <w:t>)</w:t>
      </w:r>
      <w:r w:rsidRPr="002B0354">
        <w:rPr>
          <w:b/>
          <w:bCs/>
          <w:lang w:val="en-GB"/>
        </w:rPr>
        <w:t xml:space="preserve"> influences the desiccation resistance of </w:t>
      </w:r>
      <w:r w:rsidRPr="007124BC">
        <w:rPr>
          <w:b/>
          <w:bCs/>
          <w:i/>
          <w:iCs/>
          <w:lang w:val="en-GB"/>
        </w:rPr>
        <w:t>Ixodes ricinus</w:t>
      </w:r>
      <w:r>
        <w:rPr>
          <w:b/>
          <w:bCs/>
          <w:lang w:val="en-GB"/>
        </w:rPr>
        <w:t xml:space="preserve"> nymphs</w:t>
      </w:r>
      <w:r w:rsidRPr="002B0354">
        <w:rPr>
          <w:b/>
          <w:bCs/>
          <w:lang w:val="en-GB"/>
        </w:rPr>
        <w:t xml:space="preserve"> potentially enhancing its vector role</w:t>
      </w:r>
    </w:p>
    <w:p w:rsidR="00B675DE" w:rsidRPr="00130D3E" w:rsidRDefault="00B675DE" w:rsidP="00B675DE">
      <w:pPr>
        <w:pStyle w:val="Nessunaspaziatura"/>
        <w:rPr>
          <w:lang w:val="en-GB"/>
        </w:rPr>
      </w:pPr>
    </w:p>
    <w:p w:rsidR="00B675DE" w:rsidRPr="00130D3E" w:rsidRDefault="00B675DE" w:rsidP="00B675DE">
      <w:pPr>
        <w:pStyle w:val="Nessunaspaziatura"/>
        <w:rPr>
          <w:vertAlign w:val="superscript"/>
        </w:rPr>
      </w:pPr>
      <w:r w:rsidRPr="00130D3E">
        <w:t>Frizzera D.</w:t>
      </w:r>
      <w:r w:rsidRPr="00130D3E">
        <w:rPr>
          <w:vertAlign w:val="superscript"/>
        </w:rPr>
        <w:t>1</w:t>
      </w:r>
      <w:r w:rsidRPr="00130D3E">
        <w:t>, Del Fabbro S.</w:t>
      </w:r>
      <w:r w:rsidRPr="00130D3E">
        <w:rPr>
          <w:vertAlign w:val="superscript"/>
        </w:rPr>
        <w:t xml:space="preserve"> 1</w:t>
      </w:r>
      <w:r w:rsidRPr="00130D3E">
        <w:t>, Caracciolo I.</w:t>
      </w:r>
      <w:r w:rsidRPr="00130D3E">
        <w:rPr>
          <w:vertAlign w:val="superscript"/>
        </w:rPr>
        <w:t xml:space="preserve"> 2</w:t>
      </w:r>
      <w:r w:rsidRPr="00130D3E">
        <w:t xml:space="preserve">, </w:t>
      </w:r>
      <w:proofErr w:type="spellStart"/>
      <w:r w:rsidRPr="00130D3E">
        <w:t>Bortolomeazzi</w:t>
      </w:r>
      <w:proofErr w:type="spellEnd"/>
      <w:r w:rsidRPr="00130D3E">
        <w:t xml:space="preserve"> R.</w:t>
      </w:r>
      <w:r w:rsidRPr="00130D3E">
        <w:rPr>
          <w:vertAlign w:val="superscript"/>
        </w:rPr>
        <w:t xml:space="preserve"> 1</w:t>
      </w:r>
      <w:r w:rsidRPr="00130D3E">
        <w:t xml:space="preserve">, </w:t>
      </w:r>
      <w:proofErr w:type="spellStart"/>
      <w:r w:rsidRPr="00130D3E">
        <w:t>Trifonova</w:t>
      </w:r>
      <w:proofErr w:type="spellEnd"/>
      <w:r w:rsidRPr="00130D3E">
        <w:t xml:space="preserve"> T.</w:t>
      </w:r>
      <w:r w:rsidRPr="00130D3E">
        <w:rPr>
          <w:vertAlign w:val="superscript"/>
        </w:rPr>
        <w:t xml:space="preserve"> 1</w:t>
      </w:r>
      <w:r w:rsidRPr="00130D3E">
        <w:t>, Zanni V.</w:t>
      </w:r>
      <w:r w:rsidRPr="00130D3E">
        <w:rPr>
          <w:vertAlign w:val="superscript"/>
        </w:rPr>
        <w:t xml:space="preserve"> 1</w:t>
      </w:r>
      <w:r w:rsidRPr="00130D3E">
        <w:t>, Annoscia D.</w:t>
      </w:r>
      <w:r w:rsidRPr="00130D3E">
        <w:rPr>
          <w:vertAlign w:val="superscript"/>
        </w:rPr>
        <w:t xml:space="preserve"> 1</w:t>
      </w:r>
      <w:r w:rsidRPr="00130D3E">
        <w:t>, Nazzi F.</w:t>
      </w:r>
      <w:r w:rsidRPr="00130D3E">
        <w:rPr>
          <w:vertAlign w:val="superscript"/>
        </w:rPr>
        <w:t>1</w:t>
      </w:r>
      <w:r>
        <w:rPr>
          <w:vertAlign w:val="superscript"/>
        </w:rPr>
        <w:t>*</w:t>
      </w:r>
    </w:p>
    <w:p w:rsidR="00B675DE" w:rsidRPr="00130D3E" w:rsidRDefault="00B675DE" w:rsidP="00B675DE">
      <w:pPr>
        <w:pStyle w:val="Nessunaspaziatura"/>
        <w:rPr>
          <w:vertAlign w:val="superscript"/>
        </w:rPr>
      </w:pPr>
    </w:p>
    <w:p w:rsidR="00B675DE" w:rsidRPr="00130D3E" w:rsidRDefault="00B675DE" w:rsidP="00B675DE">
      <w:pPr>
        <w:pStyle w:val="Nessunaspaziatura"/>
      </w:pPr>
      <w:r w:rsidRPr="00130D3E">
        <w:rPr>
          <w:vertAlign w:val="superscript"/>
        </w:rPr>
        <w:t xml:space="preserve">1 </w:t>
      </w:r>
      <w:r w:rsidRPr="00130D3E">
        <w:t xml:space="preserve">Dipartimento di Scienze </w:t>
      </w:r>
      <w:proofErr w:type="spellStart"/>
      <w:r w:rsidRPr="00130D3E">
        <w:t>AgroAlimentari</w:t>
      </w:r>
      <w:proofErr w:type="spellEnd"/>
      <w:r w:rsidRPr="00130D3E">
        <w:t xml:space="preserve">, Ambientali e Animali, Università degli studi di Udine, Udine, </w:t>
      </w:r>
      <w:proofErr w:type="spellStart"/>
      <w:r w:rsidRPr="00130D3E">
        <w:t>Italy</w:t>
      </w:r>
      <w:proofErr w:type="spellEnd"/>
    </w:p>
    <w:p w:rsidR="00B675DE" w:rsidRPr="00296B7B" w:rsidRDefault="00B675DE" w:rsidP="00B675DE">
      <w:pPr>
        <w:pStyle w:val="Nessunaspaziatura"/>
        <w:rPr>
          <w:lang w:val="en-GB"/>
        </w:rPr>
      </w:pPr>
      <w:r w:rsidRPr="006250B8">
        <w:rPr>
          <w:vertAlign w:val="superscript"/>
          <w:lang w:val="en-US"/>
        </w:rPr>
        <w:t xml:space="preserve">2 </w:t>
      </w:r>
      <w:r w:rsidR="00296B7B" w:rsidRPr="00DD6E89">
        <w:rPr>
          <w:lang w:val="en-GB"/>
        </w:rPr>
        <w:t>Department of Medical, Surgical and Health Sciences, University of Trieste, Italy</w:t>
      </w:r>
    </w:p>
    <w:p w:rsidR="00B675DE" w:rsidRPr="006250B8" w:rsidRDefault="00B675DE" w:rsidP="00B675DE">
      <w:pPr>
        <w:pStyle w:val="Nessunaspaziatura"/>
        <w:rPr>
          <w:lang w:val="en-US"/>
        </w:rPr>
      </w:pPr>
    </w:p>
    <w:p w:rsidR="00B675DE" w:rsidRPr="0054356E" w:rsidRDefault="00B675DE" w:rsidP="00B675DE">
      <w:pPr>
        <w:pStyle w:val="Nessunaspaziatura"/>
        <w:rPr>
          <w:b/>
          <w:bCs/>
          <w:lang w:val="en-GB"/>
        </w:rPr>
      </w:pPr>
      <w:r>
        <w:rPr>
          <w:b/>
          <w:bCs/>
          <w:lang w:val="en-GB"/>
        </w:rPr>
        <w:t xml:space="preserve">* </w:t>
      </w:r>
      <w:r w:rsidRPr="0054356E">
        <w:rPr>
          <w:b/>
          <w:bCs/>
          <w:lang w:val="en-GB"/>
        </w:rPr>
        <w:t>Corresponding Author</w:t>
      </w:r>
      <w:r>
        <w:rPr>
          <w:b/>
          <w:bCs/>
          <w:lang w:val="en-GB"/>
        </w:rPr>
        <w:t xml:space="preserve"> </w:t>
      </w:r>
    </w:p>
    <w:p w:rsidR="00B675DE" w:rsidRPr="0054356E" w:rsidRDefault="00B675DE" w:rsidP="00B675DE">
      <w:pPr>
        <w:pStyle w:val="Nessunaspaziatura"/>
        <w:rPr>
          <w:lang w:val="en-GB"/>
        </w:rPr>
      </w:pPr>
      <w:r>
        <w:rPr>
          <w:lang w:val="en-GB"/>
        </w:rPr>
        <w:t>francesco.nazzi@uniud.it</w:t>
      </w:r>
    </w:p>
    <w:p w:rsidR="00DB2548" w:rsidRDefault="00DB2548" w:rsidP="00302E1C">
      <w:r>
        <w:t xml:space="preserve">  </w:t>
      </w:r>
    </w:p>
    <w:p w:rsidR="00D679C2" w:rsidRDefault="00D679C2" w:rsidP="00302E1C"/>
    <w:p w:rsidR="00AD3945" w:rsidRDefault="00AD3945" w:rsidP="00302E1C"/>
    <w:p w:rsidR="00AD3945" w:rsidRDefault="0054269C" w:rsidP="00302E1C">
      <w:r>
        <w:rPr>
          <w:noProof/>
        </w:rPr>
        <w:drawing>
          <wp:inline distT="0" distB="0" distL="0" distR="0">
            <wp:extent cx="5252720" cy="4399721"/>
            <wp:effectExtent l="0" t="0" r="5080" b="0"/>
            <wp:docPr id="19136831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83181" name="Immagine 1913683181"/>
                    <pic:cNvPicPr/>
                  </pic:nvPicPr>
                  <pic:blipFill rotWithShape="1">
                    <a:blip r:embed="rId4">
                      <a:extLst>
                        <a:ext uri="{28A0092B-C50C-407E-A947-70E740481C1C}">
                          <a14:useLocalDpi xmlns:a14="http://schemas.microsoft.com/office/drawing/2010/main" val="0"/>
                        </a:ext>
                      </a:extLst>
                    </a:blip>
                    <a:srcRect l="20336" r="12513"/>
                    <a:stretch/>
                  </pic:blipFill>
                  <pic:spPr bwMode="auto">
                    <a:xfrm>
                      <a:off x="0" y="0"/>
                      <a:ext cx="5265234" cy="4410203"/>
                    </a:xfrm>
                    <a:prstGeom prst="rect">
                      <a:avLst/>
                    </a:prstGeom>
                    <a:ln>
                      <a:noFill/>
                    </a:ln>
                    <a:extLst>
                      <a:ext uri="{53640926-AAD7-44D8-BBD7-CCE9431645EC}">
                        <a14:shadowObscured xmlns:a14="http://schemas.microsoft.com/office/drawing/2010/main"/>
                      </a:ext>
                    </a:extLst>
                  </pic:spPr>
                </pic:pic>
              </a:graphicData>
            </a:graphic>
          </wp:inline>
        </w:drawing>
      </w:r>
    </w:p>
    <w:p w:rsidR="00AD3945" w:rsidRDefault="00AD3945" w:rsidP="00AD3945">
      <w:pPr>
        <w:jc w:val="both"/>
      </w:pPr>
      <w:r w:rsidRPr="00220DCA">
        <w:rPr>
          <w:b/>
          <w:bCs/>
          <w:lang w:val="en-GB"/>
        </w:rPr>
        <w:t>Figure S</w:t>
      </w:r>
      <w:r>
        <w:rPr>
          <w:b/>
          <w:bCs/>
          <w:lang w:val="en-GB"/>
        </w:rPr>
        <w:t>1</w:t>
      </w:r>
      <w:r w:rsidRPr="00220DCA">
        <w:rPr>
          <w:lang w:val="en-GB"/>
        </w:rPr>
        <w:t xml:space="preserve">. </w:t>
      </w:r>
      <w:r>
        <w:rPr>
          <w:lang w:val="en-GB"/>
        </w:rPr>
        <w:t>Experimental arena used for the bioassay. A</w:t>
      </w:r>
      <w:r w:rsidRPr="00AD3945">
        <w:rPr>
          <w:lang w:val="en-GB"/>
        </w:rPr>
        <w:t xml:space="preserve"> 30 cm glass rod (5 mm diameter) held upright inside a 33 cm high, 18 cm diameter polypropylene cylinder, open at the top and resting on an 18 cm diameter glass Petri dish</w:t>
      </w:r>
      <w:r>
        <w:rPr>
          <w:lang w:val="en-GB"/>
        </w:rPr>
        <w:t xml:space="preserve">. </w:t>
      </w:r>
      <w:r w:rsidRPr="00AD3945">
        <w:rPr>
          <w:lang w:val="en-GB"/>
        </w:rPr>
        <w:t>The rod was inserted into a central hole in a cylindrical polytetrafluoroethylene (PTFE) support, 2 cm high, placed at the centre of the Petri dish; the support both held the rod upright and raised the starting point of the tick above the water surface. The Petri dish was filled with distilled water and lined with water-saturated cotton wool, which maintained saturation at the base of the arena, while the open top allowed exchange with room air. This generated a stable vertical humidity gradient, from 100% RH at the base to 50% RH at the top of the rod.</w:t>
      </w:r>
    </w:p>
    <w:p w:rsidR="00D679C2" w:rsidRDefault="00CE3CED" w:rsidP="00302E1C">
      <w:r w:rsidRPr="00CE3CED">
        <w:rPr>
          <w:noProof/>
        </w:rPr>
        <w:lastRenderedPageBreak/>
        <w:drawing>
          <wp:inline distT="0" distB="0" distL="0" distR="0" wp14:anchorId="67841CE0" wp14:editId="029812B4">
            <wp:extent cx="6120130" cy="2946400"/>
            <wp:effectExtent l="0" t="0" r="1270" b="0"/>
            <wp:docPr id="11586341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34107" name=""/>
                    <pic:cNvPicPr/>
                  </pic:nvPicPr>
                  <pic:blipFill>
                    <a:blip r:embed="rId5"/>
                    <a:stretch>
                      <a:fillRect/>
                    </a:stretch>
                  </pic:blipFill>
                  <pic:spPr>
                    <a:xfrm>
                      <a:off x="0" y="0"/>
                      <a:ext cx="6120130" cy="2946400"/>
                    </a:xfrm>
                    <a:prstGeom prst="rect">
                      <a:avLst/>
                    </a:prstGeom>
                  </pic:spPr>
                </pic:pic>
              </a:graphicData>
            </a:graphic>
          </wp:inline>
        </w:drawing>
      </w:r>
    </w:p>
    <w:p w:rsidR="00D679C2" w:rsidRDefault="00D679C2" w:rsidP="00302E1C"/>
    <w:p w:rsidR="00D679C2" w:rsidRPr="00220DCA" w:rsidRDefault="00D679C2" w:rsidP="00302E1C">
      <w:pPr>
        <w:rPr>
          <w:lang w:val="en-GB"/>
        </w:rPr>
      </w:pPr>
      <w:r w:rsidRPr="00220DCA">
        <w:rPr>
          <w:b/>
          <w:bCs/>
          <w:lang w:val="en-GB"/>
        </w:rPr>
        <w:t>Figure S</w:t>
      </w:r>
      <w:r w:rsidR="00AD3945">
        <w:rPr>
          <w:b/>
          <w:bCs/>
          <w:lang w:val="en-GB"/>
        </w:rPr>
        <w:t>2</w:t>
      </w:r>
      <w:r w:rsidRPr="00220DCA">
        <w:rPr>
          <w:lang w:val="en-GB"/>
        </w:rPr>
        <w:t xml:space="preserve">. Effect of </w:t>
      </w:r>
      <w:r w:rsidRPr="00220DCA">
        <w:rPr>
          <w:i/>
          <w:iCs/>
          <w:lang w:val="en-GB"/>
        </w:rPr>
        <w:t>B. burgdorferi</w:t>
      </w:r>
      <w:r w:rsidRPr="00220DCA">
        <w:rPr>
          <w:lang w:val="en-GB"/>
        </w:rPr>
        <w:t xml:space="preserve"> </w:t>
      </w:r>
      <w:proofErr w:type="spellStart"/>
      <w:r w:rsidRPr="00220DCA">
        <w:rPr>
          <w:lang w:val="en-GB"/>
        </w:rPr>
        <w:t>s.l.</w:t>
      </w:r>
      <w:proofErr w:type="spellEnd"/>
      <w:r w:rsidRPr="00220DCA">
        <w:rPr>
          <w:lang w:val="en-GB"/>
        </w:rPr>
        <w:t xml:space="preserve"> infection on </w:t>
      </w:r>
      <w:r w:rsidRPr="00220DCA">
        <w:rPr>
          <w:i/>
          <w:iCs/>
          <w:lang w:val="en-GB"/>
        </w:rPr>
        <w:t>I. ricinus</w:t>
      </w:r>
      <w:r w:rsidRPr="00220DCA">
        <w:rPr>
          <w:lang w:val="en-GB"/>
        </w:rPr>
        <w:t xml:space="preserve"> </w:t>
      </w:r>
      <w:proofErr w:type="gramStart"/>
      <w:r w:rsidRPr="00220DCA">
        <w:rPr>
          <w:lang w:val="en-GB"/>
        </w:rPr>
        <w:t>nymphs</w:t>
      </w:r>
      <w:proofErr w:type="gramEnd"/>
      <w:r w:rsidRPr="00220DCA">
        <w:rPr>
          <w:lang w:val="en-GB"/>
        </w:rPr>
        <w:t xml:space="preserve"> behaviour. (A) Number of questing events, (</w:t>
      </w:r>
      <w:r w:rsidR="00CE3CED" w:rsidRPr="00220DCA">
        <w:rPr>
          <w:lang w:val="en-GB"/>
        </w:rPr>
        <w:t>B</w:t>
      </w:r>
      <w:r w:rsidRPr="00220DCA">
        <w:rPr>
          <w:lang w:val="en-GB"/>
        </w:rPr>
        <w:t>) average speed (cm/min) in uninfected (negative, blue) and infected (positive, red) ticks. Boxplots show median, interquartile range and data points.</w:t>
      </w:r>
    </w:p>
    <w:p w:rsidR="00843A61" w:rsidRDefault="00843A61" w:rsidP="00302E1C"/>
    <w:p w:rsidR="00C61F7D" w:rsidRDefault="008A5E40" w:rsidP="00302E1C">
      <w:pPr>
        <w:rPr>
          <w:lang w:val="en-GB"/>
        </w:rPr>
      </w:pPr>
      <w:r w:rsidRPr="00422D5E">
        <w:rPr>
          <w:noProof/>
        </w:rPr>
        <w:drawing>
          <wp:inline distT="0" distB="0" distL="0" distR="0" wp14:anchorId="1176E4CD" wp14:editId="19343C48">
            <wp:extent cx="3137096" cy="2608655"/>
            <wp:effectExtent l="0" t="0" r="0" b="0"/>
            <wp:docPr id="6511458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45813" name=""/>
                    <pic:cNvPicPr/>
                  </pic:nvPicPr>
                  <pic:blipFill>
                    <a:blip r:embed="rId6"/>
                    <a:stretch>
                      <a:fillRect/>
                    </a:stretch>
                  </pic:blipFill>
                  <pic:spPr>
                    <a:xfrm>
                      <a:off x="0" y="0"/>
                      <a:ext cx="3219104" cy="2676849"/>
                    </a:xfrm>
                    <a:prstGeom prst="rect">
                      <a:avLst/>
                    </a:prstGeom>
                  </pic:spPr>
                </pic:pic>
              </a:graphicData>
            </a:graphic>
          </wp:inline>
        </w:drawing>
      </w:r>
    </w:p>
    <w:p w:rsidR="008A5E40" w:rsidRDefault="008A5E40" w:rsidP="008A5E40">
      <w:pPr>
        <w:rPr>
          <w:lang w:val="en-GB"/>
        </w:rPr>
      </w:pPr>
      <w:r w:rsidRPr="00C61F7D">
        <w:rPr>
          <w:b/>
          <w:bCs/>
        </w:rPr>
        <w:t>Figure S</w:t>
      </w:r>
      <w:r w:rsidR="00AD3945">
        <w:rPr>
          <w:b/>
          <w:bCs/>
        </w:rPr>
        <w:t>3</w:t>
      </w:r>
      <w:r>
        <w:t xml:space="preserve">. </w:t>
      </w:r>
      <w:r w:rsidRPr="002370A1">
        <w:rPr>
          <w:lang w:val="en-GB"/>
        </w:rPr>
        <w:t>Spearman’s rank correlation coefficient</w:t>
      </w:r>
      <w:r>
        <w:rPr>
          <w:lang w:val="en-GB"/>
        </w:rPr>
        <w:t xml:space="preserve"> representation of height and question behaviour (meant as number of performed questing behaviour; </w:t>
      </w:r>
      <w:r w:rsidRPr="002370A1">
        <w:rPr>
          <w:lang w:val="en-GB"/>
        </w:rPr>
        <w:t>ρ = 0.150, p-value = 0.027</w:t>
      </w:r>
      <w:r>
        <w:rPr>
          <w:lang w:val="en-GB"/>
        </w:rPr>
        <w:t>).</w:t>
      </w:r>
    </w:p>
    <w:p w:rsidR="00AD3945" w:rsidRDefault="00AD3945" w:rsidP="008A5E40">
      <w:pPr>
        <w:rPr>
          <w:lang w:val="en-GB"/>
        </w:rPr>
      </w:pPr>
    </w:p>
    <w:p w:rsidR="008A5E40" w:rsidRDefault="008A5E40" w:rsidP="00302E1C">
      <w:pPr>
        <w:rPr>
          <w:lang w:val="en-GB"/>
        </w:rPr>
      </w:pPr>
    </w:p>
    <w:p w:rsidR="00C61F7D" w:rsidRDefault="008B06F4" w:rsidP="00302E1C">
      <w:r>
        <w:rPr>
          <w:noProof/>
        </w:rPr>
        <w:lastRenderedPageBreak/>
        <w:drawing>
          <wp:inline distT="0" distB="0" distL="0" distR="0">
            <wp:extent cx="3441700" cy="1933539"/>
            <wp:effectExtent l="0" t="0" r="0" b="0"/>
            <wp:docPr id="1931327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2716" name="Immagine 193132716"/>
                    <pic:cNvPicPr/>
                  </pic:nvPicPr>
                  <pic:blipFill>
                    <a:blip r:embed="rId7">
                      <a:extLst>
                        <a:ext uri="{28A0092B-C50C-407E-A947-70E740481C1C}">
                          <a14:useLocalDpi xmlns:a14="http://schemas.microsoft.com/office/drawing/2010/main" val="0"/>
                        </a:ext>
                      </a:extLst>
                    </a:blip>
                    <a:stretch>
                      <a:fillRect/>
                    </a:stretch>
                  </pic:blipFill>
                  <pic:spPr>
                    <a:xfrm>
                      <a:off x="0" y="0"/>
                      <a:ext cx="3487364" cy="1959193"/>
                    </a:xfrm>
                    <a:prstGeom prst="rect">
                      <a:avLst/>
                    </a:prstGeom>
                  </pic:spPr>
                </pic:pic>
              </a:graphicData>
            </a:graphic>
          </wp:inline>
        </w:drawing>
      </w:r>
    </w:p>
    <w:p w:rsidR="00C61F7D" w:rsidRDefault="00C61F7D" w:rsidP="00C61F7D">
      <w:pPr>
        <w:rPr>
          <w:lang w:val="en-GB"/>
        </w:rPr>
      </w:pPr>
      <w:r w:rsidRPr="008B1213">
        <w:rPr>
          <w:b/>
          <w:bCs/>
          <w:lang w:val="en-GB"/>
        </w:rPr>
        <w:t>Figure S</w:t>
      </w:r>
      <w:r w:rsidR="00AD3945">
        <w:rPr>
          <w:b/>
          <w:bCs/>
          <w:lang w:val="en-GB"/>
        </w:rPr>
        <w:t>4</w:t>
      </w:r>
      <w:r w:rsidRPr="008B1213">
        <w:rPr>
          <w:lang w:val="en-GB"/>
        </w:rPr>
        <w:t xml:space="preserve">. </w:t>
      </w:r>
      <w:r>
        <w:rPr>
          <w:lang w:val="en-GB"/>
        </w:rPr>
        <w:t>Survival curves of ticks at different humidity conditions (</w:t>
      </w:r>
      <w:proofErr w:type="gramStart"/>
      <w:r>
        <w:rPr>
          <w:lang w:val="en-GB"/>
        </w:rPr>
        <w:t>i.e.</w:t>
      </w:r>
      <w:proofErr w:type="gramEnd"/>
      <w:r>
        <w:rPr>
          <w:lang w:val="en-GB"/>
        </w:rPr>
        <w:t xml:space="preserve"> 100%, 80%, 53% RH). After 12 hours, detrimental differences in survival curves were noted (100 RH vs 80 RH</w:t>
      </w:r>
      <w:r w:rsidR="00CD3E53">
        <w:rPr>
          <w:lang w:val="en-GB"/>
        </w:rPr>
        <w:t xml:space="preserve">, </w:t>
      </w:r>
      <w:r>
        <w:rPr>
          <w:lang w:val="en-GB"/>
        </w:rPr>
        <w:t>Log rank test</w:t>
      </w:r>
      <w:r w:rsidR="00CD3E53">
        <w:rPr>
          <w:lang w:val="en-GB"/>
        </w:rPr>
        <w:t>:</w:t>
      </w:r>
      <w:r>
        <w:rPr>
          <w:lang w:val="en-GB"/>
        </w:rPr>
        <w:t xml:space="preserve"> Chi square = 4</w:t>
      </w:r>
      <w:r w:rsidR="008B06F4">
        <w:rPr>
          <w:lang w:val="en-GB"/>
        </w:rPr>
        <w:t>8.12</w:t>
      </w:r>
      <w:r>
        <w:rPr>
          <w:lang w:val="en-GB"/>
        </w:rPr>
        <w:t xml:space="preserve">, </w:t>
      </w:r>
      <w:proofErr w:type="spellStart"/>
      <w:r>
        <w:rPr>
          <w:lang w:val="en-GB"/>
        </w:rPr>
        <w:t>df</w:t>
      </w:r>
      <w:proofErr w:type="spellEnd"/>
      <w:r>
        <w:rPr>
          <w:lang w:val="en-GB"/>
        </w:rPr>
        <w:t xml:space="preserve"> = 1, p-value &lt; 0.001; 100 RH vs 53 RH</w:t>
      </w:r>
      <w:r w:rsidR="00CD3E53">
        <w:rPr>
          <w:lang w:val="en-GB"/>
        </w:rPr>
        <w:t>,</w:t>
      </w:r>
      <w:r>
        <w:rPr>
          <w:lang w:val="en-GB"/>
        </w:rPr>
        <w:t xml:space="preserve"> Log rank test</w:t>
      </w:r>
      <w:r w:rsidR="00CD3E53">
        <w:rPr>
          <w:lang w:val="en-GB"/>
        </w:rPr>
        <w:t xml:space="preserve">: </w:t>
      </w:r>
      <w:r>
        <w:rPr>
          <w:lang w:val="en-GB"/>
        </w:rPr>
        <w:t xml:space="preserve">Chi square = </w:t>
      </w:r>
      <w:r w:rsidR="008B06F4">
        <w:rPr>
          <w:lang w:val="en-GB"/>
        </w:rPr>
        <w:t>81.66</w:t>
      </w:r>
      <w:r>
        <w:rPr>
          <w:lang w:val="en-GB"/>
        </w:rPr>
        <w:t xml:space="preserve">, </w:t>
      </w:r>
      <w:proofErr w:type="spellStart"/>
      <w:r>
        <w:rPr>
          <w:lang w:val="en-GB"/>
        </w:rPr>
        <w:t>df</w:t>
      </w:r>
      <w:proofErr w:type="spellEnd"/>
      <w:r>
        <w:rPr>
          <w:lang w:val="en-GB"/>
        </w:rPr>
        <w:t xml:space="preserve"> = 1, p-value &lt; 0.001</w:t>
      </w:r>
      <w:r w:rsidR="00CD3E53">
        <w:rPr>
          <w:lang w:val="en-GB"/>
        </w:rPr>
        <w:t>)</w:t>
      </w:r>
      <w:r>
        <w:rPr>
          <w:lang w:val="en-GB"/>
        </w:rPr>
        <w:t>.</w:t>
      </w:r>
    </w:p>
    <w:p w:rsidR="00AD3945" w:rsidRPr="008B1213" w:rsidRDefault="00AD3945" w:rsidP="00C61F7D">
      <w:pPr>
        <w:rPr>
          <w:lang w:val="en-GB"/>
        </w:rPr>
      </w:pPr>
    </w:p>
    <w:p w:rsidR="00E35635" w:rsidRDefault="00E35635" w:rsidP="00302E1C"/>
    <w:p w:rsidR="00302E1C" w:rsidRDefault="00030959" w:rsidP="00302E1C">
      <w:r>
        <w:rPr>
          <w:noProof/>
        </w:rPr>
        <w:drawing>
          <wp:inline distT="0" distB="0" distL="0" distR="0">
            <wp:extent cx="4095750" cy="1881291"/>
            <wp:effectExtent l="0" t="0" r="0" b="0"/>
            <wp:docPr id="9528749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74918" name="Immagine 952874918"/>
                    <pic:cNvPicPr/>
                  </pic:nvPicPr>
                  <pic:blipFill>
                    <a:blip r:embed="rId8">
                      <a:extLst>
                        <a:ext uri="{28A0092B-C50C-407E-A947-70E740481C1C}">
                          <a14:useLocalDpi xmlns:a14="http://schemas.microsoft.com/office/drawing/2010/main" val="0"/>
                        </a:ext>
                      </a:extLst>
                    </a:blip>
                    <a:stretch>
                      <a:fillRect/>
                    </a:stretch>
                  </pic:blipFill>
                  <pic:spPr>
                    <a:xfrm>
                      <a:off x="0" y="0"/>
                      <a:ext cx="4117110" cy="1891102"/>
                    </a:xfrm>
                    <a:prstGeom prst="rect">
                      <a:avLst/>
                    </a:prstGeom>
                  </pic:spPr>
                </pic:pic>
              </a:graphicData>
            </a:graphic>
          </wp:inline>
        </w:drawing>
      </w:r>
    </w:p>
    <w:p w:rsidR="00990FE2" w:rsidRDefault="00990FE2" w:rsidP="00302E1C">
      <w:pPr>
        <w:rPr>
          <w:lang w:val="en-GB"/>
        </w:rPr>
      </w:pPr>
      <w:r w:rsidRPr="008B1213">
        <w:rPr>
          <w:b/>
          <w:bCs/>
          <w:lang w:val="en-GB"/>
        </w:rPr>
        <w:t>Figure S</w:t>
      </w:r>
      <w:r w:rsidR="00AD3945">
        <w:rPr>
          <w:b/>
          <w:bCs/>
          <w:lang w:val="en-GB"/>
        </w:rPr>
        <w:t>5</w:t>
      </w:r>
      <w:r w:rsidRPr="008B1213">
        <w:rPr>
          <w:lang w:val="en-GB"/>
        </w:rPr>
        <w:t xml:space="preserve">. </w:t>
      </w:r>
      <w:r w:rsidR="00156997">
        <w:rPr>
          <w:lang w:val="en-GB"/>
        </w:rPr>
        <w:t>(</w:t>
      </w:r>
      <w:r w:rsidR="008B1213" w:rsidRPr="008B1213">
        <w:rPr>
          <w:lang w:val="en-GB"/>
        </w:rPr>
        <w:t>A</w:t>
      </w:r>
      <w:r w:rsidR="00156997">
        <w:rPr>
          <w:lang w:val="en-GB"/>
        </w:rPr>
        <w:t>)</w:t>
      </w:r>
      <w:r w:rsidR="008B1213" w:rsidRPr="008B1213">
        <w:rPr>
          <w:lang w:val="en-GB"/>
        </w:rPr>
        <w:t xml:space="preserve"> </w:t>
      </w:r>
      <w:r w:rsidR="0032037F" w:rsidRPr="008B1213">
        <w:rPr>
          <w:lang w:val="en-GB"/>
        </w:rPr>
        <w:t xml:space="preserve">GC-MS analysis of cuticular saturated </w:t>
      </w:r>
      <w:r w:rsidR="008B1213" w:rsidRPr="008B1213">
        <w:rPr>
          <w:lang w:val="en-GB"/>
        </w:rPr>
        <w:t xml:space="preserve">fatty acids </w:t>
      </w:r>
      <w:r w:rsidR="0032037F" w:rsidRPr="008B1213">
        <w:rPr>
          <w:lang w:val="en-GB"/>
        </w:rPr>
        <w:t>(C12, C14, C16, C18; Mann–Whitney U test: n₁ = 20, n₂ = 31, U = 32.5, p &lt; 0.001)</w:t>
      </w:r>
      <w:r w:rsidR="00156997">
        <w:rPr>
          <w:lang w:val="en-GB"/>
        </w:rPr>
        <w:t>.</w:t>
      </w:r>
      <w:r w:rsidR="008B1213">
        <w:rPr>
          <w:lang w:val="en-GB"/>
        </w:rPr>
        <w:t xml:space="preserve"> </w:t>
      </w:r>
      <w:r w:rsidR="00156997">
        <w:rPr>
          <w:lang w:val="en-GB"/>
        </w:rPr>
        <w:t>(</w:t>
      </w:r>
      <w:r w:rsidR="008B1213">
        <w:rPr>
          <w:lang w:val="en-GB"/>
        </w:rPr>
        <w:t>B</w:t>
      </w:r>
      <w:r w:rsidR="00156997">
        <w:rPr>
          <w:lang w:val="en-GB"/>
        </w:rPr>
        <w:t>)</w:t>
      </w:r>
      <w:r w:rsidR="008B1213">
        <w:rPr>
          <w:lang w:val="en-GB"/>
        </w:rPr>
        <w:t xml:space="preserve"> </w:t>
      </w:r>
      <w:r w:rsidR="008B1213" w:rsidRPr="008B1213">
        <w:rPr>
          <w:lang w:val="en-GB"/>
        </w:rPr>
        <w:t xml:space="preserve">GC-MS analysis of cuticular </w:t>
      </w:r>
      <w:r w:rsidR="008B1213">
        <w:rPr>
          <w:lang w:val="en-GB"/>
        </w:rPr>
        <w:t>un</w:t>
      </w:r>
      <w:r w:rsidR="008B1213" w:rsidRPr="008B1213">
        <w:rPr>
          <w:lang w:val="en-GB"/>
        </w:rPr>
        <w:t xml:space="preserve">saturated fatty acids </w:t>
      </w:r>
      <w:r w:rsidR="0032037F" w:rsidRPr="008B1213">
        <w:rPr>
          <w:lang w:val="en-GB"/>
        </w:rPr>
        <w:t>(C18:1, C18:2; Mann–Whitney U test: n₁ = 20, n₂ = 31, U = 32.5, p &lt; 0.001).</w:t>
      </w:r>
    </w:p>
    <w:p w:rsidR="00C17BE2" w:rsidRDefault="00C17BE2" w:rsidP="00302E1C">
      <w:pPr>
        <w:rPr>
          <w:lang w:val="en-GB"/>
        </w:rPr>
      </w:pPr>
    </w:p>
    <w:p w:rsidR="00127810" w:rsidRDefault="00127810" w:rsidP="00302E1C">
      <w:pPr>
        <w:rPr>
          <w:b/>
          <w:bCs/>
          <w:lang w:val="en-GB"/>
        </w:rPr>
      </w:pPr>
    </w:p>
    <w:p w:rsidR="00B675DE" w:rsidRDefault="00B675DE" w:rsidP="00302E1C">
      <w:pPr>
        <w:rPr>
          <w:b/>
          <w:bCs/>
          <w:lang w:val="en-GB"/>
        </w:rPr>
      </w:pPr>
    </w:p>
    <w:p w:rsidR="00CC27A2" w:rsidRDefault="00CC27A2"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3461D4" w:rsidRDefault="003461D4" w:rsidP="00302E1C">
      <w:pPr>
        <w:rPr>
          <w:b/>
          <w:bCs/>
          <w:lang w:val="en-GB"/>
        </w:rPr>
      </w:pPr>
    </w:p>
    <w:p w:rsidR="00C17BE2" w:rsidRDefault="00C17BE2" w:rsidP="00302E1C">
      <w:pPr>
        <w:rPr>
          <w:lang w:val="en-GB"/>
        </w:rPr>
      </w:pPr>
      <w:r w:rsidRPr="00C17BE2">
        <w:rPr>
          <w:b/>
          <w:bCs/>
          <w:lang w:val="en-GB"/>
        </w:rPr>
        <w:lastRenderedPageBreak/>
        <w:t xml:space="preserve">Table </w:t>
      </w:r>
      <w:r w:rsidR="0009169D">
        <w:rPr>
          <w:b/>
          <w:bCs/>
          <w:lang w:val="en-GB"/>
        </w:rPr>
        <w:t>S</w:t>
      </w:r>
      <w:r w:rsidRPr="00C17BE2">
        <w:rPr>
          <w:b/>
          <w:bCs/>
          <w:lang w:val="en-GB"/>
        </w:rPr>
        <w:t>1.</w:t>
      </w:r>
      <w:r>
        <w:rPr>
          <w:lang w:val="en-GB"/>
        </w:rPr>
        <w:t xml:space="preserve"> Percentage peak area of the relative FAs</w:t>
      </w:r>
    </w:p>
    <w:p w:rsidR="00C17BE2" w:rsidRDefault="00127810" w:rsidP="00302E1C">
      <w:pPr>
        <w:rPr>
          <w:lang w:val="en-GB"/>
        </w:rPr>
      </w:pPr>
      <w:r w:rsidRPr="00127810">
        <w:rPr>
          <w:noProof/>
          <w:lang w:val="en-GB"/>
        </w:rPr>
        <w:drawing>
          <wp:inline distT="0" distB="0" distL="0" distR="0" wp14:anchorId="0B01E498" wp14:editId="02509FA9">
            <wp:extent cx="6120130" cy="7498080"/>
            <wp:effectExtent l="0" t="0" r="1270" b="0"/>
            <wp:docPr id="2096520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2027" name=""/>
                    <pic:cNvPicPr/>
                  </pic:nvPicPr>
                  <pic:blipFill>
                    <a:blip r:embed="rId9"/>
                    <a:stretch>
                      <a:fillRect/>
                    </a:stretch>
                  </pic:blipFill>
                  <pic:spPr>
                    <a:xfrm>
                      <a:off x="0" y="0"/>
                      <a:ext cx="6120130" cy="7498080"/>
                    </a:xfrm>
                    <a:prstGeom prst="rect">
                      <a:avLst/>
                    </a:prstGeom>
                  </pic:spPr>
                </pic:pic>
              </a:graphicData>
            </a:graphic>
          </wp:inline>
        </w:drawing>
      </w:r>
    </w:p>
    <w:p w:rsidR="00030959" w:rsidRDefault="00030959" w:rsidP="00302E1C">
      <w:pPr>
        <w:rPr>
          <w:lang w:val="en-GB"/>
        </w:rPr>
      </w:pPr>
    </w:p>
    <w:p w:rsidR="00030959" w:rsidRDefault="00030959" w:rsidP="00302E1C">
      <w:pPr>
        <w:rPr>
          <w:lang w:val="en-GB"/>
        </w:rPr>
      </w:pPr>
    </w:p>
    <w:p w:rsidR="00030959" w:rsidRDefault="00030959" w:rsidP="00302E1C">
      <w:pPr>
        <w:rPr>
          <w:lang w:val="en-GB"/>
        </w:rPr>
      </w:pPr>
    </w:p>
    <w:p w:rsidR="00030959" w:rsidRDefault="00030959" w:rsidP="00302E1C">
      <w:pPr>
        <w:rPr>
          <w:lang w:val="en-GB"/>
        </w:rPr>
      </w:pPr>
    </w:p>
    <w:sectPr w:rsidR="0003095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E1C"/>
    <w:rsid w:val="00030959"/>
    <w:rsid w:val="0009169D"/>
    <w:rsid w:val="00124864"/>
    <w:rsid w:val="00127810"/>
    <w:rsid w:val="00156997"/>
    <w:rsid w:val="001A4495"/>
    <w:rsid w:val="002019C4"/>
    <w:rsid w:val="00220DCA"/>
    <w:rsid w:val="00296B7B"/>
    <w:rsid w:val="00302E1C"/>
    <w:rsid w:val="00307EC5"/>
    <w:rsid w:val="0032037F"/>
    <w:rsid w:val="0034217D"/>
    <w:rsid w:val="003461D4"/>
    <w:rsid w:val="003671EB"/>
    <w:rsid w:val="00422D5E"/>
    <w:rsid w:val="0050567B"/>
    <w:rsid w:val="0054269C"/>
    <w:rsid w:val="00586F95"/>
    <w:rsid w:val="005F5591"/>
    <w:rsid w:val="006062BD"/>
    <w:rsid w:val="00697670"/>
    <w:rsid w:val="006D54F8"/>
    <w:rsid w:val="006E64B3"/>
    <w:rsid w:val="00741F46"/>
    <w:rsid w:val="008275A4"/>
    <w:rsid w:val="00843A61"/>
    <w:rsid w:val="008A5E40"/>
    <w:rsid w:val="008B06F4"/>
    <w:rsid w:val="008B1213"/>
    <w:rsid w:val="008B1772"/>
    <w:rsid w:val="00990FE2"/>
    <w:rsid w:val="009924AF"/>
    <w:rsid w:val="009F7C7B"/>
    <w:rsid w:val="00A12C23"/>
    <w:rsid w:val="00A63BD6"/>
    <w:rsid w:val="00A724DC"/>
    <w:rsid w:val="00AD3945"/>
    <w:rsid w:val="00B51EEC"/>
    <w:rsid w:val="00B675DE"/>
    <w:rsid w:val="00B70353"/>
    <w:rsid w:val="00BB69F1"/>
    <w:rsid w:val="00BC50DF"/>
    <w:rsid w:val="00C03673"/>
    <w:rsid w:val="00C17BE2"/>
    <w:rsid w:val="00C51416"/>
    <w:rsid w:val="00C61F7D"/>
    <w:rsid w:val="00C84F3B"/>
    <w:rsid w:val="00CC27A2"/>
    <w:rsid w:val="00CD3E53"/>
    <w:rsid w:val="00CE3CED"/>
    <w:rsid w:val="00D275F1"/>
    <w:rsid w:val="00D679C2"/>
    <w:rsid w:val="00DB2548"/>
    <w:rsid w:val="00E35635"/>
    <w:rsid w:val="00E419A8"/>
    <w:rsid w:val="00EB588C"/>
    <w:rsid w:val="00EC38BC"/>
    <w:rsid w:val="00EE41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F1B1A76-C5DB-7746-B60D-49F2B5F6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302E1C"/>
    <w:rPr>
      <w:kern w:val="0"/>
      <w:sz w:val="22"/>
      <w:szCs w:val="22"/>
      <w14:ligatures w14:val="none"/>
    </w:rPr>
  </w:style>
  <w:style w:type="character" w:customStyle="1" w:styleId="NessunaspaziaturaCarattere">
    <w:name w:val="Nessuna spaziatura Carattere"/>
    <w:basedOn w:val="Carpredefinitoparagrafo"/>
    <w:link w:val="Nessunaspaziatura"/>
    <w:uiPriority w:val="1"/>
    <w:rsid w:val="00302E1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817998">
      <w:bodyDiv w:val="1"/>
      <w:marLeft w:val="0"/>
      <w:marRight w:val="0"/>
      <w:marTop w:val="0"/>
      <w:marBottom w:val="0"/>
      <w:divBdr>
        <w:top w:val="none" w:sz="0" w:space="0" w:color="auto"/>
        <w:left w:val="none" w:sz="0" w:space="0" w:color="auto"/>
        <w:bottom w:val="none" w:sz="0" w:space="0" w:color="auto"/>
        <w:right w:val="none" w:sz="0" w:space="0" w:color="auto"/>
      </w:divBdr>
    </w:div>
    <w:div w:id="18248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492</TotalTime>
  <Pages>4</Pages>
  <Words>365</Words>
  <Characters>2085</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Frizzera</dc:creator>
  <cp:keywords/>
  <dc:description/>
  <cp:lastModifiedBy>Davide Frizzera</cp:lastModifiedBy>
  <cp:revision>40</cp:revision>
  <dcterms:created xsi:type="dcterms:W3CDTF">2025-09-29T15:17:00Z</dcterms:created>
  <dcterms:modified xsi:type="dcterms:W3CDTF">2026-08-07T13:51:00Z</dcterms:modified>
</cp:coreProperties>
</file>