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CD9CE">
      <w:pPr>
        <w:spacing w:line="480" w:lineRule="auto"/>
        <w:jc w:val="center"/>
        <w:outlineLvl w:val="1"/>
        <w:rPr>
          <w:rFonts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rPr>
        <w:t xml:space="preserve">. </w:t>
      </w:r>
      <w:r>
        <w:rPr>
          <w:rFonts w:hint="eastAsia" w:ascii="Times New Roman" w:hAnsi="Times New Roman" w:eastAsia="宋体" w:cs="Times New Roman"/>
          <w:b/>
          <w:bCs/>
          <w:color w:val="000000" w:themeColor="text1"/>
          <w:sz w:val="24"/>
          <w:szCs w:val="24"/>
          <w14:textFill>
            <w14:solidFill>
              <w14:schemeClr w14:val="tx1"/>
            </w14:solidFill>
          </w14:textFill>
        </w:rPr>
        <w:t>Characteristics of the GEO datasets and dataset-specific PRKACA expression analysis</w:t>
      </w:r>
    </w:p>
    <w:tbl>
      <w:tblPr>
        <w:tblStyle w:val="2"/>
        <w:tblW w:w="5091" w:type="pct"/>
        <w:jc w:val="center"/>
        <w:tblLayout w:type="fixed"/>
        <w:tblCellMar>
          <w:top w:w="0" w:type="dxa"/>
          <w:left w:w="108" w:type="dxa"/>
          <w:bottom w:w="0" w:type="dxa"/>
          <w:right w:w="108" w:type="dxa"/>
        </w:tblCellMar>
      </w:tblPr>
      <w:tblGrid>
        <w:gridCol w:w="1343"/>
        <w:gridCol w:w="1771"/>
        <w:gridCol w:w="2108"/>
        <w:gridCol w:w="1952"/>
        <w:gridCol w:w="3123"/>
        <w:gridCol w:w="1111"/>
        <w:gridCol w:w="3025"/>
      </w:tblGrid>
      <w:tr w14:paraId="68D86D10">
        <w:tblPrEx>
          <w:tblCellMar>
            <w:top w:w="0" w:type="dxa"/>
            <w:left w:w="108" w:type="dxa"/>
            <w:bottom w:w="0" w:type="dxa"/>
            <w:right w:w="108" w:type="dxa"/>
          </w:tblCellMar>
        </w:tblPrEx>
        <w:trPr>
          <w:trHeight w:val="371" w:hRule="atLeast"/>
          <w:jc w:val="center"/>
        </w:trPr>
        <w:tc>
          <w:tcPr>
            <w:tcW w:w="1343" w:type="dxa"/>
            <w:tcBorders>
              <w:top w:val="single" w:color="auto" w:sz="12" w:space="0"/>
              <w:left w:val="nil"/>
              <w:bottom w:val="single" w:color="auto" w:sz="8" w:space="0"/>
              <w:right w:val="nil"/>
            </w:tcBorders>
            <w:noWrap/>
            <w:vAlign w:val="center"/>
          </w:tcPr>
          <w:p w14:paraId="3FC08426">
            <w:pPr>
              <w:spacing w:after="0" w:line="240" w:lineRule="auto"/>
              <w:jc w:val="left"/>
              <w:rPr>
                <w:rFonts w:ascii="Times New Roman" w:hAnsi="Times New Roman" w:eastAsia="Times New Roman"/>
                <w:b/>
                <w:bCs/>
                <w:i w:val="0"/>
                <w:sz w:val="21"/>
                <w:szCs w:val="21"/>
              </w:rPr>
            </w:pPr>
            <w:r>
              <w:rPr>
                <w:rFonts w:ascii="Times New Roman" w:hAnsi="Times New Roman" w:eastAsia="Times New Roman"/>
                <w:b/>
                <w:bCs/>
                <w:i w:val="0"/>
                <w:sz w:val="21"/>
                <w:szCs w:val="21"/>
                <w:lang w:val="en-US" w:eastAsia="zh-CN"/>
              </w:rPr>
              <w:t>Dataset</w:t>
            </w:r>
          </w:p>
        </w:tc>
        <w:tc>
          <w:tcPr>
            <w:tcW w:w="1771" w:type="dxa"/>
            <w:tcBorders>
              <w:top w:val="single" w:color="auto" w:sz="12" w:space="0"/>
              <w:left w:val="nil"/>
              <w:bottom w:val="single" w:color="auto" w:sz="8" w:space="0"/>
              <w:right w:val="nil"/>
            </w:tcBorders>
            <w:vAlign w:val="center"/>
          </w:tcPr>
          <w:p w14:paraId="64D4A94F">
            <w:pPr>
              <w:spacing w:after="0" w:line="240" w:lineRule="auto"/>
              <w:jc w:val="left"/>
              <w:rPr>
                <w:rFonts w:ascii="Times New Roman" w:hAnsi="Times New Roman" w:eastAsia="Times New Roman"/>
                <w:b/>
                <w:bCs/>
                <w:i w:val="0"/>
                <w:sz w:val="21"/>
                <w:szCs w:val="21"/>
              </w:rPr>
            </w:pPr>
            <w:r>
              <w:rPr>
                <w:rFonts w:ascii="Times New Roman" w:hAnsi="Times New Roman" w:eastAsia="Times New Roman"/>
                <w:b/>
                <w:bCs/>
                <w:i w:val="0"/>
                <w:sz w:val="21"/>
                <w:szCs w:val="21"/>
                <w:lang w:val="en-US" w:eastAsia="zh-CN"/>
              </w:rPr>
              <w:t>Cell source</w:t>
            </w:r>
          </w:p>
        </w:tc>
        <w:tc>
          <w:tcPr>
            <w:tcW w:w="2108" w:type="dxa"/>
            <w:tcBorders>
              <w:top w:val="single" w:color="auto" w:sz="12" w:space="0"/>
              <w:left w:val="nil"/>
              <w:bottom w:val="single" w:color="auto" w:sz="8" w:space="0"/>
              <w:right w:val="nil"/>
            </w:tcBorders>
            <w:vAlign w:val="center"/>
          </w:tcPr>
          <w:p w14:paraId="7C897229">
            <w:pPr>
              <w:spacing w:after="0" w:line="240" w:lineRule="auto"/>
              <w:jc w:val="left"/>
              <w:rPr>
                <w:rFonts w:ascii="Times New Roman" w:hAnsi="Times New Roman" w:eastAsia="Times New Roman"/>
                <w:b/>
                <w:bCs/>
                <w:i w:val="0"/>
                <w:sz w:val="21"/>
                <w:szCs w:val="21"/>
              </w:rPr>
            </w:pPr>
            <w:r>
              <w:rPr>
                <w:rFonts w:ascii="Times New Roman" w:hAnsi="Times New Roman" w:eastAsia="Times New Roman"/>
                <w:b/>
                <w:bCs/>
                <w:i w:val="0"/>
                <w:sz w:val="21"/>
                <w:szCs w:val="21"/>
                <w:lang w:val="en-US" w:eastAsia="zh-CN"/>
              </w:rPr>
              <w:t>Cohort</w:t>
            </w:r>
          </w:p>
        </w:tc>
        <w:tc>
          <w:tcPr>
            <w:tcW w:w="1952" w:type="dxa"/>
            <w:tcBorders>
              <w:top w:val="single" w:color="auto" w:sz="12" w:space="0"/>
              <w:left w:val="nil"/>
              <w:bottom w:val="single" w:color="auto" w:sz="8" w:space="0"/>
              <w:right w:val="nil"/>
            </w:tcBorders>
            <w:vAlign w:val="center"/>
          </w:tcPr>
          <w:p w14:paraId="0BA77D00">
            <w:pPr>
              <w:spacing w:after="0" w:line="240" w:lineRule="auto"/>
              <w:jc w:val="left"/>
              <w:rPr>
                <w:rFonts w:ascii="Times New Roman" w:hAnsi="Times New Roman" w:eastAsia="Times New Roman"/>
                <w:b/>
                <w:bCs/>
                <w:i w:val="0"/>
                <w:sz w:val="21"/>
                <w:szCs w:val="21"/>
              </w:rPr>
            </w:pPr>
            <w:r>
              <w:rPr>
                <w:rFonts w:ascii="Times New Roman" w:hAnsi="Times New Roman" w:eastAsia="Times New Roman"/>
                <w:b/>
                <w:bCs/>
                <w:i w:val="0"/>
                <w:sz w:val="21"/>
                <w:szCs w:val="21"/>
                <w:lang w:val="en-US" w:eastAsia="zh-CN"/>
              </w:rPr>
              <w:t xml:space="preserve">PCOS </w:t>
            </w:r>
            <w:r>
              <w:rPr>
                <w:rFonts w:hint="eastAsia" w:ascii="Times New Roman" w:hAnsi="Times New Roman" w:eastAsia="Times New Roman"/>
                <w:b/>
                <w:bCs/>
                <w:i w:val="0"/>
                <w:sz w:val="21"/>
                <w:szCs w:val="21"/>
                <w:lang w:val="en-US" w:eastAsia="zh-CN"/>
              </w:rPr>
              <w:t xml:space="preserve">diagnostic </w:t>
            </w:r>
            <w:r>
              <w:rPr>
                <w:rFonts w:ascii="Times New Roman" w:hAnsi="Times New Roman" w:eastAsia="Times New Roman"/>
                <w:b/>
                <w:bCs/>
                <w:i w:val="0"/>
                <w:sz w:val="21"/>
                <w:szCs w:val="21"/>
                <w:lang w:val="en-US" w:eastAsia="zh-CN"/>
              </w:rPr>
              <w:t>criteria</w:t>
            </w:r>
          </w:p>
        </w:tc>
        <w:tc>
          <w:tcPr>
            <w:tcW w:w="3123" w:type="dxa"/>
            <w:tcBorders>
              <w:top w:val="single" w:color="auto" w:sz="12" w:space="0"/>
              <w:left w:val="nil"/>
              <w:bottom w:val="single" w:color="auto" w:sz="8" w:space="0"/>
              <w:right w:val="nil"/>
            </w:tcBorders>
            <w:vAlign w:val="center"/>
          </w:tcPr>
          <w:p w14:paraId="511BF8B7">
            <w:pPr>
              <w:spacing w:after="0" w:line="240" w:lineRule="auto"/>
              <w:jc w:val="left"/>
              <w:rPr>
                <w:rFonts w:ascii="Times New Roman" w:hAnsi="Times New Roman" w:eastAsia="Times New Roman"/>
                <w:b/>
                <w:bCs/>
                <w:i w:val="0"/>
                <w:sz w:val="21"/>
                <w:szCs w:val="21"/>
              </w:rPr>
            </w:pPr>
            <w:r>
              <w:rPr>
                <w:rFonts w:ascii="Times New Roman" w:hAnsi="Times New Roman" w:eastAsia="Times New Roman"/>
                <w:b/>
                <w:bCs/>
                <w:i w:val="0"/>
                <w:sz w:val="21"/>
                <w:szCs w:val="21"/>
                <w:lang w:val="en-US" w:eastAsia="zh-CN"/>
              </w:rPr>
              <w:t>Important cohort features</w:t>
            </w:r>
          </w:p>
        </w:tc>
        <w:tc>
          <w:tcPr>
            <w:tcW w:w="1111" w:type="dxa"/>
            <w:tcBorders>
              <w:top w:val="single" w:color="auto" w:sz="12" w:space="0"/>
              <w:left w:val="nil"/>
              <w:bottom w:val="single" w:color="auto" w:sz="8" w:space="0"/>
              <w:right w:val="nil"/>
            </w:tcBorders>
            <w:vAlign w:val="center"/>
          </w:tcPr>
          <w:p w14:paraId="123D2D70">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bCs/>
                <w:i w:val="0"/>
                <w:sz w:val="21"/>
                <w:szCs w:val="21"/>
                <w:lang w:val="en-US" w:eastAsia="zh-CN"/>
              </w:rPr>
              <w:t>Analysis role</w:t>
            </w:r>
          </w:p>
        </w:tc>
        <w:tc>
          <w:tcPr>
            <w:tcW w:w="3025" w:type="dxa"/>
            <w:tcBorders>
              <w:top w:val="single" w:color="auto" w:sz="12" w:space="0"/>
              <w:left w:val="nil"/>
              <w:bottom w:val="single" w:color="auto" w:sz="8" w:space="0"/>
              <w:right w:val="nil"/>
            </w:tcBorders>
            <w:vAlign w:val="center"/>
          </w:tcPr>
          <w:p w14:paraId="50B706D9">
            <w:pPr>
              <w:spacing w:after="0" w:line="240" w:lineRule="auto"/>
              <w:jc w:val="left"/>
              <w:rPr>
                <w:rFonts w:ascii="Times New Roman" w:hAnsi="Times New Roman" w:eastAsia="Times New Roman"/>
                <w:b/>
                <w:bCs/>
                <w:i w:val="0"/>
                <w:sz w:val="21"/>
                <w:szCs w:val="21"/>
              </w:rPr>
            </w:pPr>
            <w:r>
              <w:rPr>
                <w:rFonts w:hint="eastAsia" w:ascii="Times New Roman" w:hAnsi="Times New Roman" w:eastAsia="Times New Roman"/>
                <w:b/>
                <w:bCs/>
                <w:i w:val="0"/>
                <w:sz w:val="21"/>
                <w:szCs w:val="21"/>
                <w:lang w:val="en-US" w:eastAsia="zh-CN"/>
              </w:rPr>
              <w:t>Dataset-specific PRKACA expression</w:t>
            </w:r>
          </w:p>
        </w:tc>
      </w:tr>
      <w:tr w14:paraId="6DB52CD3">
        <w:tblPrEx>
          <w:tblCellMar>
            <w:top w:w="0" w:type="dxa"/>
            <w:left w:w="108" w:type="dxa"/>
            <w:bottom w:w="0" w:type="dxa"/>
            <w:right w:w="108" w:type="dxa"/>
          </w:tblCellMar>
        </w:tblPrEx>
        <w:trPr>
          <w:trHeight w:val="371" w:hRule="atLeast"/>
          <w:jc w:val="center"/>
        </w:trPr>
        <w:tc>
          <w:tcPr>
            <w:tcW w:w="1343" w:type="dxa"/>
            <w:tcBorders>
              <w:top w:val="single" w:color="auto" w:sz="8" w:space="0"/>
              <w:left w:val="nil"/>
              <w:bottom w:val="nil"/>
              <w:right w:val="nil"/>
            </w:tcBorders>
            <w:noWrap/>
            <w:vAlign w:val="center"/>
          </w:tcPr>
          <w:p w14:paraId="0160F08E">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GSE34526</w:t>
            </w:r>
          </w:p>
        </w:tc>
        <w:tc>
          <w:tcPr>
            <w:tcW w:w="1771" w:type="dxa"/>
            <w:tcBorders>
              <w:top w:val="single" w:color="auto" w:sz="8" w:space="0"/>
              <w:left w:val="nil"/>
              <w:bottom w:val="nil"/>
              <w:right w:val="nil"/>
            </w:tcBorders>
            <w:vAlign w:val="center"/>
          </w:tcPr>
          <w:p w14:paraId="0E733A72">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Gonadotropin-stimulated granulosa cells</w:t>
            </w:r>
          </w:p>
        </w:tc>
        <w:tc>
          <w:tcPr>
            <w:tcW w:w="2108" w:type="dxa"/>
            <w:tcBorders>
              <w:top w:val="single" w:color="auto" w:sz="8" w:space="0"/>
              <w:left w:val="nil"/>
              <w:bottom w:val="nil"/>
              <w:right w:val="nil"/>
            </w:tcBorders>
            <w:vAlign w:val="center"/>
          </w:tcPr>
          <w:p w14:paraId="68FA9434">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Control; PCOS non-IR; PCOS-IR</w:t>
            </w:r>
          </w:p>
        </w:tc>
        <w:tc>
          <w:tcPr>
            <w:tcW w:w="1952" w:type="dxa"/>
            <w:tcBorders>
              <w:top w:val="single" w:color="auto" w:sz="8" w:space="0"/>
              <w:left w:val="nil"/>
              <w:bottom w:val="nil"/>
              <w:right w:val="nil"/>
            </w:tcBorders>
            <w:vAlign w:val="center"/>
          </w:tcPr>
          <w:p w14:paraId="45AE5723">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Revised Rotterdam criteria</w:t>
            </w:r>
          </w:p>
        </w:tc>
        <w:tc>
          <w:tcPr>
            <w:tcW w:w="3123" w:type="dxa"/>
            <w:tcBorders>
              <w:top w:val="single" w:color="auto" w:sz="8" w:space="0"/>
              <w:left w:val="nil"/>
              <w:bottom w:val="nil"/>
              <w:right w:val="nil"/>
            </w:tcBorders>
            <w:vAlign w:val="center"/>
          </w:tcPr>
          <w:p w14:paraId="0A72B3B1">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PCOS stratified by insulin resistance; microarray cohort: Control, n = 3; PCOS non-IR, n = 3; PCOS-IR, n = 4</w:t>
            </w:r>
          </w:p>
        </w:tc>
        <w:tc>
          <w:tcPr>
            <w:tcW w:w="1111" w:type="dxa"/>
            <w:tcBorders>
              <w:top w:val="single" w:color="auto" w:sz="8" w:space="0"/>
              <w:left w:val="nil"/>
              <w:bottom w:val="nil"/>
              <w:right w:val="nil"/>
            </w:tcBorders>
            <w:vAlign w:val="center"/>
          </w:tcPr>
          <w:p w14:paraId="7B245849">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Discovery cohort</w:t>
            </w:r>
          </w:p>
        </w:tc>
        <w:tc>
          <w:tcPr>
            <w:tcW w:w="3025" w:type="dxa"/>
            <w:tcBorders>
              <w:top w:val="single" w:color="auto" w:sz="8" w:space="0"/>
              <w:left w:val="nil"/>
              <w:bottom w:val="nil"/>
              <w:right w:val="nil"/>
            </w:tcBorders>
            <w:vAlign w:val="center"/>
          </w:tcPr>
          <w:p w14:paraId="61B0D4C8">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Higher in PCOS at the nominal significance level (logFC = 1.603, P = 0.0246), but not significant after FDR correction (FDR-adjusted P = 0.518)</w:t>
            </w:r>
          </w:p>
        </w:tc>
      </w:tr>
      <w:tr w14:paraId="4A17CC70">
        <w:tblPrEx>
          <w:tblCellMar>
            <w:top w:w="0" w:type="dxa"/>
            <w:left w:w="108" w:type="dxa"/>
            <w:bottom w:w="0" w:type="dxa"/>
            <w:right w:w="108" w:type="dxa"/>
          </w:tblCellMar>
        </w:tblPrEx>
        <w:trPr>
          <w:trHeight w:val="418" w:hRule="atLeast"/>
          <w:jc w:val="center"/>
        </w:trPr>
        <w:tc>
          <w:tcPr>
            <w:tcW w:w="1343" w:type="dxa"/>
            <w:tcBorders>
              <w:top w:val="nil"/>
              <w:left w:val="nil"/>
              <w:bottom w:val="nil"/>
              <w:right w:val="nil"/>
            </w:tcBorders>
            <w:shd w:val="clear" w:color="auto" w:fill="auto"/>
            <w:noWrap/>
            <w:vAlign w:val="center"/>
          </w:tcPr>
          <w:p w14:paraId="05E49F77">
            <w:pPr>
              <w:spacing w:after="0" w:line="240" w:lineRule="auto"/>
              <w:jc w:val="left"/>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GSE10946</w:t>
            </w:r>
          </w:p>
        </w:tc>
        <w:tc>
          <w:tcPr>
            <w:tcW w:w="1771" w:type="dxa"/>
            <w:tcBorders>
              <w:top w:val="nil"/>
              <w:left w:val="nil"/>
              <w:bottom w:val="nil"/>
              <w:right w:val="nil"/>
            </w:tcBorders>
            <w:shd w:val="clear" w:color="auto" w:fill="auto"/>
            <w:vAlign w:val="center"/>
          </w:tcPr>
          <w:p w14:paraId="0E6881D6">
            <w:pPr>
              <w:spacing w:after="0" w:line="240" w:lineRule="auto"/>
              <w:jc w:val="left"/>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Cultured cumulus cells</w:t>
            </w:r>
          </w:p>
        </w:tc>
        <w:tc>
          <w:tcPr>
            <w:tcW w:w="2108" w:type="dxa"/>
            <w:tcBorders>
              <w:top w:val="nil"/>
              <w:left w:val="nil"/>
              <w:bottom w:val="nil"/>
              <w:right w:val="nil"/>
            </w:tcBorders>
            <w:shd w:val="clear" w:color="auto" w:fill="auto"/>
            <w:vAlign w:val="center"/>
          </w:tcPr>
          <w:p w14:paraId="3EFA012D">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Lean/overweight PCOS and controls</w:t>
            </w:r>
          </w:p>
        </w:tc>
        <w:tc>
          <w:tcPr>
            <w:tcW w:w="1952" w:type="dxa"/>
            <w:tcBorders>
              <w:top w:val="nil"/>
              <w:left w:val="nil"/>
              <w:bottom w:val="nil"/>
              <w:right w:val="nil"/>
            </w:tcBorders>
            <w:shd w:val="clear" w:color="auto" w:fill="auto"/>
            <w:vAlign w:val="center"/>
          </w:tcPr>
          <w:p w14:paraId="4B477E1A">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Revised Rotterdam criteria; secondary causes excluded</w:t>
            </w:r>
          </w:p>
        </w:tc>
        <w:tc>
          <w:tcPr>
            <w:tcW w:w="3123" w:type="dxa"/>
            <w:tcBorders>
              <w:top w:val="nil"/>
              <w:left w:val="nil"/>
              <w:bottom w:val="nil"/>
              <w:right w:val="nil"/>
            </w:tcBorders>
            <w:shd w:val="clear" w:color="auto" w:fill="auto"/>
            <w:vAlign w:val="center"/>
          </w:tcPr>
          <w:p w14:paraId="64E60D10">
            <w:pPr>
              <w:spacing w:after="0" w:line="240" w:lineRule="auto"/>
              <w:jc w:val="left"/>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Stratified by BMI; cumulus cells cultured for 48 h</w:t>
            </w:r>
          </w:p>
        </w:tc>
        <w:tc>
          <w:tcPr>
            <w:tcW w:w="1111" w:type="dxa"/>
            <w:tcBorders>
              <w:top w:val="nil"/>
              <w:left w:val="nil"/>
              <w:bottom w:val="nil"/>
              <w:right w:val="nil"/>
            </w:tcBorders>
            <w:shd w:val="clear" w:color="auto" w:fill="auto"/>
            <w:vAlign w:val="center"/>
          </w:tcPr>
          <w:p w14:paraId="60898203">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Discovery cohort</w:t>
            </w:r>
          </w:p>
        </w:tc>
        <w:tc>
          <w:tcPr>
            <w:tcW w:w="3025" w:type="dxa"/>
            <w:tcBorders>
              <w:top w:val="nil"/>
              <w:left w:val="nil"/>
              <w:bottom w:val="nil"/>
              <w:right w:val="nil"/>
            </w:tcBorders>
            <w:shd w:val="clear" w:color="auto" w:fill="auto"/>
            <w:vAlign w:val="center"/>
          </w:tcPr>
          <w:p w14:paraId="63FD84A7">
            <w:pPr>
              <w:spacing w:after="0" w:line="240" w:lineRule="auto"/>
              <w:jc w:val="left"/>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No significant difference (logFC = 0.072, P = 0.572; FDR-adjusted P = 0.999)</w:t>
            </w:r>
          </w:p>
        </w:tc>
      </w:tr>
      <w:tr w14:paraId="1DE7A0B3">
        <w:tblPrEx>
          <w:tblCellMar>
            <w:top w:w="0" w:type="dxa"/>
            <w:left w:w="108" w:type="dxa"/>
            <w:bottom w:w="0" w:type="dxa"/>
            <w:right w:w="108" w:type="dxa"/>
          </w:tblCellMar>
        </w:tblPrEx>
        <w:trPr>
          <w:trHeight w:val="418" w:hRule="atLeast"/>
          <w:jc w:val="center"/>
        </w:trPr>
        <w:tc>
          <w:tcPr>
            <w:tcW w:w="1343" w:type="dxa"/>
            <w:tcBorders>
              <w:top w:val="nil"/>
              <w:left w:val="nil"/>
              <w:bottom w:val="nil"/>
              <w:right w:val="nil"/>
            </w:tcBorders>
            <w:shd w:val="clear" w:color="auto" w:fill="auto"/>
            <w:noWrap/>
            <w:vAlign w:val="center"/>
          </w:tcPr>
          <w:p w14:paraId="146BFF74">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GSE80432</w:t>
            </w:r>
          </w:p>
        </w:tc>
        <w:tc>
          <w:tcPr>
            <w:tcW w:w="1771" w:type="dxa"/>
            <w:tcBorders>
              <w:top w:val="nil"/>
              <w:left w:val="nil"/>
              <w:bottom w:val="nil"/>
              <w:right w:val="nil"/>
            </w:tcBorders>
            <w:shd w:val="clear" w:color="auto" w:fill="auto"/>
            <w:vAlign w:val="center"/>
          </w:tcPr>
          <w:p w14:paraId="7E6A252F">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Granulosa cells</w:t>
            </w:r>
          </w:p>
        </w:tc>
        <w:tc>
          <w:tcPr>
            <w:tcW w:w="2108" w:type="dxa"/>
            <w:tcBorders>
              <w:top w:val="nil"/>
              <w:left w:val="nil"/>
              <w:bottom w:val="nil"/>
              <w:right w:val="nil"/>
            </w:tcBorders>
            <w:shd w:val="clear" w:color="auto" w:fill="auto"/>
            <w:vAlign w:val="center"/>
          </w:tcPr>
          <w:p w14:paraId="6A67AC44">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Normal-weight non-PCOS; obese non-PCOS; normal-weight PCOS; obese PCOS</w:t>
            </w:r>
          </w:p>
        </w:tc>
        <w:tc>
          <w:tcPr>
            <w:tcW w:w="1952" w:type="dxa"/>
            <w:tcBorders>
              <w:top w:val="nil"/>
              <w:left w:val="nil"/>
              <w:bottom w:val="nil"/>
              <w:right w:val="nil"/>
            </w:tcBorders>
            <w:shd w:val="clear" w:color="auto" w:fill="auto"/>
            <w:vAlign w:val="center"/>
          </w:tcPr>
          <w:p w14:paraId="4DF5523F">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Revised Rotterdam criteria</w:t>
            </w:r>
          </w:p>
        </w:tc>
        <w:tc>
          <w:tcPr>
            <w:tcW w:w="3123" w:type="dxa"/>
            <w:tcBorders>
              <w:top w:val="nil"/>
              <w:left w:val="nil"/>
              <w:bottom w:val="nil"/>
              <w:right w:val="nil"/>
            </w:tcBorders>
            <w:shd w:val="clear" w:color="auto" w:fill="auto"/>
            <w:vAlign w:val="center"/>
          </w:tcPr>
          <w:p w14:paraId="55AA902C">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Stratified according to PCOS and obesity status; four groups, n = 4 per subgroup</w:t>
            </w:r>
          </w:p>
        </w:tc>
        <w:tc>
          <w:tcPr>
            <w:tcW w:w="1111" w:type="dxa"/>
            <w:tcBorders>
              <w:top w:val="nil"/>
              <w:left w:val="nil"/>
              <w:bottom w:val="nil"/>
              <w:right w:val="nil"/>
            </w:tcBorders>
            <w:shd w:val="clear" w:color="auto" w:fill="auto"/>
            <w:vAlign w:val="center"/>
          </w:tcPr>
          <w:p w14:paraId="7CB7B252">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External sensitivity analysis</w:t>
            </w:r>
          </w:p>
        </w:tc>
        <w:tc>
          <w:tcPr>
            <w:tcW w:w="3025" w:type="dxa"/>
            <w:tcBorders>
              <w:top w:val="nil"/>
              <w:left w:val="nil"/>
              <w:bottom w:val="nil"/>
              <w:right w:val="nil"/>
            </w:tcBorders>
            <w:shd w:val="clear" w:color="auto" w:fill="auto"/>
            <w:vAlign w:val="center"/>
          </w:tcPr>
          <w:p w14:paraId="18AA1D5A">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No significant difference (logFC = 0.017, P = 0.885; FDR-adjusted P = 0.996)</w:t>
            </w:r>
          </w:p>
        </w:tc>
      </w:tr>
      <w:tr w14:paraId="212057D2">
        <w:tblPrEx>
          <w:tblCellMar>
            <w:top w:w="0" w:type="dxa"/>
            <w:left w:w="108" w:type="dxa"/>
            <w:bottom w:w="0" w:type="dxa"/>
            <w:right w:w="108" w:type="dxa"/>
          </w:tblCellMar>
        </w:tblPrEx>
        <w:trPr>
          <w:trHeight w:val="418" w:hRule="atLeast"/>
          <w:jc w:val="center"/>
        </w:trPr>
        <w:tc>
          <w:tcPr>
            <w:tcW w:w="1343" w:type="dxa"/>
            <w:tcBorders>
              <w:top w:val="nil"/>
              <w:left w:val="nil"/>
              <w:bottom w:val="nil"/>
              <w:right w:val="nil"/>
            </w:tcBorders>
            <w:shd w:val="clear" w:color="auto" w:fill="auto"/>
            <w:noWrap/>
            <w:vAlign w:val="center"/>
          </w:tcPr>
          <w:p w14:paraId="410C414E">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GSE106724</w:t>
            </w:r>
          </w:p>
        </w:tc>
        <w:tc>
          <w:tcPr>
            <w:tcW w:w="1771" w:type="dxa"/>
            <w:tcBorders>
              <w:top w:val="nil"/>
              <w:left w:val="nil"/>
              <w:bottom w:val="nil"/>
              <w:right w:val="nil"/>
            </w:tcBorders>
            <w:shd w:val="clear" w:color="auto" w:fill="auto"/>
            <w:vAlign w:val="center"/>
          </w:tcPr>
          <w:p w14:paraId="7675DD27">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Ovarian granulosa cells</w:t>
            </w:r>
          </w:p>
        </w:tc>
        <w:tc>
          <w:tcPr>
            <w:tcW w:w="2108" w:type="dxa"/>
            <w:tcBorders>
              <w:top w:val="nil"/>
              <w:left w:val="nil"/>
              <w:bottom w:val="nil"/>
              <w:right w:val="nil"/>
            </w:tcBorders>
            <w:shd w:val="clear" w:color="auto" w:fill="auto"/>
            <w:vAlign w:val="center"/>
          </w:tcPr>
          <w:p w14:paraId="3DB58336">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Control; PCOS-N; PCOS-T</w:t>
            </w:r>
          </w:p>
        </w:tc>
        <w:tc>
          <w:tcPr>
            <w:tcW w:w="1952" w:type="dxa"/>
            <w:tcBorders>
              <w:top w:val="nil"/>
              <w:left w:val="nil"/>
              <w:bottom w:val="nil"/>
              <w:right w:val="nil"/>
            </w:tcBorders>
            <w:shd w:val="clear" w:color="auto" w:fill="auto"/>
            <w:vAlign w:val="center"/>
          </w:tcPr>
          <w:p w14:paraId="6CE7165F">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Rotterdam criteria</w:t>
            </w:r>
          </w:p>
        </w:tc>
        <w:tc>
          <w:tcPr>
            <w:tcW w:w="3123" w:type="dxa"/>
            <w:tcBorders>
              <w:top w:val="nil"/>
              <w:left w:val="nil"/>
              <w:bottom w:val="nil"/>
              <w:right w:val="nil"/>
            </w:tcBorders>
            <w:shd w:val="clear" w:color="auto" w:fill="auto"/>
            <w:vAlign w:val="center"/>
          </w:tcPr>
          <w:p w14:paraId="3DAC0AD4">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PCOS stratified according to androgen status; PCOS-N and PCOS-T represent PCOS with normal and elevated testosterone levels, respectively</w:t>
            </w:r>
          </w:p>
        </w:tc>
        <w:tc>
          <w:tcPr>
            <w:tcW w:w="1111" w:type="dxa"/>
            <w:tcBorders>
              <w:top w:val="nil"/>
              <w:left w:val="nil"/>
              <w:bottom w:val="nil"/>
              <w:right w:val="nil"/>
            </w:tcBorders>
            <w:shd w:val="clear" w:color="auto" w:fill="auto"/>
            <w:vAlign w:val="center"/>
          </w:tcPr>
          <w:p w14:paraId="04E3B8C7">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External sensitivity analysis</w:t>
            </w:r>
          </w:p>
        </w:tc>
        <w:tc>
          <w:tcPr>
            <w:tcW w:w="3025" w:type="dxa"/>
            <w:tcBorders>
              <w:top w:val="nil"/>
              <w:left w:val="nil"/>
              <w:bottom w:val="nil"/>
              <w:right w:val="nil"/>
            </w:tcBorders>
            <w:shd w:val="clear" w:color="auto" w:fill="auto"/>
            <w:vAlign w:val="center"/>
          </w:tcPr>
          <w:p w14:paraId="6010A14E">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No significant difference (logFC = 0.303, P = 0.348; FDR-adjusted P = 0.664)</w:t>
            </w:r>
          </w:p>
        </w:tc>
      </w:tr>
      <w:tr w14:paraId="12803C51">
        <w:tblPrEx>
          <w:tblCellMar>
            <w:top w:w="0" w:type="dxa"/>
            <w:left w:w="108" w:type="dxa"/>
            <w:bottom w:w="0" w:type="dxa"/>
            <w:right w:w="108" w:type="dxa"/>
          </w:tblCellMar>
        </w:tblPrEx>
        <w:trPr>
          <w:trHeight w:val="418" w:hRule="atLeast"/>
          <w:jc w:val="center"/>
        </w:trPr>
        <w:tc>
          <w:tcPr>
            <w:tcW w:w="1343" w:type="dxa"/>
            <w:tcBorders>
              <w:top w:val="nil"/>
              <w:left w:val="nil"/>
              <w:bottom w:val="single" w:color="auto" w:sz="8" w:space="0"/>
              <w:right w:val="nil"/>
            </w:tcBorders>
            <w:shd w:val="clear" w:color="auto" w:fill="auto"/>
            <w:noWrap/>
            <w:vAlign w:val="center"/>
          </w:tcPr>
          <w:p w14:paraId="3A245950">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GSE98595</w:t>
            </w:r>
          </w:p>
        </w:tc>
        <w:tc>
          <w:tcPr>
            <w:tcW w:w="1771" w:type="dxa"/>
            <w:tcBorders>
              <w:top w:val="nil"/>
              <w:left w:val="nil"/>
              <w:bottom w:val="single" w:color="auto" w:sz="8" w:space="0"/>
              <w:right w:val="nil"/>
            </w:tcBorders>
            <w:shd w:val="clear" w:color="auto" w:fill="auto"/>
            <w:vAlign w:val="center"/>
          </w:tcPr>
          <w:p w14:paraId="0000568E">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Lutein granulosa cells</w:t>
            </w:r>
          </w:p>
        </w:tc>
        <w:tc>
          <w:tcPr>
            <w:tcW w:w="2108" w:type="dxa"/>
            <w:tcBorders>
              <w:top w:val="nil"/>
              <w:left w:val="nil"/>
              <w:bottom w:val="single" w:color="auto" w:sz="8" w:space="0"/>
              <w:right w:val="nil"/>
            </w:tcBorders>
            <w:shd w:val="clear" w:color="auto" w:fill="auto"/>
            <w:vAlign w:val="center"/>
          </w:tcPr>
          <w:p w14:paraId="08305AD7">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Untreated non-PCOS controls and untreated PCOS samples used for the present comparison</w:t>
            </w:r>
          </w:p>
        </w:tc>
        <w:tc>
          <w:tcPr>
            <w:tcW w:w="1952" w:type="dxa"/>
            <w:tcBorders>
              <w:top w:val="nil"/>
              <w:left w:val="nil"/>
              <w:bottom w:val="single" w:color="auto" w:sz="8" w:space="0"/>
              <w:right w:val="nil"/>
            </w:tcBorders>
            <w:shd w:val="clear" w:color="auto" w:fill="auto"/>
            <w:vAlign w:val="center"/>
          </w:tcPr>
          <w:p w14:paraId="772D2D04">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Rotterdam criteria</w:t>
            </w:r>
          </w:p>
        </w:tc>
        <w:tc>
          <w:tcPr>
            <w:tcW w:w="3123" w:type="dxa"/>
            <w:tcBorders>
              <w:top w:val="nil"/>
              <w:left w:val="nil"/>
              <w:bottom w:val="single" w:color="auto" w:sz="8" w:space="0"/>
              <w:right w:val="nil"/>
            </w:tcBorders>
            <w:shd w:val="clear" w:color="auto" w:fill="auto"/>
            <w:vAlign w:val="center"/>
          </w:tcPr>
          <w:p w14:paraId="1B1FCC29">
            <w:pPr>
              <w:spacing w:after="0" w:line="240" w:lineRule="auto"/>
              <w:jc w:val="left"/>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Original study used a paired untreated/cabergoline-treated design; only untreated samples were included in the present PRKACA comparison</w:t>
            </w:r>
          </w:p>
        </w:tc>
        <w:tc>
          <w:tcPr>
            <w:tcW w:w="1111" w:type="dxa"/>
            <w:tcBorders>
              <w:top w:val="nil"/>
              <w:left w:val="nil"/>
              <w:bottom w:val="single" w:color="auto" w:sz="8" w:space="0"/>
              <w:right w:val="nil"/>
            </w:tcBorders>
            <w:shd w:val="clear" w:color="auto" w:fill="auto"/>
            <w:vAlign w:val="center"/>
          </w:tcPr>
          <w:p w14:paraId="0E124607">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External sensitivity analysis</w:t>
            </w:r>
          </w:p>
        </w:tc>
        <w:tc>
          <w:tcPr>
            <w:tcW w:w="3025" w:type="dxa"/>
            <w:tcBorders>
              <w:top w:val="nil"/>
              <w:left w:val="nil"/>
              <w:bottom w:val="single" w:color="auto" w:sz="8" w:space="0"/>
              <w:right w:val="nil"/>
            </w:tcBorders>
            <w:shd w:val="clear" w:color="auto" w:fill="auto"/>
            <w:vAlign w:val="center"/>
          </w:tcPr>
          <w:p w14:paraId="1B41B604">
            <w:pPr>
              <w:spacing w:after="0" w:line="240" w:lineRule="auto"/>
              <w:jc w:val="left"/>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lang w:val="en-US" w:eastAsia="zh-CN"/>
              </w:rPr>
              <w:t>Lower in PCOS at the nominal significance level (logFC = −0.225, P = 0.0296), but not significant after FDR correction (FDR-adjusted P = 0.272)</w:t>
            </w:r>
          </w:p>
        </w:tc>
      </w:tr>
    </w:tbl>
    <w:p w14:paraId="0DD01F2E">
      <w:pPr>
        <w:rPr>
          <w:rFonts w:hint="eastAsia" w:ascii="Times New Roman" w:hAnsi="Times New Roman" w:eastAsia="Times New Roman"/>
          <w:b w:val="0"/>
          <w:i w:val="0"/>
          <w:sz w:val="21"/>
          <w:szCs w:val="21"/>
          <w:lang w:val="en-US" w:eastAsia="zh-CN"/>
        </w:rPr>
      </w:pPr>
      <w:r>
        <w:rPr>
          <w:rFonts w:hint="eastAsia" w:ascii="Times New Roman" w:hAnsi="Times New Roman" w:eastAsia="Times New Roman"/>
          <w:b/>
          <w:bCs/>
          <w:i w:val="0"/>
          <w:sz w:val="21"/>
          <w:szCs w:val="21"/>
          <w:lang w:val="en-US" w:eastAsia="zh-CN"/>
        </w:rPr>
        <w:t>Abbreviations</w:t>
      </w:r>
      <w:r>
        <w:rPr>
          <w:rFonts w:hint="eastAsia" w:ascii="Times New Roman" w:hAnsi="Times New Roman" w:eastAsia="Times New Roman"/>
          <w:b w:val="0"/>
          <w:i w:val="0"/>
          <w:sz w:val="21"/>
          <w:szCs w:val="21"/>
          <w:lang w:val="en-US" w:eastAsia="zh-CN"/>
        </w:rPr>
        <w:t>: BMI, body mass index; FDR, false discovery rate; IR, insulin resistance; non-IR, without insulin resistance; PCOS, polycystic ovary syndrome; PCOS-N, PCOS with normal testosterone levels; PCOS-T, PCOS with elevated testosterone levels.</w:t>
      </w:r>
    </w:p>
    <w:p w14:paraId="578F9EF4">
      <w:r>
        <w:rPr>
          <w:rFonts w:hint="eastAsia" w:ascii="Times New Roman" w:hAnsi="Times New Roman" w:eastAsia="Times New Roman"/>
          <w:b/>
          <w:bCs/>
          <w:i w:val="0"/>
          <w:sz w:val="21"/>
          <w:szCs w:val="21"/>
          <w:lang w:val="en-US" w:eastAsia="zh-CN"/>
        </w:rPr>
        <w:t>Note</w:t>
      </w:r>
      <w:r>
        <w:rPr>
          <w:rFonts w:hint="eastAsia" w:ascii="Times New Roman" w:hAnsi="Times New Roman" w:eastAsia="Times New Roman"/>
          <w:b w:val="0"/>
          <w:i w:val="0"/>
          <w:sz w:val="21"/>
          <w:szCs w:val="21"/>
          <w:lang w:val="en-US" w:eastAsia="zh-CN"/>
        </w:rPr>
        <w:t>: Dataset-specific differential expression analyses of PRKACA were performed using limma. Both nominal and FDR-adjusted P values are reported to provide transparency regarding genome-wide multiple-testing correction. GSE80432, GSE106724, and GSE98595 were additionally analyzed during revision as independent external sensitivity datasets to assess the reproducibility and directionality of PRKACA expression across heterogeneous PCOS cohorts. These three datasets were not included in the original merged discovery cohort or candidate-gene selection procedure.</w:t>
      </w:r>
    </w:p>
    <w:p w14:paraId="629D9C4F">
      <w:pPr>
        <w:rPr>
          <w:rFonts w:hint="eastAsia" w:ascii="Times New Roman" w:hAnsi="Times New Roman" w:eastAsia="宋体" w:cs="Times New Roman"/>
          <w:b/>
          <w:bCs/>
          <w:sz w:val="24"/>
          <w:szCs w:val="24"/>
        </w:rPr>
      </w:pPr>
    </w:p>
    <w:p w14:paraId="38852FFE">
      <w:pPr>
        <w:jc w:val="center"/>
        <w:rPr>
          <w:rFonts w:hint="eastAsia" w:ascii="Times New Roman" w:hAnsi="Times New Roman" w:eastAsia="宋体" w:cs="Times New Roman"/>
          <w:szCs w:val="21"/>
        </w:rPr>
      </w:pPr>
      <w:r>
        <w:rPr>
          <w:rFonts w:hint="eastAsia"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2</w:t>
      </w:r>
      <w:r>
        <w:rPr>
          <w:rFonts w:hint="eastAsia" w:ascii="Times New Roman" w:hAnsi="Times New Roman" w:eastAsia="宋体" w:cs="Times New Roman"/>
          <w:b/>
          <w:bCs/>
          <w:sz w:val="24"/>
          <w:szCs w:val="24"/>
        </w:rPr>
        <w:t>. Demographic, endocrine, and ovarian stimulation characteristics of the clinical cohort</w:t>
      </w:r>
    </w:p>
    <w:tbl>
      <w:tblPr>
        <w:tblStyle w:val="2"/>
        <w:tblW w:w="4477" w:type="pct"/>
        <w:jc w:val="center"/>
        <w:tblLayout w:type="autofit"/>
        <w:tblCellMar>
          <w:top w:w="0" w:type="dxa"/>
          <w:left w:w="0" w:type="dxa"/>
          <w:bottom w:w="0" w:type="dxa"/>
          <w:right w:w="0" w:type="dxa"/>
        </w:tblCellMar>
      </w:tblPr>
      <w:tblGrid>
        <w:gridCol w:w="3775"/>
        <w:gridCol w:w="2925"/>
        <w:gridCol w:w="2785"/>
        <w:gridCol w:w="1584"/>
        <w:gridCol w:w="1456"/>
      </w:tblGrid>
      <w:tr w14:paraId="6F3617C3">
        <w:tblPrEx>
          <w:tblCellMar>
            <w:top w:w="0" w:type="dxa"/>
            <w:left w:w="0" w:type="dxa"/>
            <w:bottom w:w="0" w:type="dxa"/>
            <w:right w:w="0" w:type="dxa"/>
          </w:tblCellMar>
        </w:tblPrEx>
        <w:trPr>
          <w:trHeight w:val="285" w:hRule="atLeast"/>
          <w:jc w:val="center"/>
        </w:trPr>
        <w:tc>
          <w:tcPr>
            <w:tcW w:w="1506" w:type="pct"/>
            <w:tcBorders>
              <w:top w:val="single" w:color="auto" w:sz="12" w:space="0"/>
              <w:left w:val="nil"/>
              <w:bottom w:val="single" w:color="auto" w:sz="8" w:space="0"/>
              <w:right w:val="nil"/>
            </w:tcBorders>
            <w:shd w:val="clear" w:color="auto" w:fill="auto"/>
            <w:noWrap/>
            <w:tcMar>
              <w:top w:w="15" w:type="dxa"/>
              <w:left w:w="15" w:type="dxa"/>
              <w:bottom w:w="0" w:type="dxa"/>
              <w:right w:w="15" w:type="dxa"/>
            </w:tcMar>
            <w:vAlign w:val="center"/>
          </w:tcPr>
          <w:p w14:paraId="1676703C">
            <w:pPr>
              <w:jc w:val="center"/>
              <w:rPr>
                <w:rFonts w:hint="default" w:ascii="Times New Roman" w:hAnsi="Times New Roman" w:cs="Times New Roman"/>
                <w:b/>
                <w:bCs/>
                <w:sz w:val="21"/>
                <w:szCs w:val="21"/>
              </w:rPr>
            </w:pPr>
            <w:r>
              <w:rPr>
                <w:rFonts w:hint="default" w:ascii="Times New Roman" w:hAnsi="Times New Roman" w:eastAsia="等线" w:cs="Times New Roman"/>
                <w:b/>
                <w:bCs/>
                <w:color w:val="000000"/>
                <w:sz w:val="21"/>
                <w:szCs w:val="21"/>
              </w:rPr>
              <w:t>Characteristic</w:t>
            </w:r>
          </w:p>
        </w:tc>
        <w:tc>
          <w:tcPr>
            <w:tcW w:w="1167" w:type="pct"/>
            <w:tcBorders>
              <w:top w:val="single" w:color="auto" w:sz="12" w:space="0"/>
              <w:left w:val="nil"/>
              <w:bottom w:val="single" w:color="auto" w:sz="8" w:space="0"/>
              <w:right w:val="nil"/>
            </w:tcBorders>
            <w:shd w:val="clear" w:color="auto" w:fill="auto"/>
            <w:tcMar>
              <w:top w:w="15" w:type="dxa"/>
              <w:left w:w="15" w:type="dxa"/>
              <w:bottom w:w="0" w:type="dxa"/>
              <w:right w:w="15" w:type="dxa"/>
            </w:tcMar>
            <w:vAlign w:val="center"/>
          </w:tcPr>
          <w:p w14:paraId="31A3F3EB">
            <w:pPr>
              <w:jc w:val="center"/>
              <w:rPr>
                <w:rFonts w:hint="default" w:ascii="Times New Roman" w:hAnsi="Times New Roman" w:eastAsia="等线" w:cs="Times New Roman"/>
                <w:b/>
                <w:bCs/>
                <w:color w:val="000000"/>
                <w:sz w:val="21"/>
                <w:szCs w:val="21"/>
                <w:lang w:val="en-US" w:eastAsia="zh-CN"/>
              </w:rPr>
            </w:pPr>
            <w:r>
              <w:rPr>
                <w:rFonts w:hint="default" w:ascii="Times New Roman" w:hAnsi="Times New Roman" w:eastAsia="等线" w:cs="Times New Roman"/>
                <w:b/>
                <w:bCs/>
                <w:color w:val="000000"/>
                <w:sz w:val="21"/>
                <w:szCs w:val="21"/>
              </w:rPr>
              <w:t>Control</w:t>
            </w:r>
            <w:r>
              <w:rPr>
                <w:rFonts w:hint="eastAsia" w:ascii="Times New Roman" w:hAnsi="Times New Roman" w:eastAsia="等线" w:cs="Times New Roman"/>
                <w:b/>
                <w:bCs/>
                <w:color w:val="000000"/>
                <w:sz w:val="21"/>
                <w:szCs w:val="21"/>
                <w:lang w:val="en-US" w:eastAsia="zh-CN"/>
              </w:rPr>
              <w:t xml:space="preserve"> (n=6)</w:t>
            </w:r>
          </w:p>
        </w:tc>
        <w:tc>
          <w:tcPr>
            <w:tcW w:w="1111" w:type="pct"/>
            <w:tcBorders>
              <w:top w:val="single" w:color="auto" w:sz="12" w:space="0"/>
              <w:left w:val="nil"/>
              <w:bottom w:val="single" w:color="auto" w:sz="8" w:space="0"/>
              <w:right w:val="nil"/>
            </w:tcBorders>
            <w:shd w:val="clear" w:color="auto" w:fill="auto"/>
            <w:tcMar>
              <w:top w:w="15" w:type="dxa"/>
              <w:left w:w="15" w:type="dxa"/>
              <w:bottom w:w="0" w:type="dxa"/>
              <w:right w:w="15" w:type="dxa"/>
            </w:tcMar>
            <w:vAlign w:val="center"/>
          </w:tcPr>
          <w:p w14:paraId="5A15B303">
            <w:pPr>
              <w:jc w:val="center"/>
              <w:rPr>
                <w:rFonts w:hint="default" w:ascii="Times New Roman" w:hAnsi="Times New Roman" w:eastAsia="等线" w:cs="Times New Roman"/>
                <w:b/>
                <w:bCs/>
                <w:color w:val="000000"/>
                <w:sz w:val="21"/>
                <w:szCs w:val="21"/>
                <w:lang w:val="en-US" w:eastAsia="zh-CN"/>
              </w:rPr>
            </w:pPr>
            <w:r>
              <w:rPr>
                <w:rFonts w:hint="default" w:ascii="Times New Roman" w:hAnsi="Times New Roman" w:eastAsia="等线" w:cs="Times New Roman"/>
                <w:b/>
                <w:bCs/>
                <w:color w:val="000000"/>
                <w:sz w:val="21"/>
                <w:szCs w:val="21"/>
              </w:rPr>
              <w:t>PCOS</w:t>
            </w:r>
            <w:r>
              <w:rPr>
                <w:rFonts w:hint="eastAsia" w:ascii="Times New Roman" w:hAnsi="Times New Roman" w:eastAsia="等线" w:cs="Times New Roman"/>
                <w:b/>
                <w:bCs/>
                <w:color w:val="000000"/>
                <w:sz w:val="21"/>
                <w:szCs w:val="21"/>
                <w:lang w:val="en-US" w:eastAsia="zh-CN"/>
              </w:rPr>
              <w:t xml:space="preserve"> (n=6)</w:t>
            </w:r>
          </w:p>
        </w:tc>
        <w:tc>
          <w:tcPr>
            <w:tcW w:w="632" w:type="pct"/>
            <w:tcBorders>
              <w:top w:val="single" w:color="auto" w:sz="12" w:space="0"/>
              <w:left w:val="nil"/>
              <w:bottom w:val="single" w:color="auto" w:sz="8" w:space="0"/>
              <w:right w:val="nil"/>
            </w:tcBorders>
            <w:shd w:val="clear" w:color="auto" w:fill="auto"/>
            <w:tcMar>
              <w:top w:w="15" w:type="dxa"/>
              <w:left w:w="15" w:type="dxa"/>
              <w:bottom w:w="0" w:type="dxa"/>
              <w:right w:w="15" w:type="dxa"/>
            </w:tcMar>
            <w:vAlign w:val="center"/>
          </w:tcPr>
          <w:p w14:paraId="0F92D3CE">
            <w:pPr>
              <w:jc w:val="center"/>
              <w:rPr>
                <w:rFonts w:hint="default" w:ascii="Times New Roman" w:hAnsi="Times New Roman" w:eastAsia="等线" w:cs="Times New Roman"/>
                <w:b/>
                <w:bCs/>
                <w:color w:val="000000"/>
                <w:sz w:val="21"/>
                <w:szCs w:val="21"/>
              </w:rPr>
            </w:pPr>
            <w:r>
              <w:rPr>
                <w:rFonts w:hint="default" w:ascii="Times New Roman" w:hAnsi="Times New Roman" w:eastAsia="AdvOT863180fb" w:cs="Times New Roman"/>
                <w:b/>
                <w:bCs/>
                <w:color w:val="000000"/>
                <w:kern w:val="0"/>
                <w:sz w:val="21"/>
                <w:szCs w:val="21"/>
                <w:lang w:val="en-US" w:eastAsia="zh-CN" w:bidi="ar"/>
              </w:rPr>
              <w:t>Test statistic</w:t>
            </w:r>
          </w:p>
        </w:tc>
        <w:tc>
          <w:tcPr>
            <w:tcW w:w="581" w:type="pct"/>
            <w:tcBorders>
              <w:top w:val="single" w:color="auto" w:sz="12" w:space="0"/>
              <w:left w:val="nil"/>
              <w:bottom w:val="single" w:color="auto" w:sz="8" w:space="0"/>
              <w:right w:val="nil"/>
            </w:tcBorders>
            <w:shd w:val="clear" w:color="auto" w:fill="auto"/>
            <w:tcMar>
              <w:top w:w="15" w:type="dxa"/>
              <w:left w:w="15" w:type="dxa"/>
              <w:bottom w:w="0" w:type="dxa"/>
              <w:right w:w="15" w:type="dxa"/>
            </w:tcMar>
            <w:vAlign w:val="center"/>
          </w:tcPr>
          <w:p w14:paraId="4BA9CED4">
            <w:pPr>
              <w:jc w:val="center"/>
              <w:rPr>
                <w:rFonts w:hint="default" w:ascii="Times New Roman" w:hAnsi="Times New Roman" w:eastAsia="等线" w:cs="Times New Roman"/>
                <w:b/>
                <w:bCs/>
                <w:color w:val="000000"/>
                <w:sz w:val="21"/>
                <w:szCs w:val="21"/>
              </w:rPr>
            </w:pPr>
            <w:r>
              <w:rPr>
                <w:rFonts w:hint="default" w:ascii="Times New Roman" w:hAnsi="Times New Roman" w:eastAsia="等线" w:cs="Times New Roman"/>
                <w:b/>
                <w:bCs/>
                <w:color w:val="000000"/>
                <w:sz w:val="21"/>
                <w:szCs w:val="21"/>
                <w:lang w:val="en-US" w:eastAsia="zh-CN"/>
              </w:rPr>
              <w:t>P</w:t>
            </w:r>
            <w:r>
              <w:rPr>
                <w:rFonts w:hint="default" w:ascii="Times New Roman" w:hAnsi="Times New Roman" w:eastAsia="等线" w:cs="Times New Roman"/>
                <w:b/>
                <w:bCs/>
                <w:color w:val="000000"/>
                <w:sz w:val="21"/>
                <w:szCs w:val="21"/>
              </w:rPr>
              <w:t>-value</w:t>
            </w:r>
          </w:p>
        </w:tc>
      </w:tr>
      <w:tr w14:paraId="5E374D20">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77C4BE05">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Age (years)</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2789AB5F">
            <w:pPr>
              <w:jc w:val="center"/>
              <w:rPr>
                <w:rFonts w:hint="default" w:ascii="Times New Roman" w:hAnsi="Times New Roman" w:eastAsia="等线" w:cs="Times New Roman"/>
                <w:color w:val="000000"/>
                <w:sz w:val="21"/>
                <w:szCs w:val="21"/>
                <w:lang w:val="en-US"/>
              </w:rPr>
            </w:pPr>
            <w:r>
              <w:rPr>
                <w:rFonts w:hint="default" w:ascii="Times New Roman" w:hAnsi="Times New Roman" w:eastAsia="宋体" w:cs="Times New Roman"/>
                <w:color w:val="000000"/>
                <w:sz w:val="21"/>
                <w:szCs w:val="21"/>
                <w:lang w:val="en-US" w:eastAsia="zh-CN"/>
              </w:rPr>
              <w:t>31.33 ± 4.55</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71F8B75D">
            <w:pPr>
              <w:jc w:val="center"/>
              <w:rPr>
                <w:rFonts w:hint="default" w:ascii="Times New Roman" w:hAnsi="Times New Roman" w:eastAsia="等线" w:cs="Times New Roman"/>
                <w:b/>
                <w:bCs/>
                <w:color w:val="000000"/>
                <w:sz w:val="21"/>
                <w:szCs w:val="21"/>
                <w:lang w:val="en-US" w:eastAsia="zh-CN"/>
              </w:rPr>
            </w:pPr>
            <w:r>
              <w:rPr>
                <w:rFonts w:hint="default" w:ascii="Times New Roman" w:hAnsi="Times New Roman" w:eastAsia="宋体" w:cs="Times New Roman"/>
                <w:color w:val="000000"/>
                <w:sz w:val="21"/>
                <w:szCs w:val="21"/>
                <w:lang w:val="en-US" w:eastAsia="zh-CN"/>
              </w:rPr>
              <w:t>30.0</w:t>
            </w:r>
            <w:r>
              <w:rPr>
                <w:rFonts w:hint="eastAsia" w:ascii="Times New Roman" w:hAnsi="Times New Roman" w:eastAsia="宋体" w:cs="Times New Roman"/>
                <w:color w:val="000000"/>
                <w:sz w:val="21"/>
                <w:szCs w:val="21"/>
                <w:lang w:val="en-US" w:eastAsia="zh-CN"/>
              </w:rPr>
              <w:t>0</w:t>
            </w:r>
            <w:r>
              <w:rPr>
                <w:rFonts w:hint="default" w:ascii="Times New Roman" w:hAnsi="Times New Roman" w:eastAsia="宋体" w:cs="Times New Roman"/>
                <w:color w:val="000000"/>
                <w:sz w:val="21"/>
                <w:szCs w:val="21"/>
                <w:lang w:val="en-US" w:eastAsia="zh-CN"/>
              </w:rPr>
              <w:t xml:space="preserve"> ± 6.13</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2883C538">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0.428</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6F8F9122">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0.678</w:t>
            </w:r>
          </w:p>
        </w:tc>
      </w:tr>
      <w:tr w14:paraId="7EAC053E">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2A6D6B0E">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BMI (kg/m²)</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5B68BE61">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20.86 </w:t>
            </w:r>
            <w:r>
              <w:rPr>
                <w:rFonts w:hint="default" w:ascii="Times New Roman" w:hAnsi="Times New Roman" w:eastAsia="宋体" w:cs="Times New Roman"/>
                <w:color w:val="000000"/>
                <w:sz w:val="21"/>
                <w:szCs w:val="21"/>
                <w:lang w:val="en-US" w:eastAsia="zh-CN"/>
              </w:rPr>
              <w:t>± 1.98</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5CF1DB8F">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22.56 </w:t>
            </w:r>
            <w:r>
              <w:rPr>
                <w:rFonts w:hint="default" w:ascii="Times New Roman" w:hAnsi="Times New Roman" w:eastAsia="宋体" w:cs="Times New Roman"/>
                <w:color w:val="000000"/>
                <w:sz w:val="21"/>
                <w:szCs w:val="21"/>
                <w:lang w:val="en-US" w:eastAsia="zh-CN"/>
              </w:rPr>
              <w:t>± 3.09</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294409BB">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-1.133</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2E4C550D">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0.284</w:t>
            </w:r>
          </w:p>
        </w:tc>
      </w:tr>
      <w:tr w14:paraId="02FFAE1F">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0459C915">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Infertility </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t</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ype, n (%)</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068598F2">
            <w:pPr>
              <w:jc w:val="center"/>
              <w:rPr>
                <w:rFonts w:hint="default" w:ascii="Times New Roman" w:hAnsi="Times New Roman" w:eastAsia="等线" w:cs="Times New Roman"/>
                <w:color w:val="000000"/>
                <w:sz w:val="21"/>
                <w:szCs w:val="21"/>
              </w:rPr>
            </w:pP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620A4BA5">
            <w:pPr>
              <w:jc w:val="center"/>
              <w:rPr>
                <w:rFonts w:hint="default" w:ascii="Times New Roman" w:hAnsi="Times New Roman" w:eastAsia="等线" w:cs="Times New Roman"/>
                <w:color w:val="000000"/>
                <w:sz w:val="21"/>
                <w:szCs w:val="21"/>
                <w:lang w:val="en-US" w:eastAsia="zh-CN"/>
              </w:rPr>
            </w:pP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1D563170">
            <w:pPr>
              <w:jc w:val="center"/>
              <w:rPr>
                <w:rFonts w:hint="default" w:ascii="Times New Roman" w:hAnsi="Times New Roman" w:eastAsia="等线" w:cs="Times New Roman"/>
                <w:color w:val="000000"/>
                <w:sz w:val="21"/>
                <w:szCs w:val="21"/>
                <w:lang w:val="en-US" w:eastAsia="zh-CN"/>
              </w:rPr>
            </w:pPr>
            <w:r>
              <w:rPr>
                <w:rFonts w:hint="eastAsia" w:ascii="Times New Roman" w:hAnsi="Times New Roman" w:eastAsia="等线" w:cs="Times New Roman"/>
                <w:color w:val="000000"/>
                <w:sz w:val="21"/>
                <w:szCs w:val="21"/>
                <w:lang w:val="en-US" w:eastAsia="zh-CN"/>
              </w:rPr>
              <w:t>-</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57AC95D2">
            <w:pPr>
              <w:jc w:val="center"/>
              <w:rPr>
                <w:rFonts w:hint="default" w:ascii="Times New Roman" w:hAnsi="Times New Roman" w:eastAsia="等线" w:cs="Times New Roman"/>
                <w:color w:val="000000"/>
                <w:sz w:val="21"/>
                <w:szCs w:val="21"/>
                <w:lang w:val="en-US" w:eastAsia="zh-CN"/>
              </w:rPr>
            </w:pPr>
            <w:r>
              <w:rPr>
                <w:rFonts w:hint="eastAsia" w:ascii="Times New Roman" w:hAnsi="Times New Roman" w:eastAsia="等线" w:cs="Times New Roman"/>
                <w:color w:val="000000"/>
                <w:sz w:val="21"/>
                <w:szCs w:val="21"/>
                <w:lang w:val="en-US" w:eastAsia="zh-CN"/>
              </w:rPr>
              <w:t>1</w:t>
            </w:r>
            <w:r>
              <w:rPr>
                <w:rFonts w:hint="default" w:ascii="Times New Roman" w:hAnsi="Times New Roman" w:eastAsia="等线" w:cs="Times New Roman"/>
                <w:color w:val="000000"/>
                <w:sz w:val="21"/>
                <w:szCs w:val="21"/>
                <w:lang w:val="en-US" w:eastAsia="zh-CN"/>
              </w:rPr>
              <w:t>.</w:t>
            </w:r>
            <w:r>
              <w:rPr>
                <w:rFonts w:hint="eastAsia" w:ascii="Times New Roman" w:hAnsi="Times New Roman" w:eastAsia="等线" w:cs="Times New Roman"/>
                <w:color w:val="000000"/>
                <w:sz w:val="21"/>
                <w:szCs w:val="21"/>
                <w:lang w:val="en-US" w:eastAsia="zh-CN"/>
              </w:rPr>
              <w:t>000</w:t>
            </w:r>
          </w:p>
        </w:tc>
      </w:tr>
      <w:tr w14:paraId="5030583C">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3E34947F">
            <w:pPr>
              <w:widowControl/>
              <w:ind w:firstLine="210" w:firstLineChars="100"/>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Primary Infertility</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7EF68315">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 (50.00%)</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586B8FDE">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4 (66.67%)</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295EE4D7">
            <w:pPr>
              <w:jc w:val="center"/>
              <w:rPr>
                <w:rFonts w:hint="default" w:ascii="Times New Roman" w:hAnsi="Times New Roman" w:eastAsia="等线" w:cs="Times New Roman"/>
                <w:color w:val="000000"/>
                <w:sz w:val="21"/>
                <w:szCs w:val="21"/>
                <w:lang w:val="en-US" w:eastAsia="zh-CN"/>
              </w:rPr>
            </w:pP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2033F19E">
            <w:pPr>
              <w:jc w:val="center"/>
              <w:rPr>
                <w:rFonts w:hint="default" w:ascii="Times New Roman" w:hAnsi="Times New Roman" w:eastAsia="等线" w:cs="Times New Roman"/>
                <w:color w:val="000000"/>
                <w:sz w:val="21"/>
                <w:szCs w:val="21"/>
                <w:lang w:val="en-US" w:eastAsia="zh-CN"/>
              </w:rPr>
            </w:pPr>
          </w:p>
        </w:tc>
      </w:tr>
      <w:tr w14:paraId="28522890">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6C8FAEDB">
            <w:pPr>
              <w:widowControl/>
              <w:ind w:firstLine="210" w:firstLineChars="100"/>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Secondary Infertility</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635E7930">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 (50.00%)</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6FA8D062">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2 (33.33%)</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6FF042D0">
            <w:pPr>
              <w:jc w:val="center"/>
              <w:rPr>
                <w:rFonts w:hint="default" w:ascii="Times New Roman" w:hAnsi="Times New Roman" w:eastAsia="等线" w:cs="Times New Roman"/>
                <w:color w:val="000000"/>
                <w:sz w:val="21"/>
                <w:szCs w:val="21"/>
                <w:lang w:val="en-US" w:eastAsia="zh-CN"/>
              </w:rPr>
            </w:pP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523285A8">
            <w:pPr>
              <w:jc w:val="center"/>
              <w:rPr>
                <w:rFonts w:hint="default" w:ascii="Times New Roman" w:hAnsi="Times New Roman" w:eastAsia="等线" w:cs="Times New Roman"/>
                <w:color w:val="000000"/>
                <w:sz w:val="21"/>
                <w:szCs w:val="21"/>
                <w:lang w:val="en-US" w:eastAsia="zh-CN"/>
              </w:rPr>
            </w:pPr>
          </w:p>
        </w:tc>
      </w:tr>
      <w:tr w14:paraId="38B5B615">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374177F5">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Duration of infertility (years)</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70D15BAD">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3.0</w:t>
            </w:r>
            <w:r>
              <w:rPr>
                <w:rFonts w:hint="eastAsia" w:ascii="Times New Roman" w:hAnsi="Times New Roman" w:eastAsia="等线" w:cs="Times New Roman"/>
                <w:color w:val="000000"/>
                <w:sz w:val="21"/>
                <w:szCs w:val="21"/>
                <w:lang w:val="en-US" w:eastAsia="zh-CN"/>
              </w:rPr>
              <w:t>0</w:t>
            </w:r>
            <w:r>
              <w:rPr>
                <w:rFonts w:hint="default" w:ascii="Times New Roman" w:hAnsi="Times New Roman" w:eastAsia="等线" w:cs="Times New Roman"/>
                <w:color w:val="000000"/>
                <w:sz w:val="21"/>
                <w:szCs w:val="21"/>
                <w:lang w:val="en-US" w:eastAsia="zh-CN"/>
              </w:rPr>
              <w:t xml:space="preserve"> </w:t>
            </w:r>
            <w:r>
              <w:rPr>
                <w:rFonts w:hint="default" w:ascii="Times New Roman" w:hAnsi="Times New Roman" w:eastAsia="宋体" w:cs="Times New Roman"/>
                <w:color w:val="000000"/>
                <w:sz w:val="21"/>
                <w:szCs w:val="21"/>
                <w:lang w:val="en-US" w:eastAsia="zh-CN"/>
              </w:rPr>
              <w:t>± 1.9</w:t>
            </w:r>
            <w:r>
              <w:rPr>
                <w:rFonts w:hint="eastAsia" w:ascii="Times New Roman" w:hAnsi="Times New Roman" w:eastAsia="宋体" w:cs="Times New Roman"/>
                <w:color w:val="000000"/>
                <w:sz w:val="21"/>
                <w:szCs w:val="21"/>
                <w:lang w:val="en-US" w:eastAsia="zh-CN"/>
              </w:rPr>
              <w:t>0</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30FA94A1">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3.0</w:t>
            </w:r>
            <w:r>
              <w:rPr>
                <w:rFonts w:hint="eastAsia" w:ascii="Times New Roman" w:hAnsi="Times New Roman" w:eastAsia="等线" w:cs="Times New Roman"/>
                <w:color w:val="000000"/>
                <w:sz w:val="21"/>
                <w:szCs w:val="21"/>
                <w:lang w:val="en-US" w:eastAsia="zh-CN"/>
              </w:rPr>
              <w:t>0</w:t>
            </w:r>
            <w:r>
              <w:rPr>
                <w:rFonts w:hint="default" w:ascii="Times New Roman" w:hAnsi="Times New Roman" w:eastAsia="等线" w:cs="Times New Roman"/>
                <w:color w:val="000000"/>
                <w:sz w:val="21"/>
                <w:szCs w:val="21"/>
                <w:lang w:val="en-US" w:eastAsia="zh-CN"/>
              </w:rPr>
              <w:t xml:space="preserve"> </w:t>
            </w:r>
            <w:r>
              <w:rPr>
                <w:rFonts w:hint="default" w:ascii="Times New Roman" w:hAnsi="Times New Roman" w:eastAsia="宋体" w:cs="Times New Roman"/>
                <w:color w:val="000000"/>
                <w:sz w:val="21"/>
                <w:szCs w:val="21"/>
                <w:lang w:val="en-US" w:eastAsia="zh-CN"/>
              </w:rPr>
              <w:t>± 1.79</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428F8C4E">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0.00</w:t>
            </w:r>
            <w:r>
              <w:rPr>
                <w:rFonts w:hint="eastAsia" w:ascii="Times New Roman" w:hAnsi="Times New Roman" w:eastAsia="等线" w:cs="Times New Roman"/>
                <w:color w:val="000000"/>
                <w:sz w:val="21"/>
                <w:szCs w:val="21"/>
                <w:lang w:val="en-US" w:eastAsia="zh-CN"/>
              </w:rPr>
              <w:t>0</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7A504F2F">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1.000</w:t>
            </w:r>
          </w:p>
        </w:tc>
      </w:tr>
      <w:tr w14:paraId="75CC52FD">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74F385B8">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FSH</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(mIU/m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1D513324">
            <w:pPr>
              <w:jc w:val="center"/>
              <w:rPr>
                <w:rFonts w:hint="default" w:ascii="Times New Roman" w:hAnsi="Times New Roman" w:eastAsia="等线" w:cs="Times New Roman"/>
                <w:color w:val="000000"/>
                <w:sz w:val="21"/>
                <w:szCs w:val="21"/>
                <w:lang w:val="en-US" w:eastAsia="zh-CN"/>
              </w:rPr>
            </w:pPr>
            <w:r>
              <w:rPr>
                <w:rFonts w:hint="eastAsia" w:ascii="Times New Roman" w:hAnsi="Times New Roman" w:eastAsia="等线" w:cs="Times New Roman"/>
                <w:color w:val="000000"/>
                <w:sz w:val="21"/>
                <w:szCs w:val="21"/>
                <w:lang w:val="en-US" w:eastAsia="zh-CN"/>
              </w:rPr>
              <w:t>5</w:t>
            </w:r>
            <w:r>
              <w:rPr>
                <w:rFonts w:hint="default" w:ascii="Times New Roman" w:hAnsi="Times New Roman" w:eastAsia="等线" w:cs="Times New Roman"/>
                <w:color w:val="000000"/>
                <w:sz w:val="21"/>
                <w:szCs w:val="21"/>
                <w:lang w:val="en-US" w:eastAsia="zh-CN"/>
              </w:rPr>
              <w:t>.</w:t>
            </w:r>
            <w:r>
              <w:rPr>
                <w:rFonts w:hint="eastAsia" w:ascii="Times New Roman" w:hAnsi="Times New Roman" w:eastAsia="等线" w:cs="Times New Roman"/>
                <w:color w:val="000000"/>
                <w:sz w:val="21"/>
                <w:szCs w:val="21"/>
                <w:lang w:val="en-US" w:eastAsia="zh-CN"/>
              </w:rPr>
              <w:t>22</w:t>
            </w:r>
            <w:r>
              <w:rPr>
                <w:rFonts w:hint="default" w:ascii="Times New Roman" w:hAnsi="Times New Roman" w:eastAsia="等线" w:cs="Times New Roman"/>
                <w:color w:val="000000"/>
                <w:sz w:val="21"/>
                <w:szCs w:val="21"/>
                <w:lang w:val="en-US" w:eastAsia="zh-CN"/>
              </w:rPr>
              <w:t xml:space="preserve"> </w:t>
            </w:r>
            <w:r>
              <w:rPr>
                <w:rFonts w:hint="default" w:ascii="Times New Roman" w:hAnsi="Times New Roman" w:eastAsia="宋体" w:cs="Times New Roman"/>
                <w:color w:val="000000"/>
                <w:sz w:val="21"/>
                <w:szCs w:val="21"/>
                <w:lang w:val="en-US" w:eastAsia="zh-CN"/>
              </w:rPr>
              <w:t>± 0.9</w:t>
            </w:r>
            <w:r>
              <w:rPr>
                <w:rFonts w:hint="eastAsia" w:ascii="Times New Roman" w:hAnsi="Times New Roman" w:eastAsia="宋体" w:cs="Times New Roman"/>
                <w:color w:val="000000"/>
                <w:sz w:val="21"/>
                <w:szCs w:val="21"/>
                <w:lang w:val="en-US" w:eastAsia="zh-CN"/>
              </w:rPr>
              <w:t>8</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35EC09A6">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4.44 </w:t>
            </w:r>
            <w:r>
              <w:rPr>
                <w:rFonts w:hint="default" w:ascii="Times New Roman" w:hAnsi="Times New Roman" w:eastAsia="宋体" w:cs="Times New Roman"/>
                <w:color w:val="000000"/>
                <w:sz w:val="21"/>
                <w:szCs w:val="21"/>
                <w:lang w:val="en-US" w:eastAsia="zh-CN"/>
              </w:rPr>
              <w:t>± 0.76</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2232686C">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1.</w:t>
            </w:r>
            <w:r>
              <w:rPr>
                <w:rFonts w:hint="eastAsia" w:ascii="Times New Roman" w:hAnsi="Times New Roman" w:eastAsia="等线" w:cs="Times New Roman"/>
                <w:color w:val="000000"/>
                <w:sz w:val="21"/>
                <w:szCs w:val="21"/>
                <w:lang w:val="en-US" w:eastAsia="zh-CN"/>
              </w:rPr>
              <w:t>537</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603B16D0">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0.1</w:t>
            </w:r>
            <w:r>
              <w:rPr>
                <w:rFonts w:hint="eastAsia" w:ascii="Times New Roman" w:hAnsi="Times New Roman" w:eastAsia="等线" w:cs="Times New Roman"/>
                <w:color w:val="000000"/>
                <w:sz w:val="21"/>
                <w:szCs w:val="21"/>
                <w:lang w:val="en-US" w:eastAsia="zh-CN"/>
              </w:rPr>
              <w:t>55</w:t>
            </w:r>
          </w:p>
        </w:tc>
      </w:tr>
      <w:tr w14:paraId="23C970DF">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727DD04A">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LH</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(mIU/m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0034164A">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3.54 </w:t>
            </w:r>
            <w:r>
              <w:rPr>
                <w:rFonts w:hint="default" w:ascii="Times New Roman" w:hAnsi="Times New Roman" w:eastAsia="宋体" w:cs="Times New Roman"/>
                <w:color w:val="000000"/>
                <w:sz w:val="21"/>
                <w:szCs w:val="21"/>
                <w:lang w:val="en-US" w:eastAsia="zh-CN"/>
              </w:rPr>
              <w:t>± 1.19</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3842D345">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4.42 </w:t>
            </w:r>
            <w:r>
              <w:rPr>
                <w:rFonts w:hint="default" w:ascii="Times New Roman" w:hAnsi="Times New Roman" w:eastAsia="宋体" w:cs="Times New Roman"/>
                <w:color w:val="000000"/>
                <w:sz w:val="21"/>
                <w:szCs w:val="21"/>
                <w:lang w:val="en-US" w:eastAsia="zh-CN"/>
              </w:rPr>
              <w:t>± 1.</w:t>
            </w:r>
            <w:r>
              <w:rPr>
                <w:rFonts w:hint="eastAsia" w:ascii="Times New Roman" w:hAnsi="Times New Roman" w:eastAsia="宋体" w:cs="Times New Roman"/>
                <w:color w:val="000000"/>
                <w:sz w:val="21"/>
                <w:szCs w:val="21"/>
                <w:lang w:val="en-US" w:eastAsia="zh-CN"/>
              </w:rPr>
              <w:t>60</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0DC207F3">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-1.083</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68866119">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0.304</w:t>
            </w:r>
          </w:p>
        </w:tc>
      </w:tr>
      <w:tr w14:paraId="693D8C4E">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0F059752">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PRL</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(ng/m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036BB76C">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14.92 </w:t>
            </w:r>
            <w:r>
              <w:rPr>
                <w:rFonts w:hint="default" w:ascii="Times New Roman" w:hAnsi="Times New Roman" w:eastAsia="宋体" w:cs="Times New Roman"/>
                <w:color w:val="000000"/>
                <w:sz w:val="21"/>
                <w:szCs w:val="21"/>
                <w:lang w:val="en-US" w:eastAsia="zh-CN"/>
              </w:rPr>
              <w:t>± 5.19</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1634D278">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18.23 </w:t>
            </w:r>
            <w:r>
              <w:rPr>
                <w:rFonts w:hint="default" w:ascii="Times New Roman" w:hAnsi="Times New Roman" w:eastAsia="宋体" w:cs="Times New Roman"/>
                <w:color w:val="000000"/>
                <w:sz w:val="21"/>
                <w:szCs w:val="21"/>
                <w:lang w:val="en-US" w:eastAsia="zh-CN"/>
              </w:rPr>
              <w:t>± 6.95</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59D3EE93">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-0.937</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583EF532">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0.371</w:t>
            </w:r>
          </w:p>
        </w:tc>
      </w:tr>
      <w:tr w14:paraId="187B4AE9">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54D71932">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Basal</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E2</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(pg/m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78D4F4E6">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23.00 (13.00–36.00)</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1C94226F">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16.00 (15.00–17.75)</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6E884783">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U = 20.0</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73DD9D51">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w:t>
            </w:r>
            <w:r>
              <w:rPr>
                <w:rFonts w:hint="eastAsia" w:ascii="Times New Roman" w:hAnsi="Times New Roman" w:eastAsia="等线" w:cs="Times New Roman"/>
                <w:color w:val="000000"/>
                <w:sz w:val="21"/>
                <w:szCs w:val="21"/>
                <w:lang w:val="en-US" w:eastAsia="zh-CN"/>
              </w:rPr>
              <w:t>818</w:t>
            </w:r>
          </w:p>
        </w:tc>
      </w:tr>
      <w:tr w14:paraId="2316DF51">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09C2B386">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Progesterone (ng/mL)</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308CEEB5">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0.37 </w:t>
            </w:r>
            <w:r>
              <w:rPr>
                <w:rFonts w:hint="default" w:ascii="Times New Roman" w:hAnsi="Times New Roman" w:eastAsia="宋体" w:cs="Times New Roman"/>
                <w:color w:val="000000"/>
                <w:sz w:val="21"/>
                <w:szCs w:val="21"/>
                <w:lang w:val="en-US" w:eastAsia="zh-CN"/>
              </w:rPr>
              <w:t>± 0.25</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0179A2CE">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0.27 </w:t>
            </w:r>
            <w:r>
              <w:rPr>
                <w:rFonts w:hint="default" w:ascii="Times New Roman" w:hAnsi="Times New Roman" w:eastAsia="宋体" w:cs="Times New Roman"/>
                <w:color w:val="000000"/>
                <w:sz w:val="21"/>
                <w:szCs w:val="21"/>
                <w:lang w:val="en-US" w:eastAsia="zh-CN"/>
              </w:rPr>
              <w:t>± 0.11</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6338BC0A">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0.883</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047E2609">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0.398</w:t>
            </w:r>
          </w:p>
        </w:tc>
      </w:tr>
      <w:tr w14:paraId="5A20B30B">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189B8E95">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Testosterone</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(ng/</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mL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5AC64A7F">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0.31 </w:t>
            </w:r>
            <w:r>
              <w:rPr>
                <w:rFonts w:hint="default" w:ascii="Times New Roman" w:hAnsi="Times New Roman" w:eastAsia="宋体" w:cs="Times New Roman"/>
                <w:color w:val="000000"/>
                <w:sz w:val="21"/>
                <w:szCs w:val="21"/>
                <w:lang w:val="en-US" w:eastAsia="zh-CN"/>
              </w:rPr>
              <w:t>± 0.11</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3D931EB8">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0.39 </w:t>
            </w:r>
            <w:r>
              <w:rPr>
                <w:rFonts w:hint="default" w:ascii="Times New Roman" w:hAnsi="Times New Roman" w:eastAsia="宋体" w:cs="Times New Roman"/>
                <w:color w:val="000000"/>
                <w:sz w:val="21"/>
                <w:szCs w:val="21"/>
                <w:lang w:val="en-US" w:eastAsia="zh-CN"/>
              </w:rPr>
              <w:t>± 0.14</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25FC056F">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-0.991</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61614133">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0.345</w:t>
            </w:r>
          </w:p>
        </w:tc>
      </w:tr>
      <w:tr w14:paraId="3EE1BD0A">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06F12937">
            <w:pPr>
              <w:widowControl/>
              <w:rPr>
                <w:rFonts w:hint="default" w:ascii="Times New Roman" w:hAnsi="Times New Roman" w:eastAsia="等线" w:cs="Times New Roman"/>
                <w:color w:val="00000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AMH</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(ng/m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3FF1F79D">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3.42 (2.19–4.72)</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7E90B79B">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5.86 (5.60–7.82)</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4B5179F2">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U = 0.0</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74078D13">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0.0</w:t>
            </w:r>
            <w:r>
              <w:rPr>
                <w:rFonts w:hint="eastAsia" w:ascii="Times New Roman" w:hAnsi="Times New Roman" w:eastAsia="等线" w:cs="Times New Roman"/>
                <w:color w:val="000000"/>
                <w:sz w:val="21"/>
                <w:szCs w:val="21"/>
                <w:lang w:val="en-US" w:eastAsia="zh-CN"/>
              </w:rPr>
              <w:t>02</w:t>
            </w:r>
          </w:p>
        </w:tc>
      </w:tr>
      <w:tr w14:paraId="2587AD80">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1C614C0D">
            <w:pPr>
              <w:widowControl/>
              <w:rPr>
                <w:rFonts w:hint="default" w:ascii="Times New Roman" w:hAnsi="Times New Roman" w:eastAsia="等线" w:cs="Times New Roman"/>
                <w:color w:val="000000"/>
                <w:sz w:val="21"/>
                <w:szCs w:val="21"/>
              </w:rPr>
            </w:pPr>
            <w:r>
              <w:rPr>
                <w:rFonts w:hint="default" w:ascii="Times New Roman" w:hAnsi="Times New Roman" w:cs="Times New Roman"/>
                <w:color w:val="000000"/>
                <w:kern w:val="2"/>
                <w:sz w:val="21"/>
                <w:szCs w:val="21"/>
                <w:lang w:val="en-US" w:eastAsia="zh-CN" w:bidi="ar-SA"/>
              </w:rPr>
              <w:t>Total gonadotropin dose (IU)</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4C0AF331">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2058.33 </w:t>
            </w:r>
            <w:r>
              <w:rPr>
                <w:rFonts w:hint="default" w:ascii="Times New Roman" w:hAnsi="Times New Roman" w:eastAsia="宋体" w:cs="Times New Roman"/>
                <w:color w:val="000000"/>
                <w:sz w:val="21"/>
                <w:szCs w:val="21"/>
                <w:lang w:val="en-US" w:eastAsia="zh-CN"/>
              </w:rPr>
              <w:t>± 670.57</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0626318C">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1737.5</w:t>
            </w:r>
            <w:r>
              <w:rPr>
                <w:rFonts w:hint="eastAsia" w:ascii="Times New Roman" w:hAnsi="Times New Roman" w:eastAsia="等线" w:cs="Times New Roman"/>
                <w:color w:val="000000"/>
                <w:sz w:val="21"/>
                <w:szCs w:val="21"/>
                <w:lang w:val="en-US" w:eastAsia="zh-CN"/>
              </w:rPr>
              <w:t>0</w:t>
            </w:r>
            <w:r>
              <w:rPr>
                <w:rFonts w:hint="default" w:ascii="Times New Roman" w:hAnsi="Times New Roman" w:eastAsia="等线" w:cs="Times New Roman"/>
                <w:color w:val="000000"/>
                <w:sz w:val="21"/>
                <w:szCs w:val="21"/>
                <w:lang w:val="en-US" w:eastAsia="zh-CN"/>
              </w:rPr>
              <w:t xml:space="preserve"> </w:t>
            </w:r>
            <w:r>
              <w:rPr>
                <w:rFonts w:hint="default" w:ascii="Times New Roman" w:hAnsi="Times New Roman" w:eastAsia="宋体" w:cs="Times New Roman"/>
                <w:color w:val="000000"/>
                <w:sz w:val="21"/>
                <w:szCs w:val="21"/>
                <w:lang w:val="en-US" w:eastAsia="zh-CN"/>
              </w:rPr>
              <w:t>± 560.52</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0191EDE6">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0.899</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6E1C693B">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w:t>
            </w:r>
            <w:r>
              <w:rPr>
                <w:rFonts w:hint="eastAsia" w:ascii="Times New Roman" w:hAnsi="Times New Roman" w:eastAsia="等线" w:cs="Times New Roman"/>
                <w:color w:val="000000"/>
                <w:sz w:val="21"/>
                <w:szCs w:val="21"/>
                <w:lang w:val="en-US" w:eastAsia="zh-CN"/>
              </w:rPr>
              <w:t>3</w:t>
            </w:r>
            <w:r>
              <w:rPr>
                <w:rFonts w:hint="default" w:ascii="Times New Roman" w:hAnsi="Times New Roman" w:eastAsia="等线" w:cs="Times New Roman"/>
                <w:color w:val="000000"/>
                <w:sz w:val="21"/>
                <w:szCs w:val="21"/>
                <w:lang w:val="en-US" w:eastAsia="zh-CN"/>
              </w:rPr>
              <w:t>9</w:t>
            </w:r>
            <w:r>
              <w:rPr>
                <w:rFonts w:hint="eastAsia" w:ascii="Times New Roman" w:hAnsi="Times New Roman" w:eastAsia="等线" w:cs="Times New Roman"/>
                <w:color w:val="000000"/>
                <w:sz w:val="21"/>
                <w:szCs w:val="21"/>
                <w:lang w:val="en-US" w:eastAsia="zh-CN"/>
              </w:rPr>
              <w:t>0</w:t>
            </w:r>
          </w:p>
        </w:tc>
      </w:tr>
      <w:tr w14:paraId="7DFC8E4D">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60BC2B02">
            <w:pPr>
              <w:widowControl/>
              <w:rPr>
                <w:rFonts w:hint="default" w:ascii="Times New Roman" w:hAnsi="Times New Roman" w:eastAsia="等线" w:cs="Times New Roman"/>
                <w:color w:val="000000"/>
                <w:sz w:val="21"/>
                <w:szCs w:val="21"/>
              </w:rPr>
            </w:pPr>
            <w:r>
              <w:rPr>
                <w:rFonts w:hint="default" w:ascii="Times New Roman" w:hAnsi="Times New Roman" w:cs="Times New Roman"/>
                <w:color w:val="000000"/>
                <w:kern w:val="2"/>
                <w:sz w:val="21"/>
                <w:szCs w:val="21"/>
                <w:lang w:val="en-US" w:eastAsia="zh-CN" w:bidi="ar-SA"/>
              </w:rPr>
              <w:t>Duration of gonadotropin stimulation (days)</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428EDC68">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10.83 </w:t>
            </w:r>
            <w:r>
              <w:rPr>
                <w:rFonts w:hint="default" w:ascii="Times New Roman" w:hAnsi="Times New Roman" w:eastAsia="宋体" w:cs="Times New Roman"/>
                <w:color w:val="000000"/>
                <w:sz w:val="21"/>
                <w:szCs w:val="21"/>
                <w:lang w:val="en-US" w:eastAsia="zh-CN"/>
              </w:rPr>
              <w:t>± 1.47</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538E8106">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10.33 </w:t>
            </w:r>
            <w:r>
              <w:rPr>
                <w:rFonts w:hint="default" w:ascii="Times New Roman" w:hAnsi="Times New Roman" w:eastAsia="宋体" w:cs="Times New Roman"/>
                <w:color w:val="000000"/>
                <w:sz w:val="21"/>
                <w:szCs w:val="21"/>
                <w:lang w:val="en-US" w:eastAsia="zh-CN"/>
              </w:rPr>
              <w:t>± 0.82</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3A5876ED">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0.728</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3C13BE09">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0.484</w:t>
            </w:r>
          </w:p>
        </w:tc>
      </w:tr>
      <w:tr w14:paraId="4FA1F967">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5BEC9BD5">
            <w:pPr>
              <w:widowControl/>
              <w:rPr>
                <w:rFonts w:hint="default" w:ascii="Times New Roman" w:hAnsi="Times New Roman" w:eastAsia="等线" w:cs="Times New Roman"/>
                <w:color w:val="000000"/>
                <w:sz w:val="21"/>
                <w:szCs w:val="21"/>
              </w:rPr>
            </w:pPr>
            <w:r>
              <w:rPr>
                <w:rFonts w:hint="default" w:ascii="Times New Roman" w:hAnsi="Times New Roman" w:cs="Times New Roman"/>
                <w:color w:val="000000"/>
                <w:kern w:val="2"/>
                <w:sz w:val="21"/>
                <w:szCs w:val="21"/>
                <w:lang w:val="en-US" w:eastAsia="zh-CN" w:bidi="ar-SA"/>
              </w:rPr>
              <w:t>On the hCG trigger day</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5893EF0D">
            <w:pPr>
              <w:jc w:val="center"/>
              <w:rPr>
                <w:rFonts w:hint="default" w:ascii="Times New Roman" w:hAnsi="Times New Roman" w:eastAsia="等线" w:cs="Times New Roman"/>
                <w:color w:val="000000"/>
                <w:sz w:val="21"/>
                <w:szCs w:val="21"/>
                <w:lang w:val="en-US" w:eastAsia="zh-CN"/>
              </w:rPr>
            </w:pP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6043F36A">
            <w:pPr>
              <w:jc w:val="center"/>
              <w:rPr>
                <w:rFonts w:hint="default" w:ascii="Times New Roman" w:hAnsi="Times New Roman" w:eastAsia="等线" w:cs="Times New Roman"/>
                <w:color w:val="000000"/>
                <w:sz w:val="21"/>
                <w:szCs w:val="21"/>
                <w:lang w:val="en-US" w:eastAsia="zh-CN"/>
              </w:rPr>
            </w:pP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7192114B">
            <w:pPr>
              <w:jc w:val="center"/>
              <w:rPr>
                <w:rFonts w:hint="default" w:ascii="Times New Roman" w:hAnsi="Times New Roman" w:eastAsia="等线" w:cs="Times New Roman"/>
                <w:color w:val="000000"/>
                <w:sz w:val="21"/>
                <w:szCs w:val="21"/>
                <w:lang w:val="en-US" w:eastAsia="zh-CN"/>
              </w:rPr>
            </w:pP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10997029">
            <w:pPr>
              <w:jc w:val="center"/>
              <w:rPr>
                <w:rFonts w:hint="default" w:ascii="Times New Roman" w:hAnsi="Times New Roman" w:eastAsia="等线" w:cs="Times New Roman"/>
                <w:color w:val="000000"/>
                <w:sz w:val="21"/>
                <w:szCs w:val="21"/>
                <w:lang w:val="en-US" w:eastAsia="zh-CN"/>
              </w:rPr>
            </w:pPr>
          </w:p>
        </w:tc>
      </w:tr>
      <w:tr w14:paraId="42DE8574">
        <w:tblPrEx>
          <w:tblCellMar>
            <w:top w:w="0" w:type="dxa"/>
            <w:left w:w="0" w:type="dxa"/>
            <w:bottom w:w="0" w:type="dxa"/>
            <w:right w:w="0" w:type="dxa"/>
          </w:tblCellMar>
        </w:tblPrEx>
        <w:trPr>
          <w:trHeight w:val="229" w:hRule="atLeast"/>
          <w:jc w:val="center"/>
        </w:trPr>
        <w:tc>
          <w:tcPr>
            <w:tcW w:w="1506" w:type="pct"/>
            <w:tcBorders>
              <w:top w:val="nil"/>
              <w:left w:val="nil"/>
              <w:bottom w:val="nil"/>
              <w:right w:val="nil"/>
            </w:tcBorders>
            <w:shd w:val="clear" w:color="auto" w:fill="auto"/>
            <w:tcMar>
              <w:top w:w="15" w:type="dxa"/>
              <w:left w:w="15" w:type="dxa"/>
              <w:bottom w:w="0" w:type="dxa"/>
              <w:right w:w="15" w:type="dxa"/>
            </w:tcMar>
            <w:vAlign w:val="center"/>
          </w:tcPr>
          <w:p w14:paraId="56B3E248">
            <w:pPr>
              <w:widowControl/>
              <w:ind w:firstLine="210" w:firstLineChars="100"/>
              <w:rPr>
                <w:rFonts w:hint="default" w:ascii="Times New Roman" w:hAnsi="Times New Roman" w:eastAsia="等线" w:cs="Times New Roman"/>
                <w:color w:val="000000"/>
                <w:sz w:val="21"/>
                <w:szCs w:val="21"/>
              </w:rPr>
            </w:pPr>
            <w:r>
              <w:rPr>
                <w:rFonts w:hint="default" w:ascii="Times New Roman" w:hAnsi="Times New Roman" w:cs="Times New Roman"/>
                <w:color w:val="000000"/>
                <w:kern w:val="2"/>
                <w:sz w:val="21"/>
                <w:szCs w:val="21"/>
                <w:lang w:val="en-US" w:eastAsia="zh-CN" w:bidi="ar-SA"/>
              </w:rPr>
              <w:t>Endometrial thickness</w:t>
            </w:r>
            <w:r>
              <w:rPr>
                <w:rFonts w:hint="eastAsia" w:ascii="Times New Roman" w:hAnsi="Times New Roman" w:cs="Times New Roman"/>
                <w:color w:val="000000"/>
                <w:kern w:val="2"/>
                <w:sz w:val="21"/>
                <w:szCs w:val="21"/>
                <w:lang w:val="en-US" w:eastAsia="zh-CN" w:bidi="ar-SA"/>
              </w:rPr>
              <w:t xml:space="preserve"> </w:t>
            </w:r>
            <w:r>
              <w:rPr>
                <w:rFonts w:hint="default" w:ascii="Times New Roman" w:hAnsi="Times New Roman" w:cs="Times New Roman"/>
                <w:color w:val="000000"/>
                <w:kern w:val="2"/>
                <w:sz w:val="21"/>
                <w:szCs w:val="21"/>
                <w:lang w:val="en-US" w:eastAsia="zh-CN" w:bidi="ar-SA"/>
              </w:rPr>
              <w:t>(mm)</w:t>
            </w:r>
          </w:p>
        </w:tc>
        <w:tc>
          <w:tcPr>
            <w:tcW w:w="1167" w:type="pct"/>
            <w:tcBorders>
              <w:top w:val="nil"/>
              <w:left w:val="nil"/>
              <w:bottom w:val="nil"/>
              <w:right w:val="nil"/>
            </w:tcBorders>
            <w:shd w:val="clear" w:color="auto" w:fill="auto"/>
            <w:tcMar>
              <w:top w:w="15" w:type="dxa"/>
              <w:left w:w="15" w:type="dxa"/>
              <w:bottom w:w="0" w:type="dxa"/>
              <w:right w:w="15" w:type="dxa"/>
            </w:tcMar>
            <w:vAlign w:val="center"/>
          </w:tcPr>
          <w:p w14:paraId="262EEB2B">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12.25 </w:t>
            </w:r>
            <w:r>
              <w:rPr>
                <w:rFonts w:hint="default" w:ascii="Times New Roman" w:hAnsi="Times New Roman" w:eastAsia="宋体" w:cs="Times New Roman"/>
                <w:color w:val="000000"/>
                <w:sz w:val="21"/>
                <w:szCs w:val="21"/>
                <w:lang w:val="en-US" w:eastAsia="zh-CN"/>
              </w:rPr>
              <w:t>± 2.15</w:t>
            </w:r>
          </w:p>
        </w:tc>
        <w:tc>
          <w:tcPr>
            <w:tcW w:w="1111" w:type="pct"/>
            <w:tcBorders>
              <w:top w:val="nil"/>
              <w:left w:val="nil"/>
              <w:bottom w:val="nil"/>
              <w:right w:val="nil"/>
            </w:tcBorders>
            <w:shd w:val="clear" w:color="auto" w:fill="auto"/>
            <w:tcMar>
              <w:top w:w="15" w:type="dxa"/>
              <w:left w:w="15" w:type="dxa"/>
              <w:bottom w:w="0" w:type="dxa"/>
              <w:right w:w="15" w:type="dxa"/>
            </w:tcMar>
            <w:vAlign w:val="center"/>
          </w:tcPr>
          <w:p w14:paraId="5FAD7F61">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 xml:space="preserve">10.48 </w:t>
            </w:r>
            <w:r>
              <w:rPr>
                <w:rFonts w:hint="default" w:ascii="Times New Roman" w:hAnsi="Times New Roman" w:eastAsia="宋体" w:cs="Times New Roman"/>
                <w:color w:val="000000"/>
                <w:sz w:val="21"/>
                <w:szCs w:val="21"/>
                <w:lang w:val="en-US" w:eastAsia="zh-CN"/>
              </w:rPr>
              <w:t>± 1.7</w:t>
            </w:r>
            <w:r>
              <w:rPr>
                <w:rFonts w:hint="eastAsia" w:ascii="Times New Roman" w:hAnsi="Times New Roman" w:eastAsia="宋体" w:cs="Times New Roman"/>
                <w:color w:val="000000"/>
                <w:sz w:val="21"/>
                <w:szCs w:val="21"/>
                <w:lang w:val="en-US" w:eastAsia="zh-CN"/>
              </w:rPr>
              <w:t>6</w:t>
            </w:r>
          </w:p>
        </w:tc>
        <w:tc>
          <w:tcPr>
            <w:tcW w:w="632" w:type="pct"/>
            <w:tcBorders>
              <w:top w:val="nil"/>
              <w:left w:val="nil"/>
              <w:bottom w:val="nil"/>
              <w:right w:val="nil"/>
            </w:tcBorders>
            <w:shd w:val="clear" w:color="auto" w:fill="auto"/>
            <w:tcMar>
              <w:top w:w="15" w:type="dxa"/>
              <w:left w:w="15" w:type="dxa"/>
              <w:bottom w:w="0" w:type="dxa"/>
              <w:right w:w="15" w:type="dxa"/>
            </w:tcMar>
            <w:vAlign w:val="center"/>
          </w:tcPr>
          <w:p w14:paraId="512984BA">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t =</w:t>
            </w:r>
            <w:r>
              <w:rPr>
                <w:rFonts w:hint="eastAsia" w:ascii="Times New Roman" w:hAnsi="Times New Roman" w:eastAsia="等线" w:cs="Times New Roman"/>
                <w:color w:val="000000"/>
                <w:sz w:val="21"/>
                <w:szCs w:val="21"/>
                <w:lang w:val="en-US" w:eastAsia="zh-CN"/>
              </w:rPr>
              <w:t xml:space="preserve"> </w:t>
            </w:r>
            <w:r>
              <w:rPr>
                <w:rFonts w:hint="default" w:ascii="Times New Roman" w:hAnsi="Times New Roman" w:eastAsia="等线" w:cs="Times New Roman"/>
                <w:color w:val="000000"/>
                <w:sz w:val="21"/>
                <w:szCs w:val="21"/>
                <w:lang w:val="en-US" w:eastAsia="zh-CN"/>
              </w:rPr>
              <w:t>1.558</w:t>
            </w:r>
          </w:p>
        </w:tc>
        <w:tc>
          <w:tcPr>
            <w:tcW w:w="581" w:type="pct"/>
            <w:tcBorders>
              <w:top w:val="nil"/>
              <w:left w:val="nil"/>
              <w:bottom w:val="nil"/>
              <w:right w:val="nil"/>
            </w:tcBorders>
            <w:shd w:val="clear" w:color="auto" w:fill="auto"/>
            <w:tcMar>
              <w:top w:w="15" w:type="dxa"/>
              <w:left w:w="15" w:type="dxa"/>
              <w:bottom w:w="0" w:type="dxa"/>
              <w:right w:w="15" w:type="dxa"/>
            </w:tcMar>
            <w:vAlign w:val="center"/>
          </w:tcPr>
          <w:p w14:paraId="49A8DE4E">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0.15</w:t>
            </w:r>
            <w:r>
              <w:rPr>
                <w:rFonts w:hint="eastAsia" w:ascii="Times New Roman" w:hAnsi="Times New Roman" w:eastAsia="等线" w:cs="Times New Roman"/>
                <w:color w:val="000000"/>
                <w:sz w:val="21"/>
                <w:szCs w:val="21"/>
                <w:lang w:val="en-US" w:eastAsia="zh-CN"/>
              </w:rPr>
              <w:t>0</w:t>
            </w:r>
          </w:p>
        </w:tc>
      </w:tr>
      <w:tr w14:paraId="267F87FC">
        <w:tblPrEx>
          <w:tblCellMar>
            <w:top w:w="0" w:type="dxa"/>
            <w:left w:w="0" w:type="dxa"/>
            <w:bottom w:w="0" w:type="dxa"/>
            <w:right w:w="0" w:type="dxa"/>
          </w:tblCellMar>
        </w:tblPrEx>
        <w:trPr>
          <w:trHeight w:val="285" w:hRule="atLeast"/>
          <w:jc w:val="center"/>
        </w:trPr>
        <w:tc>
          <w:tcPr>
            <w:tcW w:w="1506" w:type="pct"/>
            <w:tcBorders>
              <w:top w:val="nil"/>
              <w:left w:val="nil"/>
              <w:bottom w:val="single" w:color="auto" w:sz="12" w:space="0"/>
              <w:right w:val="nil"/>
            </w:tcBorders>
            <w:shd w:val="clear" w:color="auto" w:fill="auto"/>
            <w:tcMar>
              <w:top w:w="15" w:type="dxa"/>
              <w:left w:w="15" w:type="dxa"/>
              <w:bottom w:w="0" w:type="dxa"/>
              <w:right w:w="15" w:type="dxa"/>
            </w:tcMar>
            <w:vAlign w:val="center"/>
          </w:tcPr>
          <w:p w14:paraId="4AC007A5">
            <w:pPr>
              <w:ind w:firstLine="210" w:firstLineChars="100"/>
              <w:jc w:val="both"/>
              <w:rPr>
                <w:rFonts w:hint="default" w:ascii="Times New Roman" w:hAnsi="Times New Roman" w:eastAsia="等线" w:cs="Times New Roman"/>
                <w:color w:val="000000"/>
                <w:sz w:val="21"/>
                <w:szCs w:val="21"/>
              </w:rPr>
            </w:pPr>
            <w:r>
              <w:rPr>
                <w:rFonts w:hint="default" w:ascii="Times New Roman" w:hAnsi="Times New Roman" w:eastAsia="AdvPTimes" w:cs="Times New Roman"/>
                <w:color w:val="000000"/>
                <w:kern w:val="0"/>
                <w:sz w:val="21"/>
                <w:szCs w:val="21"/>
                <w:lang w:val="en-US" w:eastAsia="zh-CN" w:bidi="ar"/>
              </w:rPr>
              <w:t>Serum</w:t>
            </w:r>
            <w:r>
              <w:rPr>
                <w:rFonts w:hint="eastAsia" w:ascii="Times New Roman" w:hAnsi="Times New Roman" w:eastAsia="AdvPTimes" w:cs="Times New Roman"/>
                <w:color w:val="000000"/>
                <w:kern w:val="0"/>
                <w:sz w:val="21"/>
                <w:szCs w:val="21"/>
                <w:lang w:val="en-US" w:eastAsia="zh-CN" w:bidi="ar"/>
              </w:rPr>
              <w:t xml:space="preserve"> </w:t>
            </w:r>
            <w:r>
              <w:rPr>
                <w:rFonts w:hint="default" w:ascii="Times New Roman" w:hAnsi="Times New Roman" w:eastAsia="AdvPTimes" w:cs="Times New Roman"/>
                <w:color w:val="000000"/>
                <w:kern w:val="0"/>
                <w:sz w:val="21"/>
                <w:szCs w:val="21"/>
                <w:lang w:val="en-US" w:eastAsia="zh-CN" w:bidi="ar"/>
              </w:rPr>
              <w:t>E2</w:t>
            </w:r>
            <w:r>
              <w:rPr>
                <w:rFonts w:hint="eastAsia" w:ascii="Times New Roman" w:hAnsi="Times New Roman" w:eastAsia="AdvPTimes" w:cs="Times New Roman"/>
                <w:color w:val="000000"/>
                <w:kern w:val="0"/>
                <w:sz w:val="21"/>
                <w:szCs w:val="21"/>
                <w:lang w:val="en-US" w:eastAsia="zh-CN" w:bidi="ar"/>
              </w:rPr>
              <w:t xml:space="preserve"> (</w:t>
            </w:r>
            <w:r>
              <w:rPr>
                <w:rFonts w:hint="default" w:ascii="Times New Roman" w:hAnsi="Times New Roman" w:eastAsia="宋体" w:cs="Times New Roman"/>
                <w:b w:val="0"/>
                <w:bCs w:val="0"/>
                <w:i w:val="0"/>
                <w:iCs w:val="0"/>
                <w:color w:val="000000"/>
                <w:kern w:val="0"/>
                <w:sz w:val="21"/>
                <w:szCs w:val="21"/>
                <w:u w:val="none"/>
                <w:lang w:val="en-US" w:eastAsia="zh-CN" w:bidi="ar"/>
                <w14:ligatures w14:val="standardContextual"/>
              </w:rPr>
              <w:t>pg/m</w:t>
            </w:r>
            <w:r>
              <w:rPr>
                <w:rFonts w:hint="eastAsia" w:ascii="Times New Roman" w:hAnsi="Times New Roman" w:eastAsia="宋体" w:cs="Times New Roman"/>
                <w:b w:val="0"/>
                <w:bCs w:val="0"/>
                <w:i w:val="0"/>
                <w:iCs w:val="0"/>
                <w:color w:val="000000"/>
                <w:kern w:val="0"/>
                <w:sz w:val="21"/>
                <w:szCs w:val="21"/>
                <w:u w:val="none"/>
                <w:lang w:val="en-US" w:eastAsia="zh-CN" w:bidi="ar"/>
                <w14:ligatures w14:val="standardContextual"/>
              </w:rPr>
              <w:t>L</w:t>
            </w:r>
            <w:r>
              <w:rPr>
                <w:rFonts w:hint="eastAsia" w:ascii="Times New Roman" w:hAnsi="Times New Roman" w:eastAsia="AdvPTimes" w:cs="Times New Roman"/>
                <w:color w:val="000000"/>
                <w:kern w:val="0"/>
                <w:sz w:val="21"/>
                <w:szCs w:val="21"/>
                <w:lang w:val="en-US" w:eastAsia="zh-CN" w:bidi="ar"/>
              </w:rPr>
              <w:t>)</w:t>
            </w:r>
          </w:p>
        </w:tc>
        <w:tc>
          <w:tcPr>
            <w:tcW w:w="1167" w:type="pct"/>
            <w:tcBorders>
              <w:top w:val="nil"/>
              <w:left w:val="nil"/>
              <w:bottom w:val="single" w:color="auto" w:sz="12" w:space="0"/>
              <w:right w:val="nil"/>
            </w:tcBorders>
            <w:shd w:val="clear" w:color="auto" w:fill="auto"/>
            <w:tcMar>
              <w:top w:w="15" w:type="dxa"/>
              <w:left w:w="15" w:type="dxa"/>
              <w:bottom w:w="0" w:type="dxa"/>
              <w:right w:w="15" w:type="dxa"/>
            </w:tcMar>
            <w:vAlign w:val="center"/>
          </w:tcPr>
          <w:p w14:paraId="11C0CD7A">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2549.50 (2357.25–3103.25)</w:t>
            </w:r>
          </w:p>
        </w:tc>
        <w:tc>
          <w:tcPr>
            <w:tcW w:w="1111" w:type="pct"/>
            <w:tcBorders>
              <w:top w:val="nil"/>
              <w:left w:val="nil"/>
              <w:bottom w:val="single" w:color="auto" w:sz="12" w:space="0"/>
              <w:right w:val="nil"/>
            </w:tcBorders>
            <w:shd w:val="clear" w:color="auto" w:fill="auto"/>
            <w:tcMar>
              <w:top w:w="15" w:type="dxa"/>
              <w:left w:w="15" w:type="dxa"/>
              <w:bottom w:w="0" w:type="dxa"/>
              <w:right w:w="15" w:type="dxa"/>
            </w:tcMar>
            <w:vAlign w:val="center"/>
          </w:tcPr>
          <w:p w14:paraId="04A2BDAD">
            <w:pPr>
              <w:jc w:val="center"/>
              <w:rPr>
                <w:rFonts w:hint="default" w:ascii="Times New Roman" w:hAnsi="Times New Roman" w:eastAsia="等线" w:cs="Times New Roman"/>
                <w:color w:val="000000"/>
                <w:sz w:val="21"/>
                <w:szCs w:val="21"/>
                <w:lang w:val="en-US" w:eastAsia="zh-CN"/>
              </w:rPr>
            </w:pPr>
            <w:r>
              <w:rPr>
                <w:rFonts w:hint="default" w:ascii="Times New Roman" w:hAnsi="Times New Roman" w:eastAsia="等线" w:cs="Times New Roman"/>
                <w:color w:val="000000"/>
                <w:sz w:val="21"/>
                <w:szCs w:val="21"/>
                <w:lang w:val="en-US" w:eastAsia="zh-CN"/>
              </w:rPr>
              <w:t>3916.50 (2124.75–4726.50)</w:t>
            </w:r>
          </w:p>
        </w:tc>
        <w:tc>
          <w:tcPr>
            <w:tcW w:w="632" w:type="pct"/>
            <w:tcBorders>
              <w:top w:val="nil"/>
              <w:left w:val="nil"/>
              <w:bottom w:val="single" w:color="auto" w:sz="12" w:space="0"/>
              <w:right w:val="nil"/>
            </w:tcBorders>
            <w:shd w:val="clear" w:color="auto" w:fill="auto"/>
            <w:tcMar>
              <w:top w:w="15" w:type="dxa"/>
              <w:left w:w="15" w:type="dxa"/>
              <w:bottom w:w="0" w:type="dxa"/>
              <w:right w:w="15" w:type="dxa"/>
            </w:tcMar>
            <w:vAlign w:val="center"/>
          </w:tcPr>
          <w:p w14:paraId="671B787B">
            <w:pPr>
              <w:jc w:val="center"/>
              <w:rPr>
                <w:rFonts w:hint="default" w:ascii="Times New Roman" w:hAnsi="Times New Roman" w:eastAsia="等线" w:cs="Times New Roman"/>
                <w:color w:val="000000"/>
                <w:kern w:val="2"/>
                <w:sz w:val="21"/>
                <w:szCs w:val="21"/>
                <w:lang w:val="en-US" w:eastAsia="zh-CN" w:bidi="ar-SA"/>
                <w14:ligatures w14:val="standardContextual"/>
              </w:rPr>
            </w:pPr>
            <w:r>
              <w:rPr>
                <w:rFonts w:hint="default" w:ascii="Times New Roman" w:hAnsi="Times New Roman" w:eastAsia="等线" w:cs="Times New Roman"/>
                <w:color w:val="000000"/>
                <w:kern w:val="2"/>
                <w:sz w:val="21"/>
                <w:szCs w:val="21"/>
                <w:lang w:val="en-US" w:eastAsia="zh-CN" w:bidi="ar-SA"/>
                <w14:ligatures w14:val="standardContextual"/>
              </w:rPr>
              <w:t>U = 15.0</w:t>
            </w:r>
          </w:p>
        </w:tc>
        <w:tc>
          <w:tcPr>
            <w:tcW w:w="581" w:type="pct"/>
            <w:tcBorders>
              <w:top w:val="nil"/>
              <w:left w:val="nil"/>
              <w:bottom w:val="single" w:color="auto" w:sz="12" w:space="0"/>
              <w:right w:val="nil"/>
            </w:tcBorders>
            <w:shd w:val="clear" w:color="auto" w:fill="auto"/>
            <w:tcMar>
              <w:top w:w="15" w:type="dxa"/>
              <w:left w:w="15" w:type="dxa"/>
              <w:bottom w:w="0" w:type="dxa"/>
              <w:right w:w="15" w:type="dxa"/>
            </w:tcMar>
            <w:vAlign w:val="center"/>
          </w:tcPr>
          <w:p w14:paraId="3426517F">
            <w:pPr>
              <w:jc w:val="center"/>
              <w:rPr>
                <w:rFonts w:hint="default" w:ascii="Times New Roman" w:hAnsi="Times New Roman" w:eastAsia="等线" w:cs="Times New Roman"/>
                <w:color w:val="000000"/>
                <w:kern w:val="2"/>
                <w:sz w:val="21"/>
                <w:szCs w:val="21"/>
                <w:lang w:val="en-US" w:eastAsia="zh-CN" w:bidi="ar-SA"/>
                <w14:ligatures w14:val="standardContextual"/>
              </w:rPr>
            </w:pPr>
            <w:r>
              <w:rPr>
                <w:rFonts w:hint="default" w:ascii="Times New Roman" w:hAnsi="Times New Roman" w:eastAsia="等线" w:cs="Times New Roman"/>
                <w:color w:val="000000"/>
                <w:kern w:val="2"/>
                <w:sz w:val="21"/>
                <w:szCs w:val="21"/>
                <w:lang w:val="en-US" w:eastAsia="zh-CN" w:bidi="ar-SA"/>
                <w14:ligatures w14:val="standardContextual"/>
              </w:rPr>
              <w:t>0.</w:t>
            </w:r>
            <w:r>
              <w:rPr>
                <w:rFonts w:hint="eastAsia" w:ascii="Times New Roman" w:hAnsi="Times New Roman" w:eastAsia="等线" w:cs="Times New Roman"/>
                <w:color w:val="000000"/>
                <w:kern w:val="2"/>
                <w:sz w:val="21"/>
                <w:szCs w:val="21"/>
                <w:lang w:val="en-US" w:eastAsia="zh-CN" w:bidi="ar-SA"/>
                <w14:ligatures w14:val="standardContextual"/>
              </w:rPr>
              <w:t>699</w:t>
            </w:r>
          </w:p>
        </w:tc>
      </w:tr>
    </w:tbl>
    <w:p w14:paraId="1AEAF8F4">
      <w:pPr>
        <w:rPr>
          <w:rFonts w:hint="default" w:ascii="Times New Roman" w:hAnsi="Times New Roman" w:cs="Times New Roman"/>
          <w:lang w:val="en-US" w:eastAsia="zh-CN"/>
        </w:rPr>
      </w:pPr>
      <w:r>
        <w:rPr>
          <w:rFonts w:hint="default" w:ascii="Times New Roman" w:hAnsi="Times New Roman" w:cs="Times New Roman"/>
          <w:b/>
          <w:bCs/>
          <w:lang w:val="en-US" w:eastAsia="zh-CN"/>
        </w:rPr>
        <w:t>Abbreviations</w:t>
      </w:r>
      <w:r>
        <w:rPr>
          <w:rFonts w:hint="default" w:ascii="Times New Roman" w:hAnsi="Times New Roman" w:cs="Times New Roman"/>
          <w:lang w:val="en-US" w:eastAsia="zh-CN"/>
        </w:rPr>
        <w:t>: AMH, anti-Müllerian hormone; BMI, body mass index; E2, estradiol; FSH, follicle-stimulating hormone; hCG, human chorionic gonadotropin; LH, luteinizing hormone; PCOS, polycystic ovary syndrome; PRL, prolactin.</w:t>
      </w:r>
    </w:p>
    <w:p w14:paraId="1946A3A8">
      <w:pPr>
        <w:rPr>
          <w:rFonts w:hint="default" w:ascii="Times New Roman" w:hAnsi="Times New Roman" w:cs="Times New Roman"/>
          <w:lang w:val="en-US" w:eastAsia="zh-CN"/>
        </w:rPr>
      </w:pPr>
      <w:r>
        <w:rPr>
          <w:rFonts w:hint="default" w:ascii="Times New Roman" w:hAnsi="Times New Roman" w:cs="Times New Roman"/>
          <w:b/>
          <w:bCs/>
          <w:lang w:val="en-US" w:eastAsia="zh-CN"/>
        </w:rPr>
        <w:t>Note</w:t>
      </w:r>
      <w:r>
        <w:rPr>
          <w:rFonts w:hint="default" w:ascii="Times New Roman" w:hAnsi="Times New Roman" w:cs="Times New Roman"/>
          <w:lang w:val="en-US" w:eastAsia="zh-CN"/>
        </w:rPr>
        <w:t>: Normally distributed continuous variables are presented as mean ± standard deviation (SD), non-normally distributed continuous variables as median (interquartile range), and categorical variables as n (%). Normality was assessed separately within each group using the Shapiro–Wilk test. Normally distributed continuous variables were compared using two-tailed independent-samples Student’s t-tests after confirmation of homogeneity of variance, whereas variables with a non-normal distribution in either group were compared using the Mann–Whitney U test. Infertility type was compared using Fisher’s exact test. All tests were two-sided, and P &lt; 0.05 was considered statistically significant.</w:t>
      </w:r>
    </w:p>
    <w:p w14:paraId="68F066EF">
      <w:pPr>
        <w:rPr>
          <w:rFonts w:hint="eastAsia" w:ascii="Times New Roman" w:hAnsi="Times New Roman" w:cs="Times New Roman"/>
          <w:lang w:val="en-US" w:eastAsia="zh-CN"/>
        </w:rPr>
      </w:pPr>
      <w:r>
        <w:rPr>
          <w:rFonts w:hint="eastAsia" w:ascii="Times New Roman" w:hAnsi="Times New Roman" w:cs="Times New Roman"/>
          <w:lang w:val="en-US" w:eastAsia="zh-CN"/>
        </w:rPr>
        <w:br w:type="page"/>
      </w:r>
    </w:p>
    <w:p w14:paraId="6C4F61DB">
      <w:pPr>
        <w:rPr>
          <w:rFonts w:hint="eastAsia" w:ascii="Times New Roman" w:hAnsi="Times New Roman" w:cs="Times New Roman"/>
          <w:lang w:val="en-US" w:eastAsia="zh-CN"/>
        </w:rPr>
      </w:pPr>
    </w:p>
    <w:p w14:paraId="7A051A70">
      <w:pPr>
        <w:spacing w:line="480" w:lineRule="auto"/>
        <w:jc w:val="center"/>
        <w:outlineLvl w:val="1"/>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3</w:t>
      </w:r>
      <w:r>
        <w:rPr>
          <w:rFonts w:hint="eastAsia" w:ascii="Times New Roman" w:hAnsi="Times New Roman" w:eastAsia="宋体" w:cs="Times New Roman"/>
          <w:b/>
          <w:bCs/>
          <w:sz w:val="24"/>
          <w:szCs w:val="24"/>
        </w:rPr>
        <w:t>. Transfection reagents and constructs used in this study</w:t>
      </w:r>
    </w:p>
    <w:tbl>
      <w:tblPr>
        <w:tblStyle w:val="2"/>
        <w:tblW w:w="4894" w:type="pct"/>
        <w:jc w:val="center"/>
        <w:tblLayout w:type="fixed"/>
        <w:tblCellMar>
          <w:top w:w="0" w:type="dxa"/>
          <w:left w:w="108" w:type="dxa"/>
          <w:bottom w:w="0" w:type="dxa"/>
          <w:right w:w="108" w:type="dxa"/>
        </w:tblCellMar>
      </w:tblPr>
      <w:tblGrid>
        <w:gridCol w:w="2503"/>
        <w:gridCol w:w="1064"/>
        <w:gridCol w:w="2338"/>
        <w:gridCol w:w="1582"/>
        <w:gridCol w:w="3251"/>
        <w:gridCol w:w="1719"/>
        <w:gridCol w:w="1418"/>
      </w:tblGrid>
      <w:tr w14:paraId="77DBAC6E">
        <w:tblPrEx>
          <w:tblCellMar>
            <w:top w:w="0" w:type="dxa"/>
            <w:left w:w="108" w:type="dxa"/>
            <w:bottom w:w="0" w:type="dxa"/>
            <w:right w:w="108" w:type="dxa"/>
          </w:tblCellMar>
        </w:tblPrEx>
        <w:trPr>
          <w:trHeight w:val="371" w:hRule="atLeast"/>
          <w:jc w:val="center"/>
        </w:trPr>
        <w:tc>
          <w:tcPr>
            <w:tcW w:w="2503" w:type="dxa"/>
            <w:tcBorders>
              <w:top w:val="single" w:color="auto" w:sz="12" w:space="0"/>
              <w:left w:val="nil"/>
              <w:bottom w:val="single" w:color="auto" w:sz="8" w:space="0"/>
              <w:right w:val="nil"/>
            </w:tcBorders>
            <w:noWrap/>
            <w:vAlign w:val="center"/>
          </w:tcPr>
          <w:p w14:paraId="47290054">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Experimental use</w:t>
            </w:r>
          </w:p>
        </w:tc>
        <w:tc>
          <w:tcPr>
            <w:tcW w:w="1064" w:type="dxa"/>
            <w:tcBorders>
              <w:top w:val="single" w:color="auto" w:sz="12" w:space="0"/>
              <w:left w:val="nil"/>
              <w:bottom w:val="single" w:color="auto" w:sz="8" w:space="0"/>
              <w:right w:val="nil"/>
            </w:tcBorders>
            <w:vAlign w:val="center"/>
          </w:tcPr>
          <w:p w14:paraId="72AE1620">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Label</w:t>
            </w:r>
          </w:p>
        </w:tc>
        <w:tc>
          <w:tcPr>
            <w:tcW w:w="2338" w:type="dxa"/>
            <w:tcBorders>
              <w:top w:val="single" w:color="auto" w:sz="12" w:space="0"/>
              <w:left w:val="nil"/>
              <w:bottom w:val="single" w:color="auto" w:sz="8" w:space="0"/>
              <w:right w:val="nil"/>
            </w:tcBorders>
            <w:vAlign w:val="center"/>
          </w:tcPr>
          <w:p w14:paraId="7B1A3276">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Construct / reagent</w:t>
            </w:r>
          </w:p>
        </w:tc>
        <w:tc>
          <w:tcPr>
            <w:tcW w:w="1582" w:type="dxa"/>
            <w:tcBorders>
              <w:top w:val="single" w:color="auto" w:sz="12" w:space="0"/>
              <w:left w:val="nil"/>
              <w:bottom w:val="single" w:color="auto" w:sz="8" w:space="0"/>
              <w:right w:val="nil"/>
            </w:tcBorders>
            <w:vAlign w:val="center"/>
          </w:tcPr>
          <w:p w14:paraId="4D142CB1">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Target / control</w:t>
            </w:r>
          </w:p>
        </w:tc>
        <w:tc>
          <w:tcPr>
            <w:tcW w:w="3251" w:type="dxa"/>
            <w:tcBorders>
              <w:top w:val="single" w:color="auto" w:sz="12" w:space="0"/>
              <w:left w:val="nil"/>
              <w:bottom w:val="single" w:color="auto" w:sz="8" w:space="0"/>
              <w:right w:val="nil"/>
            </w:tcBorders>
            <w:vAlign w:val="center"/>
          </w:tcPr>
          <w:p w14:paraId="057EDE63">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Sequence or insert information</w:t>
            </w:r>
          </w:p>
        </w:tc>
        <w:tc>
          <w:tcPr>
            <w:tcW w:w="1719" w:type="dxa"/>
            <w:tcBorders>
              <w:top w:val="single" w:color="auto" w:sz="12" w:space="0"/>
              <w:left w:val="nil"/>
              <w:bottom w:val="single" w:color="auto" w:sz="8" w:space="0"/>
              <w:right w:val="nil"/>
            </w:tcBorders>
            <w:vAlign w:val="center"/>
          </w:tcPr>
          <w:p w14:paraId="552011DE">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Vector / backbone</w:t>
            </w:r>
          </w:p>
        </w:tc>
        <w:tc>
          <w:tcPr>
            <w:tcW w:w="1418" w:type="dxa"/>
            <w:tcBorders>
              <w:top w:val="single" w:color="auto" w:sz="12" w:space="0"/>
              <w:left w:val="nil"/>
              <w:bottom w:val="single" w:color="auto" w:sz="8" w:space="0"/>
              <w:right w:val="nil"/>
            </w:tcBorders>
            <w:vAlign w:val="center"/>
          </w:tcPr>
          <w:p w14:paraId="39EDF9B2">
            <w:pPr>
              <w:spacing w:after="0" w:line="240" w:lineRule="auto"/>
              <w:jc w:val="center"/>
              <w:rPr>
                <w:rFonts w:ascii="Times New Roman" w:hAnsi="Times New Roman" w:eastAsia="宋体" w:cs="Times New Roman"/>
                <w:sz w:val="21"/>
                <w:szCs w:val="21"/>
              </w:rPr>
            </w:pPr>
            <w:r>
              <w:rPr>
                <w:rFonts w:ascii="Times New Roman" w:hAnsi="Times New Roman" w:eastAsia="Times New Roman"/>
                <w:b/>
                <w:i w:val="0"/>
                <w:sz w:val="21"/>
                <w:szCs w:val="21"/>
              </w:rPr>
              <w:t>Amount used</w:t>
            </w:r>
          </w:p>
        </w:tc>
      </w:tr>
      <w:tr w14:paraId="600293A3">
        <w:tblPrEx>
          <w:tblCellMar>
            <w:top w:w="0" w:type="dxa"/>
            <w:left w:w="108" w:type="dxa"/>
            <w:bottom w:w="0" w:type="dxa"/>
            <w:right w:w="108" w:type="dxa"/>
          </w:tblCellMar>
        </w:tblPrEx>
        <w:trPr>
          <w:trHeight w:val="371" w:hRule="atLeast"/>
          <w:jc w:val="center"/>
        </w:trPr>
        <w:tc>
          <w:tcPr>
            <w:tcW w:w="2503" w:type="dxa"/>
            <w:tcBorders>
              <w:top w:val="single" w:color="auto" w:sz="8" w:space="0"/>
              <w:left w:val="nil"/>
              <w:bottom w:val="nil"/>
              <w:right w:val="nil"/>
            </w:tcBorders>
            <w:noWrap/>
            <w:vAlign w:val="center"/>
          </w:tcPr>
          <w:p w14:paraId="37695DF3">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PRKACA knockdown</w:t>
            </w:r>
          </w:p>
        </w:tc>
        <w:tc>
          <w:tcPr>
            <w:tcW w:w="1064" w:type="dxa"/>
            <w:tcBorders>
              <w:top w:val="single" w:color="auto" w:sz="8" w:space="0"/>
              <w:left w:val="nil"/>
              <w:bottom w:val="nil"/>
              <w:right w:val="nil"/>
            </w:tcBorders>
            <w:vAlign w:val="center"/>
          </w:tcPr>
          <w:p w14:paraId="7E36A851">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shNC</w:t>
            </w:r>
          </w:p>
        </w:tc>
        <w:tc>
          <w:tcPr>
            <w:tcW w:w="2338" w:type="dxa"/>
            <w:tcBorders>
              <w:top w:val="single" w:color="auto" w:sz="8" w:space="0"/>
              <w:left w:val="nil"/>
              <w:bottom w:val="nil"/>
              <w:right w:val="nil"/>
            </w:tcBorders>
            <w:vAlign w:val="center"/>
          </w:tcPr>
          <w:p w14:paraId="3DD065A4">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Negative-control shRNA plasmid</w:t>
            </w:r>
          </w:p>
        </w:tc>
        <w:tc>
          <w:tcPr>
            <w:tcW w:w="1582" w:type="dxa"/>
            <w:tcBorders>
              <w:top w:val="single" w:color="auto" w:sz="8" w:space="0"/>
              <w:left w:val="nil"/>
              <w:bottom w:val="nil"/>
              <w:right w:val="nil"/>
            </w:tcBorders>
            <w:vAlign w:val="center"/>
          </w:tcPr>
          <w:p w14:paraId="20676991">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Non-targeting control</w:t>
            </w:r>
          </w:p>
        </w:tc>
        <w:tc>
          <w:tcPr>
            <w:tcW w:w="3251" w:type="dxa"/>
            <w:tcBorders>
              <w:top w:val="single" w:color="auto" w:sz="8" w:space="0"/>
              <w:left w:val="nil"/>
              <w:bottom w:val="nil"/>
              <w:right w:val="nil"/>
            </w:tcBorders>
            <w:vAlign w:val="center"/>
          </w:tcPr>
          <w:p w14:paraId="41BAF664">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TTCTCCGAACGTGTCACGT</w:t>
            </w:r>
          </w:p>
        </w:tc>
        <w:tc>
          <w:tcPr>
            <w:tcW w:w="1719" w:type="dxa"/>
            <w:tcBorders>
              <w:top w:val="single" w:color="auto" w:sz="8" w:space="0"/>
              <w:left w:val="nil"/>
              <w:bottom w:val="nil"/>
              <w:right w:val="nil"/>
            </w:tcBorders>
            <w:vAlign w:val="center"/>
          </w:tcPr>
          <w:p w14:paraId="6ADFC5EE">
            <w:pPr>
              <w:spacing w:after="0" w:line="240" w:lineRule="auto"/>
              <w:jc w:val="center"/>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pGPU6/Neo</w:t>
            </w:r>
          </w:p>
        </w:tc>
        <w:tc>
          <w:tcPr>
            <w:tcW w:w="1418" w:type="dxa"/>
            <w:tcBorders>
              <w:top w:val="single" w:color="auto" w:sz="8" w:space="0"/>
              <w:left w:val="nil"/>
              <w:bottom w:val="nil"/>
              <w:right w:val="nil"/>
            </w:tcBorders>
            <w:vAlign w:val="center"/>
          </w:tcPr>
          <w:p w14:paraId="7EA6F252">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r w14:paraId="55920803">
        <w:tblPrEx>
          <w:tblCellMar>
            <w:top w:w="0" w:type="dxa"/>
            <w:left w:w="108" w:type="dxa"/>
            <w:bottom w:w="0" w:type="dxa"/>
            <w:right w:w="108" w:type="dxa"/>
          </w:tblCellMar>
        </w:tblPrEx>
        <w:trPr>
          <w:trHeight w:val="418" w:hRule="atLeast"/>
          <w:jc w:val="center"/>
        </w:trPr>
        <w:tc>
          <w:tcPr>
            <w:tcW w:w="2503" w:type="dxa"/>
            <w:tcBorders>
              <w:top w:val="nil"/>
              <w:left w:val="nil"/>
              <w:bottom w:val="nil"/>
              <w:right w:val="nil"/>
            </w:tcBorders>
            <w:noWrap/>
            <w:vAlign w:val="center"/>
          </w:tcPr>
          <w:p w14:paraId="778CB5F3">
            <w:pPr>
              <w:spacing w:after="0" w:line="240" w:lineRule="auto"/>
              <w:jc w:val="left"/>
              <w:rPr>
                <w:rFonts w:hint="default" w:ascii="Times New Roman" w:hAnsi="Times New Roman" w:cs="Times New Roman"/>
                <w:sz w:val="21"/>
                <w:szCs w:val="21"/>
                <w:lang w:val="en-US" w:eastAsia="zh-CN"/>
              </w:rPr>
            </w:pPr>
            <w:r>
              <w:rPr>
                <w:rFonts w:ascii="Times New Roman" w:hAnsi="Times New Roman" w:eastAsia="Times New Roman"/>
                <w:b w:val="0"/>
                <w:i w:val="0"/>
                <w:sz w:val="21"/>
                <w:szCs w:val="21"/>
              </w:rPr>
              <w:t>PRKACA knockdown</w:t>
            </w:r>
          </w:p>
        </w:tc>
        <w:tc>
          <w:tcPr>
            <w:tcW w:w="1064" w:type="dxa"/>
            <w:tcBorders>
              <w:top w:val="nil"/>
              <w:left w:val="nil"/>
              <w:bottom w:val="nil"/>
              <w:right w:val="nil"/>
            </w:tcBorders>
            <w:vAlign w:val="center"/>
          </w:tcPr>
          <w:p w14:paraId="737C18EA">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KD1</w:t>
            </w:r>
          </w:p>
        </w:tc>
        <w:tc>
          <w:tcPr>
            <w:tcW w:w="2338" w:type="dxa"/>
            <w:tcBorders>
              <w:top w:val="nil"/>
              <w:left w:val="nil"/>
              <w:bottom w:val="nil"/>
              <w:right w:val="nil"/>
            </w:tcBorders>
            <w:shd w:val="clear" w:color="auto" w:fill="auto"/>
            <w:vAlign w:val="center"/>
          </w:tcPr>
          <w:p w14:paraId="5876D11A">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PRKACA-Homo-1056</w:t>
            </w:r>
          </w:p>
        </w:tc>
        <w:tc>
          <w:tcPr>
            <w:tcW w:w="1582" w:type="dxa"/>
            <w:tcBorders>
              <w:top w:val="nil"/>
              <w:left w:val="nil"/>
              <w:bottom w:val="nil"/>
              <w:right w:val="nil"/>
            </w:tcBorders>
            <w:shd w:val="clear" w:color="auto" w:fill="auto"/>
            <w:vAlign w:val="center"/>
          </w:tcPr>
          <w:p w14:paraId="57503ACE">
            <w:pPr>
              <w:spacing w:after="0" w:line="240" w:lineRule="auto"/>
              <w:jc w:val="left"/>
              <w:rPr>
                <w:rFonts w:hint="eastAsia" w:ascii="Times New Roman" w:hAnsi="Times New Roman" w:eastAsia="宋体" w:cs="Times New Roman"/>
                <w:sz w:val="21"/>
                <w:szCs w:val="21"/>
              </w:rPr>
            </w:pPr>
            <w:r>
              <w:rPr>
                <w:rFonts w:ascii="Times New Roman" w:hAnsi="Times New Roman" w:eastAsia="Times New Roman"/>
                <w:b w:val="0"/>
                <w:i w:val="0"/>
                <w:sz w:val="21"/>
                <w:szCs w:val="21"/>
              </w:rPr>
              <w:t>PRKACA</w:t>
            </w:r>
          </w:p>
        </w:tc>
        <w:tc>
          <w:tcPr>
            <w:tcW w:w="3251" w:type="dxa"/>
            <w:tcBorders>
              <w:top w:val="nil"/>
              <w:left w:val="nil"/>
              <w:bottom w:val="nil"/>
              <w:right w:val="nil"/>
            </w:tcBorders>
            <w:vAlign w:val="center"/>
          </w:tcPr>
          <w:p w14:paraId="4B75A7C2">
            <w:pPr>
              <w:spacing w:after="0" w:line="240" w:lineRule="auto"/>
              <w:jc w:val="left"/>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CGCTTTGGGAACCTCAAGAAT</w:t>
            </w:r>
          </w:p>
        </w:tc>
        <w:tc>
          <w:tcPr>
            <w:tcW w:w="1719" w:type="dxa"/>
            <w:tcBorders>
              <w:top w:val="nil"/>
              <w:left w:val="nil"/>
              <w:bottom w:val="nil"/>
              <w:right w:val="nil"/>
            </w:tcBorders>
            <w:vAlign w:val="center"/>
          </w:tcPr>
          <w:p w14:paraId="3BC45850">
            <w:pPr>
              <w:spacing w:after="0" w:line="240" w:lineRule="auto"/>
              <w:jc w:val="center"/>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pGPU6/Neo</w:t>
            </w:r>
          </w:p>
        </w:tc>
        <w:tc>
          <w:tcPr>
            <w:tcW w:w="1418" w:type="dxa"/>
            <w:tcBorders>
              <w:top w:val="nil"/>
              <w:left w:val="nil"/>
              <w:bottom w:val="nil"/>
              <w:right w:val="nil"/>
            </w:tcBorders>
            <w:vAlign w:val="center"/>
          </w:tcPr>
          <w:p w14:paraId="3BFA135D">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r w14:paraId="49F3F1BA">
        <w:tblPrEx>
          <w:tblCellMar>
            <w:top w:w="0" w:type="dxa"/>
            <w:left w:w="108" w:type="dxa"/>
            <w:bottom w:w="0" w:type="dxa"/>
            <w:right w:w="108" w:type="dxa"/>
          </w:tblCellMar>
        </w:tblPrEx>
        <w:trPr>
          <w:trHeight w:val="418" w:hRule="atLeast"/>
          <w:jc w:val="center"/>
        </w:trPr>
        <w:tc>
          <w:tcPr>
            <w:tcW w:w="2503" w:type="dxa"/>
            <w:tcBorders>
              <w:top w:val="nil"/>
              <w:left w:val="nil"/>
              <w:bottom w:val="nil"/>
              <w:right w:val="nil"/>
            </w:tcBorders>
            <w:noWrap/>
            <w:vAlign w:val="center"/>
          </w:tcPr>
          <w:p w14:paraId="10B069A0">
            <w:pPr>
              <w:spacing w:after="0" w:line="240" w:lineRule="auto"/>
              <w:jc w:val="left"/>
              <w:rPr>
                <w:rFonts w:hint="default" w:ascii="Times New Roman" w:hAnsi="Times New Roman" w:cs="Times New Roman"/>
                <w:sz w:val="21"/>
                <w:szCs w:val="21"/>
                <w:lang w:val="en-US" w:eastAsia="zh-CN"/>
              </w:rPr>
            </w:pPr>
            <w:r>
              <w:rPr>
                <w:rFonts w:ascii="Times New Roman" w:hAnsi="Times New Roman" w:eastAsia="Times New Roman"/>
                <w:b w:val="0"/>
                <w:i w:val="0"/>
                <w:sz w:val="21"/>
                <w:szCs w:val="21"/>
              </w:rPr>
              <w:t>PRKACA knockdown</w:t>
            </w:r>
          </w:p>
        </w:tc>
        <w:tc>
          <w:tcPr>
            <w:tcW w:w="1064" w:type="dxa"/>
            <w:tcBorders>
              <w:top w:val="nil"/>
              <w:left w:val="nil"/>
              <w:bottom w:val="nil"/>
              <w:right w:val="nil"/>
            </w:tcBorders>
            <w:vAlign w:val="center"/>
          </w:tcPr>
          <w:p w14:paraId="564A7FB7">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KD2</w:t>
            </w:r>
          </w:p>
        </w:tc>
        <w:tc>
          <w:tcPr>
            <w:tcW w:w="2338" w:type="dxa"/>
            <w:tcBorders>
              <w:top w:val="nil"/>
              <w:left w:val="nil"/>
              <w:bottom w:val="nil"/>
              <w:right w:val="nil"/>
            </w:tcBorders>
            <w:shd w:val="clear" w:color="auto" w:fill="auto"/>
            <w:vAlign w:val="center"/>
          </w:tcPr>
          <w:p w14:paraId="71F2821B">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PRKACA-Homo-331</w:t>
            </w:r>
          </w:p>
        </w:tc>
        <w:tc>
          <w:tcPr>
            <w:tcW w:w="1582" w:type="dxa"/>
            <w:tcBorders>
              <w:top w:val="nil"/>
              <w:left w:val="nil"/>
              <w:bottom w:val="nil"/>
              <w:right w:val="nil"/>
            </w:tcBorders>
            <w:shd w:val="clear" w:color="auto" w:fill="auto"/>
            <w:vAlign w:val="center"/>
          </w:tcPr>
          <w:p w14:paraId="77453971">
            <w:pPr>
              <w:spacing w:after="0" w:line="240" w:lineRule="auto"/>
              <w:jc w:val="left"/>
              <w:rPr>
                <w:rFonts w:hint="eastAsia" w:ascii="Times New Roman" w:hAnsi="Times New Roman" w:eastAsia="宋体" w:cs="Times New Roman"/>
                <w:sz w:val="21"/>
                <w:szCs w:val="21"/>
              </w:rPr>
            </w:pPr>
            <w:r>
              <w:rPr>
                <w:rFonts w:ascii="Times New Roman" w:hAnsi="Times New Roman" w:eastAsia="Times New Roman"/>
                <w:b w:val="0"/>
                <w:i w:val="0"/>
                <w:sz w:val="21"/>
                <w:szCs w:val="21"/>
              </w:rPr>
              <w:t>PRKACA</w:t>
            </w:r>
          </w:p>
        </w:tc>
        <w:tc>
          <w:tcPr>
            <w:tcW w:w="3251" w:type="dxa"/>
            <w:tcBorders>
              <w:top w:val="nil"/>
              <w:left w:val="nil"/>
              <w:bottom w:val="nil"/>
              <w:right w:val="nil"/>
            </w:tcBorders>
            <w:vAlign w:val="center"/>
          </w:tcPr>
          <w:p w14:paraId="775040E0">
            <w:pPr>
              <w:spacing w:after="0" w:line="240" w:lineRule="auto"/>
              <w:jc w:val="left"/>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CCCACTTGGATCAGTTTGAAC</w:t>
            </w:r>
          </w:p>
        </w:tc>
        <w:tc>
          <w:tcPr>
            <w:tcW w:w="1719" w:type="dxa"/>
            <w:tcBorders>
              <w:top w:val="nil"/>
              <w:left w:val="nil"/>
              <w:bottom w:val="nil"/>
              <w:right w:val="nil"/>
            </w:tcBorders>
            <w:vAlign w:val="center"/>
          </w:tcPr>
          <w:p w14:paraId="197FCCC5">
            <w:pPr>
              <w:spacing w:after="0" w:line="240" w:lineRule="auto"/>
              <w:jc w:val="center"/>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pGPU6/Neo</w:t>
            </w:r>
          </w:p>
        </w:tc>
        <w:tc>
          <w:tcPr>
            <w:tcW w:w="1418" w:type="dxa"/>
            <w:tcBorders>
              <w:top w:val="nil"/>
              <w:left w:val="nil"/>
              <w:bottom w:val="nil"/>
              <w:right w:val="nil"/>
            </w:tcBorders>
            <w:vAlign w:val="center"/>
          </w:tcPr>
          <w:p w14:paraId="7DB07F93">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r w14:paraId="64CAA9F4">
        <w:tblPrEx>
          <w:tblCellMar>
            <w:top w:w="0" w:type="dxa"/>
            <w:left w:w="108" w:type="dxa"/>
            <w:bottom w:w="0" w:type="dxa"/>
            <w:right w:w="108" w:type="dxa"/>
          </w:tblCellMar>
        </w:tblPrEx>
        <w:trPr>
          <w:trHeight w:val="418" w:hRule="atLeast"/>
          <w:jc w:val="center"/>
        </w:trPr>
        <w:tc>
          <w:tcPr>
            <w:tcW w:w="2503" w:type="dxa"/>
            <w:tcBorders>
              <w:top w:val="nil"/>
              <w:left w:val="nil"/>
              <w:bottom w:val="nil"/>
              <w:right w:val="nil"/>
            </w:tcBorders>
            <w:noWrap/>
            <w:vAlign w:val="center"/>
          </w:tcPr>
          <w:p w14:paraId="7A94F269">
            <w:pPr>
              <w:spacing w:after="0" w:line="240" w:lineRule="auto"/>
              <w:jc w:val="left"/>
              <w:rPr>
                <w:rFonts w:hint="default" w:ascii="Times New Roman" w:hAnsi="Times New Roman" w:cs="Times New Roman"/>
                <w:sz w:val="21"/>
                <w:szCs w:val="21"/>
                <w:lang w:val="en-US" w:eastAsia="zh-CN"/>
              </w:rPr>
            </w:pPr>
            <w:r>
              <w:rPr>
                <w:rFonts w:ascii="Times New Roman" w:hAnsi="Times New Roman" w:eastAsia="Times New Roman"/>
                <w:b w:val="0"/>
                <w:i w:val="0"/>
                <w:sz w:val="21"/>
                <w:szCs w:val="21"/>
              </w:rPr>
              <w:t>PRKACA knockdown</w:t>
            </w:r>
          </w:p>
        </w:tc>
        <w:tc>
          <w:tcPr>
            <w:tcW w:w="1064" w:type="dxa"/>
            <w:tcBorders>
              <w:top w:val="nil"/>
              <w:left w:val="nil"/>
              <w:bottom w:val="nil"/>
              <w:right w:val="nil"/>
            </w:tcBorders>
            <w:vAlign w:val="center"/>
          </w:tcPr>
          <w:p w14:paraId="167526C9">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KD3</w:t>
            </w:r>
          </w:p>
        </w:tc>
        <w:tc>
          <w:tcPr>
            <w:tcW w:w="2338" w:type="dxa"/>
            <w:tcBorders>
              <w:top w:val="nil"/>
              <w:left w:val="nil"/>
              <w:bottom w:val="nil"/>
              <w:right w:val="nil"/>
            </w:tcBorders>
            <w:shd w:val="clear" w:color="auto" w:fill="auto"/>
            <w:vAlign w:val="center"/>
          </w:tcPr>
          <w:p w14:paraId="40802ED2">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PRKACA-Homo-838</w:t>
            </w:r>
          </w:p>
        </w:tc>
        <w:tc>
          <w:tcPr>
            <w:tcW w:w="1582" w:type="dxa"/>
            <w:tcBorders>
              <w:top w:val="nil"/>
              <w:left w:val="nil"/>
              <w:bottom w:val="nil"/>
              <w:right w:val="nil"/>
            </w:tcBorders>
            <w:shd w:val="clear" w:color="auto" w:fill="auto"/>
            <w:vAlign w:val="center"/>
          </w:tcPr>
          <w:p w14:paraId="3D683B3C">
            <w:pPr>
              <w:spacing w:after="0" w:line="240" w:lineRule="auto"/>
              <w:jc w:val="left"/>
              <w:rPr>
                <w:rFonts w:hint="eastAsia" w:ascii="Times New Roman" w:hAnsi="Times New Roman" w:eastAsia="宋体" w:cs="Times New Roman"/>
                <w:sz w:val="21"/>
                <w:szCs w:val="21"/>
              </w:rPr>
            </w:pPr>
            <w:r>
              <w:rPr>
                <w:rFonts w:ascii="Times New Roman" w:hAnsi="Times New Roman" w:eastAsia="Times New Roman"/>
                <w:b w:val="0"/>
                <w:i w:val="0"/>
                <w:sz w:val="21"/>
                <w:szCs w:val="21"/>
              </w:rPr>
              <w:t>PRKACA</w:t>
            </w:r>
          </w:p>
        </w:tc>
        <w:tc>
          <w:tcPr>
            <w:tcW w:w="3251" w:type="dxa"/>
            <w:tcBorders>
              <w:top w:val="nil"/>
              <w:left w:val="nil"/>
              <w:bottom w:val="nil"/>
              <w:right w:val="nil"/>
            </w:tcBorders>
            <w:vAlign w:val="center"/>
          </w:tcPr>
          <w:p w14:paraId="5AC28E40">
            <w:pPr>
              <w:spacing w:after="0" w:line="240" w:lineRule="auto"/>
              <w:jc w:val="left"/>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CTGAGATTATCCTGAGCAAAG</w:t>
            </w:r>
          </w:p>
        </w:tc>
        <w:tc>
          <w:tcPr>
            <w:tcW w:w="1719" w:type="dxa"/>
            <w:tcBorders>
              <w:top w:val="nil"/>
              <w:left w:val="nil"/>
              <w:bottom w:val="nil"/>
              <w:right w:val="nil"/>
            </w:tcBorders>
            <w:vAlign w:val="center"/>
          </w:tcPr>
          <w:p w14:paraId="4E108AF3">
            <w:pPr>
              <w:spacing w:after="0" w:line="240" w:lineRule="auto"/>
              <w:jc w:val="center"/>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pGPU6/Neo</w:t>
            </w:r>
          </w:p>
        </w:tc>
        <w:tc>
          <w:tcPr>
            <w:tcW w:w="1418" w:type="dxa"/>
            <w:tcBorders>
              <w:top w:val="nil"/>
              <w:left w:val="nil"/>
              <w:bottom w:val="nil"/>
              <w:right w:val="nil"/>
            </w:tcBorders>
            <w:vAlign w:val="center"/>
          </w:tcPr>
          <w:p w14:paraId="7AF5047F">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r w14:paraId="41C8657C">
        <w:tblPrEx>
          <w:tblCellMar>
            <w:top w:w="0" w:type="dxa"/>
            <w:left w:w="108" w:type="dxa"/>
            <w:bottom w:w="0" w:type="dxa"/>
            <w:right w:w="108" w:type="dxa"/>
          </w:tblCellMar>
        </w:tblPrEx>
        <w:trPr>
          <w:trHeight w:val="418" w:hRule="atLeast"/>
          <w:jc w:val="center"/>
        </w:trPr>
        <w:tc>
          <w:tcPr>
            <w:tcW w:w="2503" w:type="dxa"/>
            <w:tcBorders>
              <w:top w:val="nil"/>
              <w:left w:val="nil"/>
              <w:bottom w:val="nil"/>
              <w:right w:val="nil"/>
            </w:tcBorders>
            <w:noWrap/>
            <w:vAlign w:val="center"/>
          </w:tcPr>
          <w:p w14:paraId="30F6D8B7">
            <w:pPr>
              <w:spacing w:after="0" w:line="240" w:lineRule="auto"/>
              <w:jc w:val="left"/>
              <w:rPr>
                <w:rFonts w:hint="default" w:ascii="Times New Roman" w:hAnsi="Times New Roman" w:cs="Times New Roman"/>
                <w:sz w:val="21"/>
                <w:szCs w:val="21"/>
                <w:lang w:val="en-US" w:eastAsia="zh-CN"/>
              </w:rPr>
            </w:pPr>
            <w:r>
              <w:rPr>
                <w:rFonts w:ascii="Times New Roman" w:hAnsi="Times New Roman" w:eastAsia="Times New Roman"/>
                <w:b w:val="0"/>
                <w:i w:val="0"/>
                <w:sz w:val="21"/>
                <w:szCs w:val="21"/>
              </w:rPr>
              <w:t>PRKACA overexpression</w:t>
            </w:r>
          </w:p>
        </w:tc>
        <w:tc>
          <w:tcPr>
            <w:tcW w:w="1064" w:type="dxa"/>
            <w:tcBorders>
              <w:top w:val="nil"/>
              <w:left w:val="nil"/>
              <w:bottom w:val="nil"/>
              <w:right w:val="nil"/>
            </w:tcBorders>
            <w:vAlign w:val="center"/>
          </w:tcPr>
          <w:p w14:paraId="326B7962">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Vec</w:t>
            </w:r>
          </w:p>
        </w:tc>
        <w:tc>
          <w:tcPr>
            <w:tcW w:w="2338" w:type="dxa"/>
            <w:tcBorders>
              <w:top w:val="nil"/>
              <w:left w:val="nil"/>
              <w:bottom w:val="nil"/>
              <w:right w:val="nil"/>
            </w:tcBorders>
            <w:shd w:val="clear" w:color="auto" w:fill="auto"/>
            <w:vAlign w:val="center"/>
          </w:tcPr>
          <w:p w14:paraId="77D2EB32">
            <w:pPr>
              <w:spacing w:after="0" w:line="240" w:lineRule="auto"/>
              <w:jc w:val="left"/>
              <w:rPr>
                <w:rFonts w:ascii="Times New Roman" w:hAnsi="Times New Roman" w:eastAsia="宋体" w:cs="Times New Roman"/>
                <w:sz w:val="21"/>
                <w:szCs w:val="21"/>
              </w:rPr>
            </w:pPr>
            <w:r>
              <w:rPr>
                <w:rFonts w:ascii="Times New Roman" w:hAnsi="Times New Roman" w:eastAsia="Times New Roman"/>
                <w:b w:val="0"/>
                <w:i w:val="0"/>
                <w:sz w:val="21"/>
                <w:szCs w:val="21"/>
              </w:rPr>
              <w:t>Empty pcDNA3.1(+) vector control</w:t>
            </w:r>
          </w:p>
        </w:tc>
        <w:tc>
          <w:tcPr>
            <w:tcW w:w="1582" w:type="dxa"/>
            <w:tcBorders>
              <w:top w:val="nil"/>
              <w:left w:val="nil"/>
              <w:bottom w:val="nil"/>
              <w:right w:val="nil"/>
            </w:tcBorders>
            <w:shd w:val="clear" w:color="auto" w:fill="auto"/>
            <w:vAlign w:val="center"/>
          </w:tcPr>
          <w:p w14:paraId="012AD400">
            <w:pPr>
              <w:spacing w:after="0" w:line="240" w:lineRule="auto"/>
              <w:jc w:val="left"/>
              <w:rPr>
                <w:rFonts w:hint="eastAsia" w:ascii="Times New Roman" w:hAnsi="Times New Roman" w:eastAsia="宋体" w:cs="Times New Roman"/>
                <w:sz w:val="21"/>
                <w:szCs w:val="21"/>
              </w:rPr>
            </w:pPr>
            <w:r>
              <w:rPr>
                <w:rFonts w:ascii="Times New Roman" w:hAnsi="Times New Roman" w:eastAsia="Times New Roman"/>
                <w:b w:val="0"/>
                <w:i w:val="0"/>
                <w:sz w:val="21"/>
                <w:szCs w:val="21"/>
              </w:rPr>
              <w:t>Vector control</w:t>
            </w:r>
          </w:p>
        </w:tc>
        <w:tc>
          <w:tcPr>
            <w:tcW w:w="3251" w:type="dxa"/>
            <w:tcBorders>
              <w:top w:val="nil"/>
              <w:left w:val="nil"/>
              <w:bottom w:val="nil"/>
              <w:right w:val="nil"/>
            </w:tcBorders>
            <w:vAlign w:val="center"/>
          </w:tcPr>
          <w:p w14:paraId="3FECDBAA">
            <w:pPr>
              <w:spacing w:after="0" w:line="240" w:lineRule="auto"/>
              <w:jc w:val="left"/>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No insert; pcDNA3.1(+) backbone without PRKACA insert</w:t>
            </w:r>
          </w:p>
        </w:tc>
        <w:tc>
          <w:tcPr>
            <w:tcW w:w="1719" w:type="dxa"/>
            <w:tcBorders>
              <w:top w:val="nil"/>
              <w:left w:val="nil"/>
              <w:bottom w:val="nil"/>
              <w:right w:val="nil"/>
            </w:tcBorders>
            <w:vAlign w:val="center"/>
          </w:tcPr>
          <w:p w14:paraId="0DB9F035">
            <w:pPr>
              <w:spacing w:after="0" w:line="240" w:lineRule="auto"/>
              <w:jc w:val="center"/>
              <w:rPr>
                <w:rFonts w:hint="eastAsia" w:ascii="Times New Roman" w:hAnsi="Times New Roman" w:eastAsia="宋体" w:cs="Times New Roman"/>
                <w:sz w:val="21"/>
                <w:szCs w:val="21"/>
                <w:lang w:val="en-US" w:eastAsia="zh-CN"/>
              </w:rPr>
            </w:pPr>
            <w:r>
              <w:rPr>
                <w:rFonts w:ascii="Times New Roman" w:hAnsi="Times New Roman" w:eastAsia="Times New Roman"/>
                <w:b w:val="0"/>
                <w:i w:val="0"/>
                <w:sz w:val="21"/>
                <w:szCs w:val="21"/>
              </w:rPr>
              <w:t>pcDNA3.1(+)</w:t>
            </w:r>
          </w:p>
        </w:tc>
        <w:tc>
          <w:tcPr>
            <w:tcW w:w="1418" w:type="dxa"/>
            <w:tcBorders>
              <w:top w:val="nil"/>
              <w:left w:val="nil"/>
              <w:bottom w:val="nil"/>
              <w:right w:val="nil"/>
            </w:tcBorders>
            <w:vAlign w:val="center"/>
          </w:tcPr>
          <w:p w14:paraId="7473B810">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r w14:paraId="408D76E0">
        <w:tblPrEx>
          <w:tblCellMar>
            <w:top w:w="0" w:type="dxa"/>
            <w:left w:w="108" w:type="dxa"/>
            <w:bottom w:w="0" w:type="dxa"/>
            <w:right w:w="108" w:type="dxa"/>
          </w:tblCellMar>
        </w:tblPrEx>
        <w:trPr>
          <w:trHeight w:val="418" w:hRule="atLeast"/>
          <w:jc w:val="center"/>
        </w:trPr>
        <w:tc>
          <w:tcPr>
            <w:tcW w:w="2503" w:type="dxa"/>
            <w:tcBorders>
              <w:top w:val="nil"/>
              <w:left w:val="nil"/>
              <w:bottom w:val="single" w:color="auto" w:sz="8" w:space="0"/>
              <w:right w:val="nil"/>
            </w:tcBorders>
            <w:noWrap/>
            <w:vAlign w:val="center"/>
          </w:tcPr>
          <w:p w14:paraId="71B7764D">
            <w:pPr>
              <w:spacing w:after="0" w:line="240" w:lineRule="auto"/>
              <w:jc w:val="left"/>
              <w:rPr>
                <w:rFonts w:hint="default" w:ascii="Times New Roman" w:hAnsi="Times New Roman" w:eastAsia="宋体" w:cs="Times New Roman"/>
                <w:sz w:val="21"/>
                <w:szCs w:val="21"/>
                <w:lang w:val="en-US"/>
              </w:rPr>
            </w:pPr>
            <w:r>
              <w:rPr>
                <w:rFonts w:ascii="Times New Roman" w:hAnsi="Times New Roman" w:eastAsia="Times New Roman"/>
                <w:b w:val="0"/>
                <w:i w:val="0"/>
                <w:sz w:val="21"/>
                <w:szCs w:val="21"/>
              </w:rPr>
              <w:t>PRKACA overexpression</w:t>
            </w:r>
          </w:p>
        </w:tc>
        <w:tc>
          <w:tcPr>
            <w:tcW w:w="1064" w:type="dxa"/>
            <w:tcBorders>
              <w:top w:val="nil"/>
              <w:left w:val="nil"/>
              <w:bottom w:val="single" w:color="auto" w:sz="8" w:space="0"/>
              <w:right w:val="nil"/>
            </w:tcBorders>
            <w:vAlign w:val="center"/>
          </w:tcPr>
          <w:p w14:paraId="20D6C1FD">
            <w:pPr>
              <w:spacing w:after="0" w:line="240" w:lineRule="auto"/>
              <w:jc w:val="center"/>
              <w:rPr>
                <w:rFonts w:hint="default" w:ascii="Times New Roman" w:hAnsi="Times New Roman" w:eastAsia="宋体" w:cs="Times New Roman"/>
                <w:sz w:val="21"/>
                <w:szCs w:val="21"/>
                <w:lang w:val="en-US"/>
              </w:rPr>
            </w:pPr>
            <w:r>
              <w:rPr>
                <w:rFonts w:ascii="Times New Roman" w:hAnsi="Times New Roman" w:eastAsia="Times New Roman"/>
                <w:b w:val="0"/>
                <w:i w:val="0"/>
                <w:sz w:val="21"/>
                <w:szCs w:val="21"/>
              </w:rPr>
              <w:t>OE</w:t>
            </w:r>
          </w:p>
        </w:tc>
        <w:tc>
          <w:tcPr>
            <w:tcW w:w="2338" w:type="dxa"/>
            <w:tcBorders>
              <w:top w:val="nil"/>
              <w:left w:val="nil"/>
              <w:bottom w:val="single" w:color="auto" w:sz="8" w:space="0"/>
              <w:right w:val="nil"/>
            </w:tcBorders>
            <w:shd w:val="clear" w:color="auto" w:fill="auto"/>
            <w:vAlign w:val="center"/>
          </w:tcPr>
          <w:p w14:paraId="11050369">
            <w:pPr>
              <w:spacing w:after="0" w:line="240" w:lineRule="auto"/>
              <w:jc w:val="left"/>
              <w:rPr>
                <w:rFonts w:ascii="Times New Roman" w:hAnsi="Times New Roman" w:eastAsia="宋体" w:cs="Times New Roman"/>
                <w:kern w:val="2"/>
                <w:sz w:val="21"/>
                <w:szCs w:val="21"/>
                <w:lang w:val="en-US" w:eastAsia="zh-CN" w:bidi="ar-SA"/>
                <w14:ligatures w14:val="standardContextual"/>
              </w:rPr>
            </w:pPr>
            <w:r>
              <w:rPr>
                <w:rFonts w:ascii="Times New Roman" w:hAnsi="Times New Roman" w:eastAsia="Times New Roman"/>
                <w:b w:val="0"/>
                <w:i w:val="0"/>
                <w:sz w:val="21"/>
                <w:szCs w:val="21"/>
              </w:rPr>
              <w:t>pcDNA3.1(+)-PRKACA</w:t>
            </w:r>
          </w:p>
        </w:tc>
        <w:tc>
          <w:tcPr>
            <w:tcW w:w="1582" w:type="dxa"/>
            <w:tcBorders>
              <w:top w:val="nil"/>
              <w:left w:val="nil"/>
              <w:bottom w:val="single" w:color="auto" w:sz="8" w:space="0"/>
              <w:right w:val="nil"/>
            </w:tcBorders>
            <w:shd w:val="clear" w:color="auto" w:fill="auto"/>
            <w:vAlign w:val="center"/>
          </w:tcPr>
          <w:p w14:paraId="0CEC8F78">
            <w:pPr>
              <w:spacing w:after="0" w:line="240" w:lineRule="auto"/>
              <w:jc w:val="left"/>
              <w:rPr>
                <w:rFonts w:ascii="Times New Roman" w:hAnsi="Times New Roman" w:eastAsia="宋体" w:cs="Times New Roman"/>
                <w:kern w:val="2"/>
                <w:sz w:val="21"/>
                <w:szCs w:val="21"/>
                <w:lang w:val="en-US" w:eastAsia="zh-CN" w:bidi="ar-SA"/>
                <w14:ligatures w14:val="standardContextual"/>
              </w:rPr>
            </w:pPr>
            <w:r>
              <w:rPr>
                <w:rFonts w:ascii="Times New Roman" w:hAnsi="Times New Roman" w:eastAsia="Times New Roman"/>
                <w:b w:val="0"/>
                <w:i w:val="0"/>
                <w:sz w:val="21"/>
                <w:szCs w:val="21"/>
              </w:rPr>
              <w:t>PRKACA</w:t>
            </w:r>
          </w:p>
        </w:tc>
        <w:tc>
          <w:tcPr>
            <w:tcW w:w="3251" w:type="dxa"/>
            <w:tcBorders>
              <w:top w:val="nil"/>
              <w:left w:val="nil"/>
              <w:bottom w:val="single" w:color="auto" w:sz="8" w:space="0"/>
              <w:right w:val="nil"/>
            </w:tcBorders>
            <w:vAlign w:val="center"/>
          </w:tcPr>
          <w:p w14:paraId="10F4EDE4">
            <w:pPr>
              <w:spacing w:after="0" w:line="240" w:lineRule="auto"/>
              <w:jc w:val="left"/>
              <w:rPr>
                <w:rFonts w:hint="default" w:ascii="Times New Roman" w:hAnsi="Times New Roman" w:eastAsia="宋体" w:cs="Times New Roman"/>
                <w:sz w:val="21"/>
                <w:szCs w:val="21"/>
                <w:lang w:val="en-US" w:eastAsia="zh-CN"/>
              </w:rPr>
            </w:pPr>
            <w:r>
              <w:rPr>
                <w:rFonts w:ascii="Times New Roman" w:hAnsi="Times New Roman" w:eastAsia="Times New Roman"/>
                <w:b w:val="0"/>
                <w:i w:val="0"/>
                <w:sz w:val="21"/>
                <w:szCs w:val="21"/>
              </w:rPr>
              <w:t>NM_002730.4; full-length PRKACA CDS, 1056 bp; BamHI/EcoRI cloning sites</w:t>
            </w:r>
          </w:p>
        </w:tc>
        <w:tc>
          <w:tcPr>
            <w:tcW w:w="1719" w:type="dxa"/>
            <w:tcBorders>
              <w:top w:val="nil"/>
              <w:left w:val="nil"/>
              <w:bottom w:val="single" w:color="auto" w:sz="8" w:space="0"/>
              <w:right w:val="nil"/>
            </w:tcBorders>
            <w:vAlign w:val="center"/>
          </w:tcPr>
          <w:p w14:paraId="6A80AE78">
            <w:pPr>
              <w:spacing w:after="0" w:line="240" w:lineRule="auto"/>
              <w:jc w:val="center"/>
              <w:rPr>
                <w:rFonts w:hint="default" w:ascii="Times New Roman" w:hAnsi="Times New Roman" w:eastAsia="宋体" w:cs="Times New Roman"/>
                <w:sz w:val="21"/>
                <w:szCs w:val="21"/>
                <w:lang w:val="en-US" w:eastAsia="zh-CN"/>
              </w:rPr>
            </w:pPr>
            <w:r>
              <w:rPr>
                <w:rFonts w:ascii="Times New Roman" w:hAnsi="Times New Roman" w:eastAsia="Times New Roman"/>
                <w:b w:val="0"/>
                <w:i w:val="0"/>
                <w:sz w:val="21"/>
                <w:szCs w:val="21"/>
              </w:rPr>
              <w:t>pcDNA3.1(+)</w:t>
            </w:r>
          </w:p>
        </w:tc>
        <w:tc>
          <w:tcPr>
            <w:tcW w:w="1418" w:type="dxa"/>
            <w:tcBorders>
              <w:top w:val="nil"/>
              <w:left w:val="nil"/>
              <w:bottom w:val="single" w:color="auto" w:sz="8" w:space="0"/>
              <w:right w:val="nil"/>
            </w:tcBorders>
            <w:vAlign w:val="center"/>
          </w:tcPr>
          <w:p w14:paraId="417755CD">
            <w:pPr>
              <w:spacing w:after="0" w:line="240" w:lineRule="auto"/>
              <w:jc w:val="center"/>
              <w:rPr>
                <w:rFonts w:ascii="Times New Roman" w:hAnsi="Times New Roman" w:eastAsia="宋体" w:cs="Times New Roman"/>
                <w:sz w:val="21"/>
                <w:szCs w:val="21"/>
              </w:rPr>
            </w:pPr>
            <w:r>
              <w:rPr>
                <w:rFonts w:ascii="Times New Roman" w:hAnsi="Times New Roman" w:eastAsia="Times New Roman"/>
                <w:b w:val="0"/>
                <w:i w:val="0"/>
                <w:sz w:val="21"/>
                <w:szCs w:val="21"/>
              </w:rPr>
              <w:t>2.5 µg/well</w:t>
            </w:r>
          </w:p>
        </w:tc>
      </w:tr>
    </w:tbl>
    <w:p w14:paraId="3230F637">
      <w:pPr>
        <w:rPr>
          <w:rFonts w:hint="eastAsia" w:ascii="Times New Roman" w:hAnsi="Times New Roman" w:eastAsia="宋体" w:cs="Times New Roman"/>
          <w:szCs w:val="21"/>
        </w:rPr>
      </w:pPr>
      <w:r>
        <w:rPr>
          <w:rFonts w:hint="eastAsia" w:ascii="Times New Roman" w:hAnsi="Times New Roman" w:eastAsia="宋体" w:cs="Times New Roman"/>
          <w:b/>
          <w:bCs/>
          <w:szCs w:val="21"/>
          <w:lang w:val="en-US" w:eastAsia="zh-CN"/>
        </w:rPr>
        <w:t>Note</w:t>
      </w:r>
      <w:r>
        <w:rPr>
          <w:rFonts w:hint="eastAsia" w:ascii="Times New Roman" w:hAnsi="Times New Roman" w:eastAsia="宋体" w:cs="Times New Roman"/>
          <w:szCs w:val="21"/>
        </w:rPr>
        <w:t>: shNC, negative-control shRNA plasmid; KD, PRKACA shRNA-mediated knockdown; Vec, empty vector control; OE, PRKACA overexpression; CDS, coding sequence. In the manuscript figures, KD denotes the selected PRKACA knockdown construct used in downstream experiments.</w:t>
      </w:r>
    </w:p>
    <w:p w14:paraId="55CB483C">
      <w:pPr>
        <w:rPr>
          <w:rFonts w:hint="eastAsia" w:ascii="Times New Roman" w:hAnsi="Times New Roman" w:eastAsia="宋体" w:cs="Times New Roman"/>
          <w:szCs w:val="21"/>
        </w:rPr>
      </w:pPr>
      <w:r>
        <w:rPr>
          <w:rFonts w:hint="eastAsia" w:ascii="Times New Roman" w:hAnsi="Times New Roman" w:eastAsia="宋体" w:cs="Times New Roman"/>
          <w:szCs w:val="21"/>
        </w:rPr>
        <w:t>All constructs and reagents listed in this table were supplied by GenePharma (Shanghai, China). The shRNA sequences indicate target sequences in the 5'-3' direction.</w:t>
      </w:r>
    </w:p>
    <w:p w14:paraId="0B654B96">
      <w:pPr>
        <w:rPr>
          <w:rFonts w:hint="eastAsia" w:ascii="Times New Roman" w:hAnsi="Times New Roman" w:eastAsia="宋体" w:cs="Times New Roman"/>
          <w:szCs w:val="21"/>
        </w:rPr>
      </w:pPr>
      <w:r>
        <w:rPr>
          <w:rFonts w:hint="eastAsia" w:ascii="Times New Roman" w:hAnsi="Times New Roman" w:eastAsia="宋体" w:cs="Times New Roman"/>
          <w:szCs w:val="21"/>
        </w:rPr>
        <w:br w:type="page"/>
      </w:r>
    </w:p>
    <w:p w14:paraId="173227AD">
      <w:pPr>
        <w:spacing w:line="480" w:lineRule="auto"/>
        <w:jc w:val="center"/>
        <w:outlineLvl w:val="1"/>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4</w:t>
      </w:r>
      <w:r>
        <w:rPr>
          <w:rFonts w:hint="eastAsia" w:ascii="Times New Roman" w:hAnsi="Times New Roman" w:eastAsia="宋体" w:cs="Times New Roman"/>
          <w:b/>
          <w:bCs/>
          <w:sz w:val="24"/>
          <w:szCs w:val="24"/>
        </w:rPr>
        <w:t>. Primary antibodies used for western blotting</w:t>
      </w:r>
    </w:p>
    <w:tbl>
      <w:tblPr>
        <w:tblStyle w:val="2"/>
        <w:tblW w:w="4724" w:type="pct"/>
        <w:jc w:val="center"/>
        <w:tblLayout w:type="fixed"/>
        <w:tblCellMar>
          <w:top w:w="0" w:type="dxa"/>
          <w:left w:w="108" w:type="dxa"/>
          <w:bottom w:w="0" w:type="dxa"/>
          <w:right w:w="108" w:type="dxa"/>
        </w:tblCellMar>
      </w:tblPr>
      <w:tblGrid>
        <w:gridCol w:w="2983"/>
        <w:gridCol w:w="1584"/>
        <w:gridCol w:w="1709"/>
        <w:gridCol w:w="1517"/>
        <w:gridCol w:w="3594"/>
        <w:gridCol w:w="2005"/>
      </w:tblGrid>
      <w:tr w14:paraId="7354EFAF">
        <w:tblPrEx>
          <w:tblCellMar>
            <w:top w:w="0" w:type="dxa"/>
            <w:left w:w="108" w:type="dxa"/>
            <w:bottom w:w="0" w:type="dxa"/>
            <w:right w:w="108" w:type="dxa"/>
          </w:tblCellMar>
        </w:tblPrEx>
        <w:trPr>
          <w:trHeight w:val="371" w:hRule="atLeast"/>
          <w:jc w:val="center"/>
        </w:trPr>
        <w:tc>
          <w:tcPr>
            <w:tcW w:w="2983" w:type="dxa"/>
            <w:tcBorders>
              <w:top w:val="single" w:color="auto" w:sz="12" w:space="0"/>
              <w:left w:val="nil"/>
              <w:bottom w:val="single" w:color="auto" w:sz="8" w:space="0"/>
              <w:right w:val="nil"/>
            </w:tcBorders>
            <w:noWrap/>
            <w:vAlign w:val="top"/>
          </w:tcPr>
          <w:p w14:paraId="2C702E3C">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Target</w:t>
            </w:r>
          </w:p>
        </w:tc>
        <w:tc>
          <w:tcPr>
            <w:tcW w:w="1584" w:type="dxa"/>
            <w:tcBorders>
              <w:top w:val="single" w:color="auto" w:sz="12" w:space="0"/>
              <w:left w:val="nil"/>
              <w:bottom w:val="single" w:color="auto" w:sz="8" w:space="0"/>
              <w:right w:val="nil"/>
            </w:tcBorders>
            <w:vAlign w:val="top"/>
          </w:tcPr>
          <w:p w14:paraId="64498D27">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Manufacturer</w:t>
            </w:r>
          </w:p>
        </w:tc>
        <w:tc>
          <w:tcPr>
            <w:tcW w:w="1709" w:type="dxa"/>
            <w:tcBorders>
              <w:top w:val="single" w:color="auto" w:sz="12" w:space="0"/>
              <w:left w:val="nil"/>
              <w:bottom w:val="single" w:color="auto" w:sz="8" w:space="0"/>
              <w:right w:val="nil"/>
            </w:tcBorders>
            <w:vAlign w:val="top"/>
          </w:tcPr>
          <w:p w14:paraId="7E2BD55A">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Catalog No.</w:t>
            </w:r>
          </w:p>
        </w:tc>
        <w:tc>
          <w:tcPr>
            <w:tcW w:w="1517" w:type="dxa"/>
            <w:tcBorders>
              <w:top w:val="single" w:color="auto" w:sz="12" w:space="0"/>
              <w:left w:val="nil"/>
              <w:bottom w:val="single" w:color="auto" w:sz="8" w:space="0"/>
              <w:right w:val="nil"/>
            </w:tcBorders>
            <w:vAlign w:val="top"/>
          </w:tcPr>
          <w:p w14:paraId="08C83E8E">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Host species</w:t>
            </w:r>
          </w:p>
        </w:tc>
        <w:tc>
          <w:tcPr>
            <w:tcW w:w="3594" w:type="dxa"/>
            <w:tcBorders>
              <w:top w:val="single" w:color="auto" w:sz="12" w:space="0"/>
              <w:left w:val="nil"/>
              <w:bottom w:val="single" w:color="auto" w:sz="8" w:space="0"/>
              <w:right w:val="nil"/>
            </w:tcBorders>
            <w:vAlign w:val="top"/>
          </w:tcPr>
          <w:p w14:paraId="207402F4">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Antibody type / clone</w:t>
            </w:r>
          </w:p>
        </w:tc>
        <w:tc>
          <w:tcPr>
            <w:tcW w:w="2005" w:type="dxa"/>
            <w:tcBorders>
              <w:top w:val="single" w:color="auto" w:sz="12" w:space="0"/>
              <w:left w:val="nil"/>
              <w:bottom w:val="single" w:color="auto" w:sz="8" w:space="0"/>
              <w:right w:val="nil"/>
            </w:tcBorders>
            <w:vAlign w:val="top"/>
          </w:tcPr>
          <w:p w14:paraId="05A28C18">
            <w:pPr>
              <w:spacing w:after="0" w:line="240" w:lineRule="auto"/>
              <w:jc w:val="center"/>
              <w:rPr>
                <w:rFonts w:ascii="Times New Roman" w:hAnsi="Times New Roman" w:eastAsia="Times New Roman"/>
                <w:b/>
                <w:i w:val="0"/>
                <w:sz w:val="21"/>
                <w:szCs w:val="21"/>
              </w:rPr>
            </w:pPr>
            <w:r>
              <w:rPr>
                <w:rFonts w:ascii="Times New Roman" w:hAnsi="Times New Roman" w:eastAsia="Times New Roman"/>
                <w:b/>
                <w:i w:val="0"/>
                <w:sz w:val="21"/>
                <w:szCs w:val="21"/>
              </w:rPr>
              <w:t>Working dilution</w:t>
            </w:r>
          </w:p>
        </w:tc>
      </w:tr>
      <w:tr w14:paraId="5EBAE7DA">
        <w:tblPrEx>
          <w:tblCellMar>
            <w:top w:w="0" w:type="dxa"/>
            <w:left w:w="108" w:type="dxa"/>
            <w:bottom w:w="0" w:type="dxa"/>
            <w:right w:w="108" w:type="dxa"/>
          </w:tblCellMar>
        </w:tblPrEx>
        <w:trPr>
          <w:trHeight w:val="371" w:hRule="atLeast"/>
          <w:jc w:val="center"/>
        </w:trPr>
        <w:tc>
          <w:tcPr>
            <w:tcW w:w="2983" w:type="dxa"/>
            <w:tcBorders>
              <w:top w:val="single" w:color="auto" w:sz="8" w:space="0"/>
              <w:left w:val="nil"/>
              <w:bottom w:val="nil"/>
              <w:right w:val="nil"/>
            </w:tcBorders>
            <w:noWrap/>
            <w:vAlign w:val="center"/>
          </w:tcPr>
          <w:p w14:paraId="4FD3B158">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PRKACA (PKA C-alpha)</w:t>
            </w:r>
          </w:p>
        </w:tc>
        <w:tc>
          <w:tcPr>
            <w:tcW w:w="1584" w:type="dxa"/>
            <w:tcBorders>
              <w:top w:val="single" w:color="auto" w:sz="8" w:space="0"/>
              <w:left w:val="nil"/>
              <w:bottom w:val="nil"/>
              <w:right w:val="nil"/>
            </w:tcBorders>
            <w:vAlign w:val="center"/>
          </w:tcPr>
          <w:p w14:paraId="208A2450">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single" w:color="auto" w:sz="8" w:space="0"/>
              <w:left w:val="nil"/>
              <w:bottom w:val="nil"/>
              <w:right w:val="nil"/>
            </w:tcBorders>
            <w:vAlign w:val="center"/>
          </w:tcPr>
          <w:p w14:paraId="3CE94BDC">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HA723003</w:t>
            </w:r>
          </w:p>
        </w:tc>
        <w:tc>
          <w:tcPr>
            <w:tcW w:w="1517" w:type="dxa"/>
            <w:tcBorders>
              <w:top w:val="single" w:color="auto" w:sz="8" w:space="0"/>
              <w:left w:val="nil"/>
              <w:bottom w:val="nil"/>
              <w:right w:val="nil"/>
            </w:tcBorders>
            <w:vAlign w:val="center"/>
          </w:tcPr>
          <w:p w14:paraId="63DF28DA">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single" w:color="auto" w:sz="8" w:space="0"/>
              <w:left w:val="nil"/>
              <w:bottom w:val="nil"/>
              <w:right w:val="nil"/>
            </w:tcBorders>
            <w:vAlign w:val="center"/>
          </w:tcPr>
          <w:p w14:paraId="7C7E7CA9">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Recombinant monoclonal [PSH08-57]</w:t>
            </w:r>
          </w:p>
        </w:tc>
        <w:tc>
          <w:tcPr>
            <w:tcW w:w="2005" w:type="dxa"/>
            <w:tcBorders>
              <w:top w:val="single" w:color="auto" w:sz="8" w:space="0"/>
              <w:left w:val="nil"/>
              <w:bottom w:val="nil"/>
              <w:right w:val="nil"/>
            </w:tcBorders>
            <w:vAlign w:val="center"/>
          </w:tcPr>
          <w:p w14:paraId="6A23F330">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1:2,000</w:t>
            </w:r>
          </w:p>
        </w:tc>
      </w:tr>
      <w:tr w14:paraId="328368FD">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62458457">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Phospho-CREB (Ser133)</w:t>
            </w:r>
          </w:p>
        </w:tc>
        <w:tc>
          <w:tcPr>
            <w:tcW w:w="1584" w:type="dxa"/>
            <w:tcBorders>
              <w:top w:val="nil"/>
              <w:left w:val="nil"/>
              <w:bottom w:val="nil"/>
              <w:right w:val="nil"/>
            </w:tcBorders>
            <w:vAlign w:val="center"/>
          </w:tcPr>
          <w:p w14:paraId="37C7812F">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37010456">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ET7107-93</w:t>
            </w:r>
          </w:p>
        </w:tc>
        <w:tc>
          <w:tcPr>
            <w:tcW w:w="1517" w:type="dxa"/>
            <w:tcBorders>
              <w:top w:val="nil"/>
              <w:left w:val="nil"/>
              <w:bottom w:val="nil"/>
              <w:right w:val="nil"/>
            </w:tcBorders>
            <w:shd w:val="clear" w:color="auto" w:fill="auto"/>
            <w:vAlign w:val="center"/>
          </w:tcPr>
          <w:p w14:paraId="6C5431ED">
            <w:pPr>
              <w:spacing w:after="0" w:line="240" w:lineRule="auto"/>
              <w:jc w:val="center"/>
              <w:rPr>
                <w:rFonts w:hint="eastAsia"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42A42BFD">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Recombinant monoclonal [JB25-40]</w:t>
            </w:r>
          </w:p>
        </w:tc>
        <w:tc>
          <w:tcPr>
            <w:tcW w:w="2005" w:type="dxa"/>
            <w:tcBorders>
              <w:top w:val="nil"/>
              <w:left w:val="nil"/>
              <w:bottom w:val="nil"/>
              <w:right w:val="nil"/>
            </w:tcBorders>
            <w:vAlign w:val="center"/>
          </w:tcPr>
          <w:p w14:paraId="1185F35D">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1:1,000</w:t>
            </w:r>
          </w:p>
        </w:tc>
      </w:tr>
      <w:tr w14:paraId="38E321A8">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05A0F668">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CREB</w:t>
            </w:r>
          </w:p>
        </w:tc>
        <w:tc>
          <w:tcPr>
            <w:tcW w:w="1584" w:type="dxa"/>
            <w:tcBorders>
              <w:top w:val="nil"/>
              <w:left w:val="nil"/>
              <w:bottom w:val="nil"/>
              <w:right w:val="nil"/>
            </w:tcBorders>
            <w:vAlign w:val="center"/>
          </w:tcPr>
          <w:p w14:paraId="661CAE0A">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584AC973">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HA723754</w:t>
            </w:r>
          </w:p>
        </w:tc>
        <w:tc>
          <w:tcPr>
            <w:tcW w:w="1517" w:type="dxa"/>
            <w:tcBorders>
              <w:top w:val="nil"/>
              <w:left w:val="nil"/>
              <w:bottom w:val="nil"/>
              <w:right w:val="nil"/>
            </w:tcBorders>
            <w:shd w:val="clear" w:color="auto" w:fill="auto"/>
            <w:vAlign w:val="center"/>
          </w:tcPr>
          <w:p w14:paraId="59E44CE7">
            <w:pPr>
              <w:spacing w:after="0" w:line="240" w:lineRule="auto"/>
              <w:jc w:val="center"/>
              <w:rPr>
                <w:rFonts w:hint="eastAsia"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2889A22E">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Recombinant monoclonal [PSH15-48]</w:t>
            </w:r>
          </w:p>
        </w:tc>
        <w:tc>
          <w:tcPr>
            <w:tcW w:w="2005" w:type="dxa"/>
            <w:tcBorders>
              <w:top w:val="nil"/>
              <w:left w:val="nil"/>
              <w:bottom w:val="nil"/>
              <w:right w:val="nil"/>
            </w:tcBorders>
            <w:vAlign w:val="center"/>
          </w:tcPr>
          <w:p w14:paraId="7D698F1F">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1:30,000</w:t>
            </w:r>
          </w:p>
        </w:tc>
      </w:tr>
      <w:tr w14:paraId="3F86A7EE">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23CFBC1A">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GRP78/BiP</w:t>
            </w:r>
          </w:p>
        </w:tc>
        <w:tc>
          <w:tcPr>
            <w:tcW w:w="1584" w:type="dxa"/>
            <w:tcBorders>
              <w:top w:val="nil"/>
              <w:left w:val="nil"/>
              <w:bottom w:val="nil"/>
              <w:right w:val="nil"/>
            </w:tcBorders>
            <w:vAlign w:val="center"/>
          </w:tcPr>
          <w:p w14:paraId="60EF6816">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Proteintech</w:t>
            </w:r>
          </w:p>
        </w:tc>
        <w:tc>
          <w:tcPr>
            <w:tcW w:w="1709" w:type="dxa"/>
            <w:tcBorders>
              <w:top w:val="nil"/>
              <w:left w:val="nil"/>
              <w:bottom w:val="nil"/>
              <w:right w:val="nil"/>
            </w:tcBorders>
            <w:shd w:val="clear" w:color="auto" w:fill="auto"/>
            <w:vAlign w:val="center"/>
          </w:tcPr>
          <w:p w14:paraId="2871E36C">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11587-1-AP</w:t>
            </w:r>
          </w:p>
        </w:tc>
        <w:tc>
          <w:tcPr>
            <w:tcW w:w="1517" w:type="dxa"/>
            <w:tcBorders>
              <w:top w:val="nil"/>
              <w:left w:val="nil"/>
              <w:bottom w:val="nil"/>
              <w:right w:val="nil"/>
            </w:tcBorders>
            <w:shd w:val="clear" w:color="auto" w:fill="auto"/>
            <w:vAlign w:val="center"/>
          </w:tcPr>
          <w:p w14:paraId="15923FC3">
            <w:pPr>
              <w:spacing w:after="0" w:line="240" w:lineRule="auto"/>
              <w:jc w:val="center"/>
              <w:rPr>
                <w:rFonts w:hint="eastAsia"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6A08F385">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Polyclonal</w:t>
            </w:r>
          </w:p>
        </w:tc>
        <w:tc>
          <w:tcPr>
            <w:tcW w:w="2005" w:type="dxa"/>
            <w:tcBorders>
              <w:top w:val="nil"/>
              <w:left w:val="nil"/>
              <w:bottom w:val="nil"/>
              <w:right w:val="nil"/>
            </w:tcBorders>
            <w:vAlign w:val="center"/>
          </w:tcPr>
          <w:p w14:paraId="23FF37FC">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1:2,000</w:t>
            </w:r>
          </w:p>
        </w:tc>
      </w:tr>
      <w:tr w14:paraId="638A1343">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167D3F6D">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CHOP/DDIT3</w:t>
            </w:r>
          </w:p>
        </w:tc>
        <w:tc>
          <w:tcPr>
            <w:tcW w:w="1584" w:type="dxa"/>
            <w:tcBorders>
              <w:top w:val="nil"/>
              <w:left w:val="nil"/>
              <w:bottom w:val="nil"/>
              <w:right w:val="nil"/>
            </w:tcBorders>
            <w:vAlign w:val="center"/>
          </w:tcPr>
          <w:p w14:paraId="12716DCE">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0F0D3624">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HA722854</w:t>
            </w:r>
          </w:p>
        </w:tc>
        <w:tc>
          <w:tcPr>
            <w:tcW w:w="1517" w:type="dxa"/>
            <w:tcBorders>
              <w:top w:val="nil"/>
              <w:left w:val="nil"/>
              <w:bottom w:val="nil"/>
              <w:right w:val="nil"/>
            </w:tcBorders>
            <w:shd w:val="clear" w:color="auto" w:fill="auto"/>
            <w:vAlign w:val="center"/>
          </w:tcPr>
          <w:p w14:paraId="643B2ECD">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7BDC0F04">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Recombinant monoclonal [PSH07-65]</w:t>
            </w:r>
          </w:p>
        </w:tc>
        <w:tc>
          <w:tcPr>
            <w:tcW w:w="2005" w:type="dxa"/>
            <w:tcBorders>
              <w:top w:val="nil"/>
              <w:left w:val="nil"/>
              <w:bottom w:val="nil"/>
              <w:right w:val="nil"/>
            </w:tcBorders>
            <w:vAlign w:val="center"/>
          </w:tcPr>
          <w:p w14:paraId="21550C5E">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1:5,000</w:t>
            </w:r>
          </w:p>
        </w:tc>
      </w:tr>
      <w:tr w14:paraId="5BEB38D6">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029A747C">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CYP19A1</w:t>
            </w:r>
          </w:p>
        </w:tc>
        <w:tc>
          <w:tcPr>
            <w:tcW w:w="1584" w:type="dxa"/>
            <w:tcBorders>
              <w:top w:val="nil"/>
              <w:left w:val="nil"/>
              <w:bottom w:val="nil"/>
              <w:right w:val="nil"/>
            </w:tcBorders>
            <w:vAlign w:val="center"/>
          </w:tcPr>
          <w:p w14:paraId="4B37F965">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Proteintech</w:t>
            </w:r>
          </w:p>
        </w:tc>
        <w:tc>
          <w:tcPr>
            <w:tcW w:w="1709" w:type="dxa"/>
            <w:tcBorders>
              <w:top w:val="nil"/>
              <w:left w:val="nil"/>
              <w:bottom w:val="nil"/>
              <w:right w:val="nil"/>
            </w:tcBorders>
            <w:shd w:val="clear" w:color="auto" w:fill="auto"/>
            <w:vAlign w:val="center"/>
          </w:tcPr>
          <w:p w14:paraId="2B39A79B">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16554-1-AP</w:t>
            </w:r>
          </w:p>
        </w:tc>
        <w:tc>
          <w:tcPr>
            <w:tcW w:w="1517" w:type="dxa"/>
            <w:tcBorders>
              <w:top w:val="nil"/>
              <w:left w:val="nil"/>
              <w:bottom w:val="nil"/>
              <w:right w:val="nil"/>
            </w:tcBorders>
            <w:shd w:val="clear" w:color="auto" w:fill="auto"/>
            <w:vAlign w:val="center"/>
          </w:tcPr>
          <w:p w14:paraId="603D083F">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647D7EA0">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Polyclonal</w:t>
            </w:r>
          </w:p>
        </w:tc>
        <w:tc>
          <w:tcPr>
            <w:tcW w:w="2005" w:type="dxa"/>
            <w:tcBorders>
              <w:top w:val="nil"/>
              <w:left w:val="nil"/>
              <w:bottom w:val="nil"/>
              <w:right w:val="nil"/>
            </w:tcBorders>
            <w:vAlign w:val="center"/>
          </w:tcPr>
          <w:p w14:paraId="66A32B27">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1:1,000</w:t>
            </w:r>
          </w:p>
        </w:tc>
      </w:tr>
      <w:tr w14:paraId="266BAA33">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4CF3C0FC">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BCL2</w:t>
            </w:r>
          </w:p>
        </w:tc>
        <w:tc>
          <w:tcPr>
            <w:tcW w:w="1584" w:type="dxa"/>
            <w:tcBorders>
              <w:top w:val="nil"/>
              <w:left w:val="nil"/>
              <w:bottom w:val="nil"/>
              <w:right w:val="nil"/>
            </w:tcBorders>
            <w:vAlign w:val="center"/>
          </w:tcPr>
          <w:p w14:paraId="64704839">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5CE847DC">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HA721235</w:t>
            </w:r>
          </w:p>
        </w:tc>
        <w:tc>
          <w:tcPr>
            <w:tcW w:w="1517" w:type="dxa"/>
            <w:tcBorders>
              <w:top w:val="nil"/>
              <w:left w:val="nil"/>
              <w:bottom w:val="nil"/>
              <w:right w:val="nil"/>
            </w:tcBorders>
            <w:shd w:val="clear" w:color="auto" w:fill="auto"/>
            <w:vAlign w:val="center"/>
          </w:tcPr>
          <w:p w14:paraId="0D26AFE1">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619DE655">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Recombinant monoclonal [PD01-41]</w:t>
            </w:r>
          </w:p>
        </w:tc>
        <w:tc>
          <w:tcPr>
            <w:tcW w:w="2005" w:type="dxa"/>
            <w:tcBorders>
              <w:top w:val="nil"/>
              <w:left w:val="nil"/>
              <w:bottom w:val="nil"/>
              <w:right w:val="nil"/>
            </w:tcBorders>
            <w:vAlign w:val="center"/>
          </w:tcPr>
          <w:p w14:paraId="42490B99">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1:5,000</w:t>
            </w:r>
          </w:p>
        </w:tc>
      </w:tr>
      <w:tr w14:paraId="53525FED">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4F7B6000">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BAX</w:t>
            </w:r>
          </w:p>
        </w:tc>
        <w:tc>
          <w:tcPr>
            <w:tcW w:w="1584" w:type="dxa"/>
            <w:tcBorders>
              <w:top w:val="nil"/>
              <w:left w:val="nil"/>
              <w:bottom w:val="nil"/>
              <w:right w:val="nil"/>
            </w:tcBorders>
            <w:vAlign w:val="center"/>
          </w:tcPr>
          <w:p w14:paraId="22613EE1">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75C65DDA">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ET1603-34</w:t>
            </w:r>
          </w:p>
        </w:tc>
        <w:tc>
          <w:tcPr>
            <w:tcW w:w="1517" w:type="dxa"/>
            <w:tcBorders>
              <w:top w:val="nil"/>
              <w:left w:val="nil"/>
              <w:bottom w:val="nil"/>
              <w:right w:val="nil"/>
            </w:tcBorders>
            <w:shd w:val="clear" w:color="auto" w:fill="auto"/>
            <w:vAlign w:val="center"/>
          </w:tcPr>
          <w:p w14:paraId="7B282F10">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129FBB5E">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Recombinant monoclonal</w:t>
            </w:r>
          </w:p>
        </w:tc>
        <w:tc>
          <w:tcPr>
            <w:tcW w:w="2005" w:type="dxa"/>
            <w:tcBorders>
              <w:top w:val="nil"/>
              <w:left w:val="nil"/>
              <w:bottom w:val="nil"/>
              <w:right w:val="nil"/>
            </w:tcBorders>
            <w:vAlign w:val="center"/>
          </w:tcPr>
          <w:p w14:paraId="20FEB43B">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1:20,000</w:t>
            </w:r>
          </w:p>
        </w:tc>
      </w:tr>
      <w:tr w14:paraId="42F250DE">
        <w:tblPrEx>
          <w:tblCellMar>
            <w:top w:w="0" w:type="dxa"/>
            <w:left w:w="108" w:type="dxa"/>
            <w:bottom w:w="0" w:type="dxa"/>
            <w:right w:w="108" w:type="dxa"/>
          </w:tblCellMar>
        </w:tblPrEx>
        <w:trPr>
          <w:trHeight w:val="418" w:hRule="atLeast"/>
          <w:jc w:val="center"/>
        </w:trPr>
        <w:tc>
          <w:tcPr>
            <w:tcW w:w="2983" w:type="dxa"/>
            <w:tcBorders>
              <w:top w:val="nil"/>
              <w:left w:val="nil"/>
              <w:bottom w:val="nil"/>
              <w:right w:val="nil"/>
            </w:tcBorders>
            <w:noWrap/>
            <w:vAlign w:val="center"/>
          </w:tcPr>
          <w:p w14:paraId="3BF633E7">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Pro-Caspase-3</w:t>
            </w:r>
          </w:p>
        </w:tc>
        <w:tc>
          <w:tcPr>
            <w:tcW w:w="1584" w:type="dxa"/>
            <w:tcBorders>
              <w:top w:val="nil"/>
              <w:left w:val="nil"/>
              <w:bottom w:val="nil"/>
              <w:right w:val="nil"/>
            </w:tcBorders>
            <w:vAlign w:val="center"/>
          </w:tcPr>
          <w:p w14:paraId="2879A1E8">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HUABIO</w:t>
            </w:r>
          </w:p>
        </w:tc>
        <w:tc>
          <w:tcPr>
            <w:tcW w:w="1709" w:type="dxa"/>
            <w:tcBorders>
              <w:top w:val="nil"/>
              <w:left w:val="nil"/>
              <w:bottom w:val="nil"/>
              <w:right w:val="nil"/>
            </w:tcBorders>
            <w:shd w:val="clear" w:color="auto" w:fill="auto"/>
            <w:vAlign w:val="center"/>
          </w:tcPr>
          <w:p w14:paraId="7AE3C727">
            <w:pPr>
              <w:spacing w:after="0" w:line="240" w:lineRule="auto"/>
              <w:jc w:val="center"/>
              <w:rPr>
                <w:rFonts w:ascii="Times New Roman" w:hAnsi="Times New Roman" w:eastAsia="Times New Roman"/>
                <w:b w:val="0"/>
                <w:i w:val="0"/>
                <w:sz w:val="21"/>
                <w:szCs w:val="21"/>
              </w:rPr>
            </w:pPr>
            <w:r>
              <w:rPr>
                <w:rFonts w:ascii="Times New Roman" w:hAnsi="Times New Roman" w:eastAsia="Times New Roman"/>
                <w:b w:val="0"/>
                <w:i w:val="0"/>
                <w:sz w:val="21"/>
                <w:szCs w:val="21"/>
              </w:rPr>
              <w:t>ET1602-39</w:t>
            </w:r>
          </w:p>
        </w:tc>
        <w:tc>
          <w:tcPr>
            <w:tcW w:w="1517" w:type="dxa"/>
            <w:tcBorders>
              <w:top w:val="nil"/>
              <w:left w:val="nil"/>
              <w:bottom w:val="nil"/>
              <w:right w:val="nil"/>
            </w:tcBorders>
            <w:shd w:val="clear" w:color="auto" w:fill="auto"/>
            <w:vAlign w:val="center"/>
          </w:tcPr>
          <w:p w14:paraId="354559E0">
            <w:pPr>
              <w:spacing w:after="0" w:line="240" w:lineRule="auto"/>
              <w:jc w:val="center"/>
              <w:rPr>
                <w:rFonts w:hint="eastAsia" w:ascii="Times New Roman" w:hAnsi="Times New Roman" w:eastAsia="Times New Roman"/>
                <w:b w:val="0"/>
                <w:i w:val="0"/>
                <w:sz w:val="21"/>
                <w:szCs w:val="21"/>
              </w:rPr>
            </w:pPr>
            <w:r>
              <w:rPr>
                <w:rFonts w:ascii="Times New Roman" w:hAnsi="Times New Roman" w:eastAsia="Times New Roman"/>
                <w:b w:val="0"/>
                <w:i w:val="0"/>
                <w:sz w:val="21"/>
                <w:szCs w:val="21"/>
              </w:rPr>
              <w:t>Rabbit</w:t>
            </w:r>
          </w:p>
        </w:tc>
        <w:tc>
          <w:tcPr>
            <w:tcW w:w="3594" w:type="dxa"/>
            <w:tcBorders>
              <w:top w:val="nil"/>
              <w:left w:val="nil"/>
              <w:bottom w:val="nil"/>
              <w:right w:val="nil"/>
            </w:tcBorders>
            <w:vAlign w:val="center"/>
          </w:tcPr>
          <w:p w14:paraId="5FCBF9AC">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Recombinant monoclonal [SR03-01]</w:t>
            </w:r>
          </w:p>
        </w:tc>
        <w:tc>
          <w:tcPr>
            <w:tcW w:w="2005" w:type="dxa"/>
            <w:tcBorders>
              <w:top w:val="nil"/>
              <w:left w:val="nil"/>
              <w:bottom w:val="nil"/>
              <w:right w:val="nil"/>
            </w:tcBorders>
            <w:vAlign w:val="center"/>
          </w:tcPr>
          <w:p w14:paraId="04D9E074">
            <w:pPr>
              <w:spacing w:after="0" w:line="240" w:lineRule="auto"/>
              <w:jc w:val="center"/>
              <w:rPr>
                <w:rFonts w:hint="eastAsia"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1:3,000</w:t>
            </w:r>
          </w:p>
        </w:tc>
      </w:tr>
      <w:tr w14:paraId="7FC52705">
        <w:tblPrEx>
          <w:tblCellMar>
            <w:top w:w="0" w:type="dxa"/>
            <w:left w:w="108" w:type="dxa"/>
            <w:bottom w:w="0" w:type="dxa"/>
            <w:right w:w="108" w:type="dxa"/>
          </w:tblCellMar>
        </w:tblPrEx>
        <w:trPr>
          <w:trHeight w:val="418" w:hRule="atLeast"/>
          <w:jc w:val="center"/>
        </w:trPr>
        <w:tc>
          <w:tcPr>
            <w:tcW w:w="2983" w:type="dxa"/>
            <w:tcBorders>
              <w:top w:val="nil"/>
              <w:left w:val="nil"/>
              <w:bottom w:val="single" w:color="auto" w:sz="8" w:space="0"/>
              <w:right w:val="nil"/>
            </w:tcBorders>
            <w:noWrap/>
            <w:vAlign w:val="center"/>
          </w:tcPr>
          <w:p w14:paraId="3BF1C13B">
            <w:pPr>
              <w:spacing w:after="0" w:line="240" w:lineRule="auto"/>
              <w:jc w:val="center"/>
              <w:rPr>
                <w:rFonts w:hint="default" w:ascii="Times New Roman" w:hAnsi="Times New Roman" w:eastAsia="Times New Roman"/>
                <w:b w:val="0"/>
                <w:i w:val="0"/>
                <w:sz w:val="21"/>
                <w:szCs w:val="21"/>
                <w:lang w:val="en-US"/>
              </w:rPr>
            </w:pPr>
            <w:r>
              <w:rPr>
                <w:rFonts w:ascii="Times New Roman" w:hAnsi="Times New Roman" w:eastAsia="Times New Roman"/>
                <w:b w:val="0"/>
                <w:i w:val="0"/>
                <w:sz w:val="21"/>
                <w:szCs w:val="21"/>
              </w:rPr>
              <w:t>GAPDH</w:t>
            </w:r>
          </w:p>
        </w:tc>
        <w:tc>
          <w:tcPr>
            <w:tcW w:w="1584" w:type="dxa"/>
            <w:tcBorders>
              <w:top w:val="nil"/>
              <w:left w:val="nil"/>
              <w:bottom w:val="single" w:color="auto" w:sz="8" w:space="0"/>
              <w:right w:val="nil"/>
            </w:tcBorders>
            <w:vAlign w:val="center"/>
          </w:tcPr>
          <w:p w14:paraId="429A3ABC">
            <w:pPr>
              <w:spacing w:after="0" w:line="240" w:lineRule="auto"/>
              <w:jc w:val="center"/>
              <w:rPr>
                <w:rFonts w:hint="default" w:ascii="Times New Roman" w:hAnsi="Times New Roman" w:eastAsia="Times New Roman"/>
                <w:b w:val="0"/>
                <w:i w:val="0"/>
                <w:sz w:val="21"/>
                <w:szCs w:val="21"/>
                <w:lang w:val="en-US"/>
              </w:rPr>
            </w:pPr>
            <w:r>
              <w:rPr>
                <w:rFonts w:ascii="Times New Roman" w:hAnsi="Times New Roman" w:eastAsia="Times New Roman"/>
                <w:b w:val="0"/>
                <w:i w:val="0"/>
                <w:sz w:val="21"/>
                <w:szCs w:val="21"/>
              </w:rPr>
              <w:t>Abcam</w:t>
            </w:r>
          </w:p>
        </w:tc>
        <w:tc>
          <w:tcPr>
            <w:tcW w:w="1709" w:type="dxa"/>
            <w:tcBorders>
              <w:top w:val="nil"/>
              <w:left w:val="nil"/>
              <w:bottom w:val="single" w:color="auto" w:sz="8" w:space="0"/>
              <w:right w:val="nil"/>
            </w:tcBorders>
            <w:shd w:val="clear" w:color="auto" w:fill="auto"/>
            <w:vAlign w:val="center"/>
          </w:tcPr>
          <w:p w14:paraId="4CBD8ABC">
            <w:pPr>
              <w:spacing w:after="0" w:line="240" w:lineRule="auto"/>
              <w:jc w:val="center"/>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ab8245</w:t>
            </w:r>
          </w:p>
        </w:tc>
        <w:tc>
          <w:tcPr>
            <w:tcW w:w="1517" w:type="dxa"/>
            <w:tcBorders>
              <w:top w:val="nil"/>
              <w:left w:val="nil"/>
              <w:bottom w:val="single" w:color="auto" w:sz="8" w:space="0"/>
              <w:right w:val="nil"/>
            </w:tcBorders>
            <w:shd w:val="clear" w:color="auto" w:fill="auto"/>
            <w:vAlign w:val="center"/>
          </w:tcPr>
          <w:p w14:paraId="0DB59F31">
            <w:pPr>
              <w:spacing w:after="0" w:line="240" w:lineRule="auto"/>
              <w:jc w:val="center"/>
              <w:rPr>
                <w:rFonts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Mouse</w:t>
            </w:r>
          </w:p>
        </w:tc>
        <w:tc>
          <w:tcPr>
            <w:tcW w:w="3594" w:type="dxa"/>
            <w:tcBorders>
              <w:top w:val="nil"/>
              <w:left w:val="nil"/>
              <w:bottom w:val="single" w:color="auto" w:sz="8" w:space="0"/>
              <w:right w:val="nil"/>
            </w:tcBorders>
            <w:vAlign w:val="center"/>
          </w:tcPr>
          <w:p w14:paraId="58454B61">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Monoclonal [6C5]</w:t>
            </w:r>
          </w:p>
        </w:tc>
        <w:tc>
          <w:tcPr>
            <w:tcW w:w="2005" w:type="dxa"/>
            <w:tcBorders>
              <w:top w:val="nil"/>
              <w:left w:val="nil"/>
              <w:bottom w:val="single" w:color="auto" w:sz="8" w:space="0"/>
              <w:right w:val="nil"/>
            </w:tcBorders>
            <w:vAlign w:val="center"/>
          </w:tcPr>
          <w:p w14:paraId="5ADB05FB">
            <w:pPr>
              <w:spacing w:after="0" w:line="240" w:lineRule="auto"/>
              <w:jc w:val="center"/>
              <w:rPr>
                <w:rFonts w:hint="default" w:ascii="Times New Roman" w:hAnsi="Times New Roman" w:eastAsia="Times New Roman"/>
                <w:b w:val="0"/>
                <w:i w:val="0"/>
                <w:sz w:val="21"/>
                <w:szCs w:val="21"/>
                <w:lang w:val="en-US" w:eastAsia="zh-CN"/>
              </w:rPr>
            </w:pPr>
            <w:r>
              <w:rPr>
                <w:rFonts w:ascii="Times New Roman" w:hAnsi="Times New Roman" w:eastAsia="Times New Roman"/>
                <w:b w:val="0"/>
                <w:i w:val="0"/>
                <w:sz w:val="21"/>
                <w:szCs w:val="21"/>
              </w:rPr>
              <w:t>1:10,000</w:t>
            </w:r>
          </w:p>
        </w:tc>
      </w:tr>
    </w:tbl>
    <w:p w14:paraId="0B6BE263">
      <w:pPr>
        <w:rPr>
          <w:rFonts w:hint="eastAsia" w:ascii="Times New Roman" w:hAnsi="Times New Roman" w:eastAsia="宋体" w:cs="Times New Roman"/>
          <w:szCs w:val="21"/>
        </w:rPr>
      </w:pPr>
      <w:r>
        <w:rPr>
          <w:rFonts w:hint="eastAsia" w:ascii="Times New Roman" w:hAnsi="Times New Roman" w:eastAsia="宋体" w:cs="Times New Roman"/>
          <w:b/>
          <w:bCs/>
          <w:szCs w:val="21"/>
          <w:lang w:val="en-US" w:eastAsia="zh-CN"/>
        </w:rPr>
        <w:t>Note</w:t>
      </w:r>
      <w:r>
        <w:rPr>
          <w:rFonts w:hint="eastAsia" w:ascii="Times New Roman" w:hAnsi="Times New Roman" w:eastAsia="宋体" w:cs="Times New Roman"/>
          <w:szCs w:val="21"/>
          <w:lang w:val="en-US" w:eastAsia="zh-CN"/>
        </w:rPr>
        <w:t>: The table lists primary antibodies only. H</w:t>
      </w:r>
      <w:bookmarkStart w:id="0" w:name="_GoBack"/>
      <w:bookmarkEnd w:id="0"/>
      <w:r>
        <w:rPr>
          <w:rFonts w:hint="eastAsia" w:ascii="Times New Roman" w:hAnsi="Times New Roman" w:eastAsia="宋体" w:cs="Times New Roman"/>
          <w:szCs w:val="21"/>
          <w:lang w:val="en-US" w:eastAsia="zh-CN"/>
        </w:rPr>
        <w:t>orseradish peroxidase (HRP)-conjugated goat anti-rabbit IgG (Abcam, ab6721; 1:5,000) and goat anti-mouse IgG (Abcam, ab6789; 1:10,000) were used as secondary antibodies as appropriate.</w:t>
      </w:r>
    </w:p>
    <w:sectPr>
      <w:pgSz w:w="16838" w:h="11906" w:orient="landscape"/>
      <w:pgMar w:top="669" w:right="1440" w:bottom="669"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OT863180f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vPTimes">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025562"/>
    <w:rsid w:val="06BF5DD9"/>
    <w:rsid w:val="13F50945"/>
    <w:rsid w:val="1D025562"/>
    <w:rsid w:val="26A153D9"/>
    <w:rsid w:val="2B4A5600"/>
    <w:rsid w:val="2BF77A2F"/>
    <w:rsid w:val="2F004369"/>
    <w:rsid w:val="477C6B72"/>
    <w:rsid w:val="4A7562A3"/>
    <w:rsid w:val="50FC75BA"/>
    <w:rsid w:val="57AE1318"/>
    <w:rsid w:val="5A611BA4"/>
    <w:rsid w:val="5C291C9D"/>
    <w:rsid w:val="5FEA7DCF"/>
    <w:rsid w:val="798C38F6"/>
    <w:rsid w:val="7DF62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998</Words>
  <Characters>6322</Characters>
  <Lines>0</Lines>
  <Paragraphs>0</Paragraphs>
  <TotalTime>4</TotalTime>
  <ScaleCrop>false</ScaleCrop>
  <LinksUpToDate>false</LinksUpToDate>
  <CharactersWithSpaces>7064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2026-06-20T14:52:00Z</dcterms:created>
  <dc:creator>张艳</dc:creator>
  <cp:lastModifiedBy>张艳</cp:lastModifiedBy>
  <dcterms:modified xsi:type="dcterms:W3CDTF">2026-09-03T14:50:51Z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F6410724A2B7452997D5A9744C2F6ED3_13</vt:lpwstr>
  </property>
  <property fmtid="{D5CDD505-2E9C-101B-9397-08002B2CF9AE}" pid="4" name="KSOTemplateDocerSaveRecord">
    <vt:lpwstr>eyJoZGlkIjoiM2E5M2ZkMGQ5YTM3ZmRlNTZmNTFjMzM4MDgzNGZiZGIiLCJ1c2VySWQiOiI5OTQ4MjE0NzEifQ==</vt:lpwstr>
  </property>
</Properties>
</file>