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58A64" w14:textId="77777777" w:rsidR="009154C5" w:rsidRPr="001F70C4" w:rsidRDefault="009154C5" w:rsidP="009154C5">
      <w:pPr>
        <w:spacing w:line="480" w:lineRule="auto"/>
        <w:rPr>
          <w:b/>
          <w:bCs/>
          <w:i/>
          <w:iCs/>
        </w:rPr>
      </w:pPr>
      <w:r w:rsidRPr="001F70C4">
        <w:rPr>
          <w:b/>
          <w:bCs/>
          <w:i/>
          <w:iCs/>
        </w:rPr>
        <w:t>Definitions and interpretation of seropositivity</w:t>
      </w:r>
    </w:p>
    <w:p w14:paraId="73DB0D12" w14:textId="4CF9F031" w:rsidR="009154C5" w:rsidRPr="001F70C4" w:rsidRDefault="009154C5" w:rsidP="009154C5">
      <w:pPr>
        <w:spacing w:line="480" w:lineRule="auto"/>
      </w:pPr>
      <w:r w:rsidRPr="001F70C4">
        <w:t>Pathogens were grouped into four broad disease groups: NTDs (LF, trachoma, yaws, taeniasis, cysticercosis, strongyloidiasis), arboviruses (dengue virus [DENV] 1-4, chikungunya, Zika), VPDs (measles, rubella, diphtheria, tetanus, pertussis, SARS</w:t>
      </w:r>
      <w:r w:rsidR="009C04DE">
        <w:t>-</w:t>
      </w:r>
      <w:r w:rsidRPr="001F70C4">
        <w:t>CoV-2), and enteric protozoa (cryptosporidiosis and giardiasis) acknowledging that some pathogens, such as dengue virus, can fall into more than one category. Definitions and interpretation of seropositivity are summarised below and in Table 1.</w:t>
      </w:r>
    </w:p>
    <w:p w14:paraId="35916E37" w14:textId="2AB9F714" w:rsidR="009154C5" w:rsidRDefault="009154C5" w:rsidP="009154C5">
      <w:pPr>
        <w:spacing w:line="480" w:lineRule="auto"/>
      </w:pPr>
      <w:r w:rsidRPr="001F70C4">
        <w:t>Among the LF Abs, </w:t>
      </w:r>
      <w:r w:rsidRPr="001F70C4">
        <w:rPr>
          <w:i/>
          <w:iCs/>
        </w:rPr>
        <w:t>Wb123</w:t>
      </w:r>
      <w:r w:rsidRPr="001F70C4">
        <w:t xml:space="preserve"> is </w:t>
      </w:r>
      <w:r w:rsidR="00EF20D1">
        <w:t xml:space="preserve">a </w:t>
      </w:r>
      <w:r w:rsidRPr="001F70C4">
        <w:t>larval</w:t>
      </w:r>
      <w:r w:rsidR="00EF20D1">
        <w:t>-stage</w:t>
      </w:r>
      <w:r w:rsidRPr="001F70C4">
        <w:t xml:space="preserve"> Ag, suggesting that </w:t>
      </w:r>
      <w:r w:rsidRPr="001F70C4">
        <w:rPr>
          <w:i/>
          <w:iCs/>
        </w:rPr>
        <w:t>Wb123</w:t>
      </w:r>
      <w:r w:rsidRPr="001F70C4">
        <w:t xml:space="preserve"> Ab-positive results are more likely to be associated with exposure to infected mosquitoes (and </w:t>
      </w:r>
      <w:r>
        <w:t xml:space="preserve">possibly </w:t>
      </w:r>
      <w:r w:rsidRPr="001F70C4">
        <w:t>an indicator of ongoing transmission) than </w:t>
      </w:r>
      <w:r w:rsidRPr="001F70C4">
        <w:rPr>
          <w:i/>
          <w:iCs/>
        </w:rPr>
        <w:t>Bm14</w:t>
      </w:r>
      <w:r w:rsidRPr="001F70C4">
        <w:t> Ab</w:t>
      </w:r>
      <w:r w:rsidR="00590C1F">
        <w:t xml:space="preserve"> </w:t>
      </w:r>
      <w:r w:rsidRPr="001F70C4">
        <w:t>positiv</w:t>
      </w:r>
      <w:r w:rsidR="00590C1F">
        <w:t>ity</w:t>
      </w:r>
      <w:r w:rsidRPr="001F70C4">
        <w:t>, which indicates past or current LF exposure but not necessarily recent transmission.</w:t>
      </w:r>
      <w:r w:rsidRPr="001F70C4">
        <w:fldChar w:fldCharType="begin">
          <w:fldData xml:space="preserve">PEVuZE5vdGU+PENpdGU+PEF1dGhvcj5MYXdmb3JkPC9BdXRob3I+PFllYXI+MjAyNTwvWWVhcj48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</w:fldData>
        </w:fldChar>
      </w:r>
      <w:r>
        <w:instrText xml:space="preserve"> ADDIN EN.CITE </w:instrText>
      </w:r>
      <w:r>
        <w:fldChar w:fldCharType="begin">
          <w:fldData xml:space="preserve">PEVuZE5vdGU+PENpdGU+PEF1dGhvcj5MYXdmb3JkPC9BdXRob3I+PFllYXI+MjAyNTwvWWVhcj48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</w:fldData>
        </w:fldChar>
      </w:r>
      <w:r>
        <w:instrText xml:space="preserve"> ADDIN EN.CITE.DATA </w:instrText>
      </w:r>
      <w:r>
        <w:fldChar w:fldCharType="end"/>
      </w:r>
      <w:r w:rsidRPr="001F70C4">
        <w:fldChar w:fldCharType="separate"/>
      </w:r>
      <w:r w:rsidRPr="009154C5">
        <w:rPr>
          <w:noProof/>
          <w:vertAlign w:val="superscript"/>
        </w:rPr>
        <w:t>1</w:t>
      </w:r>
      <w:r w:rsidRPr="001F70C4">
        <w:fldChar w:fldCharType="end"/>
      </w:r>
      <w:r w:rsidRPr="001F70C4">
        <w:t xml:space="preserve"> </w:t>
      </w:r>
      <w:r w:rsidR="00A45721" w:rsidRPr="00A45721">
        <w:t>For this study, seropositivity to either Ab was considered indicative of past or current LF infection/exposure, although Ab seropositivity alone does not confirm active infection.</w:t>
      </w:r>
    </w:p>
    <w:p w14:paraId="273E056E" w14:textId="139D478C" w:rsidR="009154C5" w:rsidRDefault="009154C5" w:rsidP="009154C5">
      <w:pPr>
        <w:spacing w:line="480" w:lineRule="auto"/>
      </w:pPr>
      <w:r w:rsidRPr="001F70C4">
        <w:t xml:space="preserve">For trachoma, </w:t>
      </w:r>
      <w:r w:rsidRPr="001F70C4">
        <w:rPr>
          <w:i/>
          <w:iCs/>
        </w:rPr>
        <w:t>Pgp3</w:t>
      </w:r>
      <w:r w:rsidRPr="001F70C4">
        <w:t xml:space="preserve"> Ab seropositivity reflects cumulative exposure to </w:t>
      </w:r>
      <w:r w:rsidRPr="001F70C4">
        <w:rPr>
          <w:i/>
          <w:iCs/>
        </w:rPr>
        <w:t>Chlamydia trachomatis</w:t>
      </w:r>
      <w:r w:rsidRPr="001F70C4">
        <w:t xml:space="preserve"> and is considered an early indicator of </w:t>
      </w:r>
      <w:proofErr w:type="gramStart"/>
      <w:r w:rsidRPr="001F70C4">
        <w:t>transmission, but</w:t>
      </w:r>
      <w:proofErr w:type="gramEnd"/>
      <w:r w:rsidRPr="001F70C4">
        <w:t xml:space="preserve"> cannot distinguish ocular infection from urogenital exposure or perinatal transmission</w:t>
      </w:r>
      <w:r w:rsidR="00E85E48">
        <w:t>.</w:t>
      </w:r>
      <w:r w:rsidRPr="001F70C4">
        <w:fldChar w:fldCharType="begin">
          <w:fldData xml:space="preserve">PEVuZE5vdGU+PENpdGU+PEF1dGhvcj5NYWNsZW9kPC9BdXRob3I+PFllYXI+MjAyMTwvWWVhcj48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=
</w:fldData>
        </w:fldChar>
      </w:r>
      <w:r>
        <w:instrText xml:space="preserve"> ADDIN EN.CITE </w:instrText>
      </w:r>
      <w:r>
        <w:fldChar w:fldCharType="begin">
          <w:fldData xml:space="preserve">PEVuZE5vdGU+PENpdGU+PEF1dGhvcj5NYWNsZW9kPC9BdXRob3I+PFllYXI+MjAyMTwvWWVhcj48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=
</w:fldData>
        </w:fldChar>
      </w:r>
      <w:r>
        <w:instrText xml:space="preserve"> ADDIN EN.CITE.DATA </w:instrText>
      </w:r>
      <w:r>
        <w:fldChar w:fldCharType="end"/>
      </w:r>
      <w:r w:rsidRPr="001F70C4">
        <w:fldChar w:fldCharType="separate"/>
      </w:r>
      <w:r w:rsidRPr="009154C5">
        <w:rPr>
          <w:noProof/>
          <w:vertAlign w:val="superscript"/>
        </w:rPr>
        <w:t>2</w:t>
      </w:r>
      <w:r w:rsidRPr="001F70C4">
        <w:fldChar w:fldCharType="end"/>
      </w:r>
      <w:r w:rsidR="00E85E48">
        <w:t xml:space="preserve"> S</w:t>
      </w:r>
      <w:r w:rsidRPr="001F70C4">
        <w:t xml:space="preserve">eroprevalence estimates for </w:t>
      </w:r>
      <w:r w:rsidR="0041278D">
        <w:t>trachoma</w:t>
      </w:r>
      <w:r w:rsidRPr="001F70C4">
        <w:t xml:space="preserve"> were </w:t>
      </w:r>
      <w:r w:rsidR="0041278D">
        <w:t xml:space="preserve">therefore </w:t>
      </w:r>
      <w:r w:rsidRPr="001F70C4">
        <w:t xml:space="preserve">restricted to </w:t>
      </w:r>
      <w:r w:rsidR="00FA1E45" w:rsidRPr="001F70C4">
        <w:rPr>
          <w:rFonts w:cs="Times New Roman"/>
        </w:rPr>
        <w:t>≤</w:t>
      </w:r>
      <w:r w:rsidRPr="001F70C4">
        <w:t xml:space="preserve">14-year-olds only. For yaws, </w:t>
      </w:r>
      <w:r w:rsidRPr="001F70C4">
        <w:rPr>
          <w:i/>
          <w:iCs/>
        </w:rPr>
        <w:t>Rp17</w:t>
      </w:r>
      <w:r w:rsidRPr="001F70C4">
        <w:t xml:space="preserve"> Ab seropositivity is considered indicative of past infection, whilst </w:t>
      </w:r>
      <w:r w:rsidRPr="001F70C4">
        <w:rPr>
          <w:i/>
          <w:iCs/>
        </w:rPr>
        <w:t>TmpA</w:t>
      </w:r>
      <w:r w:rsidRPr="001F70C4">
        <w:t xml:space="preserve"> Ab are indicative of recent infection. Dual positivity suggests current or very recent yaws, and for the purpose of this </w:t>
      </w:r>
      <w:r w:rsidR="00BD5867">
        <w:t>study</w:t>
      </w:r>
      <w:r w:rsidRPr="001F70C4">
        <w:t xml:space="preserve">, </w:t>
      </w:r>
      <w:r w:rsidR="008E4713">
        <w:t>was</w:t>
      </w:r>
      <w:r w:rsidRPr="001F70C4">
        <w:t xml:space="preserve"> considered the main measure of yaws infection. Similarly, MBAs cannot differentiate yaws infection from syphilis, thus seropositivity estimates for yaws were also limited to </w:t>
      </w:r>
      <w:r w:rsidRPr="001F70C4">
        <w:rPr>
          <w:rFonts w:cs="Times New Roman"/>
        </w:rPr>
        <w:t>≤</w:t>
      </w:r>
      <w:r w:rsidRPr="001F70C4">
        <w:t xml:space="preserve">14-year-olds only. </w:t>
      </w:r>
    </w:p>
    <w:p w14:paraId="11631173" w14:textId="3F7C0B9C" w:rsidR="009154C5" w:rsidRPr="001F70C4" w:rsidRDefault="009154C5" w:rsidP="009154C5">
      <w:pPr>
        <w:spacing w:line="480" w:lineRule="auto"/>
      </w:pPr>
      <w:r w:rsidRPr="001F70C4">
        <w:t xml:space="preserve">For </w:t>
      </w:r>
      <w:r w:rsidRPr="001F70C4">
        <w:rPr>
          <w:i/>
          <w:iCs/>
        </w:rPr>
        <w:t>T</w:t>
      </w:r>
      <w:r w:rsidR="0041278D">
        <w:rPr>
          <w:i/>
          <w:iCs/>
        </w:rPr>
        <w:t>.</w:t>
      </w:r>
      <w:r w:rsidRPr="001F70C4">
        <w:rPr>
          <w:i/>
          <w:iCs/>
        </w:rPr>
        <w:t xml:space="preserve"> solium</w:t>
      </w:r>
      <w:r w:rsidR="001220AB" w:rsidRPr="001220AB">
        <w:t>,</w:t>
      </w:r>
      <w:r w:rsidRPr="001F70C4">
        <w:rPr>
          <w:i/>
          <w:iCs/>
        </w:rPr>
        <w:t xml:space="preserve"> Es33</w:t>
      </w:r>
      <w:r w:rsidR="001220AB">
        <w:rPr>
          <w:i/>
          <w:iCs/>
        </w:rPr>
        <w:t xml:space="preserve"> </w:t>
      </w:r>
      <w:r w:rsidR="001220AB">
        <w:t xml:space="preserve">Ab seropositivity was considered </w:t>
      </w:r>
      <w:r w:rsidR="007926F6">
        <w:t xml:space="preserve">indicative of past or current taeniasis, </w:t>
      </w:r>
      <w:r w:rsidRPr="001F70C4">
        <w:rPr>
          <w:i/>
          <w:iCs/>
        </w:rPr>
        <w:t>T24H</w:t>
      </w:r>
      <w:r w:rsidR="007926F6">
        <w:t xml:space="preserve"> Ab seropositivity of past or current cysticercosis, and </w:t>
      </w:r>
      <w:r w:rsidRPr="001F70C4">
        <w:t>dual</w:t>
      </w:r>
      <w:r w:rsidR="00160CB2">
        <w:t xml:space="preserve"> sero</w:t>
      </w:r>
      <w:r w:rsidRPr="001F70C4">
        <w:t>positivity of past</w:t>
      </w:r>
      <w:r w:rsidR="00160CB2">
        <w:t xml:space="preserve"> or </w:t>
      </w:r>
      <w:r w:rsidRPr="001F70C4">
        <w:t xml:space="preserve">current exposure to both stages. Lastly, </w:t>
      </w:r>
      <w:r w:rsidRPr="001F70C4">
        <w:rPr>
          <w:i/>
          <w:iCs/>
        </w:rPr>
        <w:t>SsIR</w:t>
      </w:r>
      <w:r w:rsidRPr="001F70C4">
        <w:t xml:space="preserve"> Ab seropositivity was considered indicative of </w:t>
      </w:r>
      <w:r w:rsidR="00943F1F" w:rsidRPr="00943F1F">
        <w:t xml:space="preserve">past or current </w:t>
      </w:r>
      <w:r w:rsidR="00943F1F" w:rsidRPr="00943F1F">
        <w:rPr>
          <w:i/>
          <w:iCs/>
        </w:rPr>
        <w:t>S. stercoralis</w:t>
      </w:r>
      <w:r w:rsidR="00943F1F" w:rsidRPr="00943F1F">
        <w:t xml:space="preserve"> infection/exposure, with high </w:t>
      </w:r>
      <w:r w:rsidR="00943F1F">
        <w:t>Ab</w:t>
      </w:r>
      <w:r w:rsidR="00943F1F" w:rsidRPr="00943F1F">
        <w:t xml:space="preserve"> responses potentially indicative of current chronic infection</w:t>
      </w:r>
      <w:r w:rsidRPr="001F70C4">
        <w:t>.</w:t>
      </w:r>
    </w:p>
    <w:p w14:paraId="20A11D01" w14:textId="06FF59E3" w:rsidR="009154C5" w:rsidRPr="001F70C4" w:rsidRDefault="009154C5" w:rsidP="009154C5">
      <w:pPr>
        <w:spacing w:line="480" w:lineRule="auto"/>
      </w:pPr>
      <w:r w:rsidRPr="001F70C4">
        <w:lastRenderedPageBreak/>
        <w:t xml:space="preserve">For the arboviruses, seropositivity to </w:t>
      </w:r>
      <w:r w:rsidRPr="001F70C4">
        <w:rPr>
          <w:i/>
          <w:iCs/>
        </w:rPr>
        <w:t>N</w:t>
      </w:r>
      <w:r w:rsidR="00987155">
        <w:rPr>
          <w:i/>
          <w:iCs/>
        </w:rPr>
        <w:t>S</w:t>
      </w:r>
      <w:r w:rsidRPr="001F70C4">
        <w:rPr>
          <w:i/>
          <w:iCs/>
        </w:rPr>
        <w:t xml:space="preserve">1-1 </w:t>
      </w:r>
      <w:r w:rsidRPr="001F70C4">
        <w:t>Ab, </w:t>
      </w:r>
      <w:r w:rsidR="00987155">
        <w:rPr>
          <w:i/>
          <w:iCs/>
        </w:rPr>
        <w:t>NS</w:t>
      </w:r>
      <w:r w:rsidRPr="001F70C4">
        <w:rPr>
          <w:i/>
          <w:iCs/>
        </w:rPr>
        <w:t>1-2</w:t>
      </w:r>
      <w:r w:rsidRPr="001F70C4">
        <w:t xml:space="preserve"> Ab, </w:t>
      </w:r>
      <w:r w:rsidRPr="001F70C4">
        <w:rPr>
          <w:i/>
          <w:iCs/>
        </w:rPr>
        <w:t>N</w:t>
      </w:r>
      <w:r w:rsidR="00987155">
        <w:rPr>
          <w:i/>
          <w:iCs/>
        </w:rPr>
        <w:t>S</w:t>
      </w:r>
      <w:r w:rsidRPr="001F70C4">
        <w:rPr>
          <w:i/>
          <w:iCs/>
        </w:rPr>
        <w:t>1-3</w:t>
      </w:r>
      <w:r w:rsidRPr="001F70C4">
        <w:t xml:space="preserve"> Ab, </w:t>
      </w:r>
      <w:r w:rsidRPr="001F70C4">
        <w:rPr>
          <w:i/>
          <w:iCs/>
        </w:rPr>
        <w:t>N</w:t>
      </w:r>
      <w:r w:rsidR="00987155">
        <w:rPr>
          <w:i/>
          <w:iCs/>
        </w:rPr>
        <w:t>S</w:t>
      </w:r>
      <w:r w:rsidRPr="001F70C4">
        <w:rPr>
          <w:i/>
          <w:iCs/>
        </w:rPr>
        <w:t>1-4</w:t>
      </w:r>
      <w:r w:rsidRPr="001F70C4">
        <w:t xml:space="preserve"> Ab, </w:t>
      </w:r>
      <w:r w:rsidRPr="001F70C4">
        <w:rPr>
          <w:i/>
          <w:iCs/>
        </w:rPr>
        <w:t>Chik E1</w:t>
      </w:r>
      <w:r w:rsidRPr="001F70C4">
        <w:t xml:space="preserve"> Ab, and </w:t>
      </w:r>
      <w:r w:rsidRPr="001F70C4">
        <w:rPr>
          <w:i/>
          <w:iCs/>
        </w:rPr>
        <w:t>Zika NS1</w:t>
      </w:r>
      <w:r w:rsidRPr="001F70C4">
        <w:t xml:space="preserve"> Ab</w:t>
      </w:r>
      <w:r w:rsidRPr="001F70C4">
        <w:rPr>
          <w:i/>
          <w:iCs/>
        </w:rPr>
        <w:t xml:space="preserve"> </w:t>
      </w:r>
      <w:r w:rsidRPr="001F70C4">
        <w:t>was considered indicative of</w:t>
      </w:r>
      <w:r w:rsidR="00720182">
        <w:t xml:space="preserve"> past or current</w:t>
      </w:r>
      <w:r w:rsidRPr="001F70C4">
        <w:t xml:space="preserve"> </w:t>
      </w:r>
      <w:r w:rsidR="00735E0A" w:rsidRPr="00735E0A">
        <w:t>infection/exposure to DENV, chikungunya virus, and Zika virus, respectively. Dengue serotype-specific and Zika Ab responses should be interpreted cautiously because of potential flavivirus cross-reactivity.</w:t>
      </w:r>
      <w:r w:rsidRPr="001F70C4">
        <w:t xml:space="preserve"> </w:t>
      </w:r>
    </w:p>
    <w:p w14:paraId="5FE279FE" w14:textId="5BE8E6AE" w:rsidR="009154C5" w:rsidRPr="001F70C4" w:rsidRDefault="009154C5" w:rsidP="009154C5">
      <w:pPr>
        <w:spacing w:before="120" w:after="0" w:line="480" w:lineRule="auto"/>
        <w:rPr>
          <w:rFonts w:cs="Times New Roman"/>
          <w:bCs/>
        </w:rPr>
      </w:pPr>
      <w:r w:rsidRPr="001F70C4">
        <w:rPr>
          <w:rFonts w:cs="Times New Roman"/>
          <w:bCs/>
        </w:rPr>
        <w:t xml:space="preserve">For diphtheria, tetanus, pertussis, measles, and rubella, seropositivity was defined using </w:t>
      </w:r>
      <w:r w:rsidR="00BD01BE">
        <w:rPr>
          <w:rFonts w:cs="Times New Roman"/>
          <w:bCs/>
        </w:rPr>
        <w:t>international standards. For pertussis, seropositivity was defined using assay-specific thresholds. D</w:t>
      </w:r>
      <w:r w:rsidRPr="001F70C4">
        <w:rPr>
          <w:rFonts w:cs="Times New Roman"/>
          <w:bCs/>
        </w:rPr>
        <w:t>etectable immune responses</w:t>
      </w:r>
      <w:r w:rsidR="00BD01BE">
        <w:rPr>
          <w:rFonts w:cs="Times New Roman"/>
          <w:bCs/>
        </w:rPr>
        <w:t xml:space="preserve"> were considered</w:t>
      </w:r>
      <w:r w:rsidRPr="001F70C4">
        <w:rPr>
          <w:rFonts w:cs="Times New Roman"/>
          <w:bCs/>
        </w:rPr>
        <w:t xml:space="preserve"> consistent with prior vaccination or infection, noting that this may not be sufficient for full protection against infection or disease.</w:t>
      </w:r>
      <w:r w:rsidRPr="001F70C4">
        <w:rPr>
          <w:rFonts w:cs="Times New Roman"/>
          <w:bCs/>
        </w:rPr>
        <w:fldChar w:fldCharType="begin"/>
      </w:r>
      <w:r>
        <w:rPr>
          <w:rFonts w:cs="Times New Roman"/>
          <w:bCs/>
        </w:rPr>
        <w:instrText xml:space="preserve"> ADDIN EN.CITE &lt;EndNote&gt;&lt;Cite&gt;&lt;Author&gt;Van Damme&lt;/Author&gt;&lt;Year&gt;2004&lt;/Year&gt;&lt;RecNum&gt;8652&lt;/RecNum&gt;&lt;DisplayText&gt;&lt;style face="superscript"&gt;3&lt;/style&gt;&lt;/DisplayText&gt;&lt;record&gt;&lt;rec-number&gt;8652&lt;/rec-number&gt;&lt;foreign-keys&gt;&lt;key app="EN" db-id="p0srs5ws12eer6e52t9xvxrvs0aapt9a9er0" timestamp="1756185758"&gt;8652&lt;/key&gt;&lt;/foreign-keys&gt;&lt;ref-type name="Journal Article"&gt;17&lt;/ref-type&gt;&lt;contributors&gt;&lt;authors&gt;&lt;author&gt;Van Damme, Pierre&lt;/author&gt;&lt;author&gt;Burgess, Margaret&lt;/author&gt;&lt;/authors&gt;&lt;/contributors&gt;&lt;titles&gt;&lt;title&gt;Immunogenicity of a combined diphtheria–tetanus–acellular pertussis vaccine in adults&lt;/title&gt;&lt;secondary-title&gt;Vaccine&lt;/secondary-title&gt;&lt;/titles&gt;&lt;periodical&gt;&lt;full-title&gt;Vaccine&lt;/full-title&gt;&lt;/periodical&gt;&lt;pages&gt;305-308&lt;/pages&gt;&lt;volume&gt;22&lt;/volume&gt;&lt;number&gt;3-4&lt;/number&gt;&lt;dates&gt;&lt;year&gt;2004&lt;/year&gt;&lt;/dates&gt;&lt;isbn&gt;0264-410X&lt;/isbn&gt;&lt;urls&gt;&lt;/urls&gt;&lt;/record&gt;&lt;/Cite&gt;&lt;/EndNote&gt;</w:instrText>
      </w:r>
      <w:r w:rsidRPr="001F70C4">
        <w:rPr>
          <w:rFonts w:cs="Times New Roman"/>
          <w:bCs/>
        </w:rPr>
        <w:fldChar w:fldCharType="separate"/>
      </w:r>
      <w:r w:rsidRPr="009154C5">
        <w:rPr>
          <w:rFonts w:cs="Times New Roman"/>
          <w:bCs/>
          <w:noProof/>
          <w:vertAlign w:val="superscript"/>
        </w:rPr>
        <w:t>3</w:t>
      </w:r>
      <w:r w:rsidRPr="001F70C4">
        <w:rPr>
          <w:rFonts w:cs="Times New Roman"/>
          <w:bCs/>
        </w:rPr>
        <w:fldChar w:fldCharType="end"/>
      </w:r>
      <w:r w:rsidRPr="001F70C4">
        <w:rPr>
          <w:rFonts w:cs="Times New Roman"/>
          <w:bCs/>
        </w:rPr>
        <w:t xml:space="preserve"> These thresholds were distinguished from established correlates of protection associated with individual-level immunity, and from population-level herd immunity thresholds used to guide vaccination targets and elimination programs. </w:t>
      </w:r>
      <w:r w:rsidR="00604B8F" w:rsidRPr="00604B8F">
        <w:rPr>
          <w:rFonts w:cs="Times New Roman"/>
          <w:bCs/>
        </w:rPr>
        <w:t>Minimum (≥0.01 IU/mL) and maximum (≥0.1 IU/mL) protection thresholds were calculated for diphtheria and tetanus.</w:t>
      </w:r>
    </w:p>
    <w:p w14:paraId="0E6EDBD2" w14:textId="10E69008" w:rsidR="009154C5" w:rsidRPr="001F70C4" w:rsidRDefault="009154C5" w:rsidP="009154C5">
      <w:pPr>
        <w:spacing w:before="120" w:after="0" w:line="480" w:lineRule="auto"/>
        <w:rPr>
          <w:rFonts w:cs="Times New Roman"/>
        </w:rPr>
      </w:pPr>
      <w:r w:rsidRPr="001F70C4">
        <w:rPr>
          <w:rFonts w:cs="Times New Roman"/>
        </w:rPr>
        <w:t>For SARS</w:t>
      </w:r>
      <w:r w:rsidR="009C04DE">
        <w:rPr>
          <w:rFonts w:cs="Times New Roman"/>
        </w:rPr>
        <w:t>-</w:t>
      </w:r>
      <w:r w:rsidRPr="001F70C4">
        <w:rPr>
          <w:rFonts w:cs="Times New Roman"/>
        </w:rPr>
        <w:t xml:space="preserve">CoV-2, Ab to nucleocapsid were interpreted as markers of prior infection, while antibodies to spike and receptor-binding domain (RBD) may arise from either vaccination or infection. COVID-19 vaccines used in </w:t>
      </w:r>
      <w:r>
        <w:rPr>
          <w:rFonts w:cs="Times New Roman"/>
        </w:rPr>
        <w:t>Niue</w:t>
      </w:r>
      <w:r w:rsidRPr="001F70C4">
        <w:rPr>
          <w:rFonts w:cs="Times New Roman"/>
        </w:rPr>
        <w:t xml:space="preserve"> during the study period were primarily spike-based; therefore nucleocapsid (</w:t>
      </w:r>
      <w:r w:rsidRPr="001F70C4">
        <w:rPr>
          <w:rFonts w:cs="Times New Roman"/>
          <w:i/>
          <w:iCs/>
        </w:rPr>
        <w:t>N</w:t>
      </w:r>
      <w:r w:rsidRPr="001F70C4">
        <w:rPr>
          <w:rFonts w:cs="Times New Roman"/>
        </w:rPr>
        <w:t>) seropositivity is likely to reflect natural infection.</w:t>
      </w:r>
    </w:p>
    <w:p w14:paraId="4DF3B2E6" w14:textId="1B0FF64A" w:rsidR="009154C5" w:rsidRPr="001F70C4" w:rsidRDefault="009154C5" w:rsidP="009154C5">
      <w:pPr>
        <w:spacing w:before="120" w:after="0" w:line="480" w:lineRule="auto"/>
      </w:pPr>
      <w:r w:rsidRPr="001F70C4">
        <w:rPr>
          <w:rFonts w:cs="Times New Roman"/>
          <w:bCs/>
        </w:rPr>
        <w:t xml:space="preserve">Lastly, for enteric protozoa, </w:t>
      </w:r>
      <w:r w:rsidRPr="001F70C4">
        <w:rPr>
          <w:i/>
          <w:iCs/>
        </w:rPr>
        <w:t>Cp17</w:t>
      </w:r>
      <w:r w:rsidRPr="001F70C4">
        <w:t xml:space="preserve"> Ab seropositivity </w:t>
      </w:r>
      <w:r w:rsidR="006A01D9">
        <w:t>w</w:t>
      </w:r>
      <w:r w:rsidR="006A01D9" w:rsidRPr="006A01D9">
        <w:t xml:space="preserve">as considered indicative of recent </w:t>
      </w:r>
      <w:r w:rsidR="006A01D9" w:rsidRPr="006A01D9">
        <w:rPr>
          <w:i/>
          <w:iCs/>
        </w:rPr>
        <w:t>Cryptosporidium</w:t>
      </w:r>
      <w:r w:rsidR="006A01D9" w:rsidRPr="006A01D9">
        <w:t xml:space="preserve"> infection/exposure, while </w:t>
      </w:r>
      <w:r w:rsidR="006A01D9" w:rsidRPr="006A01D9">
        <w:rPr>
          <w:i/>
          <w:iCs/>
        </w:rPr>
        <w:t>Cp23</w:t>
      </w:r>
      <w:r w:rsidR="006A01D9" w:rsidRPr="006A01D9">
        <w:t xml:space="preserve"> Ab seropositivity was considered indicative of previous or established infection/exposure. Dual seropositivity was considered consistent with recent exposure in the presence of an established Ab response. Seropositivity to either </w:t>
      </w:r>
      <w:r w:rsidR="006A01D9" w:rsidRPr="006A01D9">
        <w:rPr>
          <w:i/>
          <w:iCs/>
        </w:rPr>
        <w:t>Vsp3</w:t>
      </w:r>
      <w:r w:rsidR="006A01D9" w:rsidRPr="006A01D9">
        <w:t xml:space="preserve"> or </w:t>
      </w:r>
      <w:r w:rsidR="006A01D9" w:rsidRPr="006A01D9">
        <w:rPr>
          <w:i/>
          <w:iCs/>
        </w:rPr>
        <w:t>Vsp5</w:t>
      </w:r>
      <w:r w:rsidR="006A01D9" w:rsidRPr="006A01D9">
        <w:t xml:space="preserve"> was considered indicative of past or current </w:t>
      </w:r>
      <w:r w:rsidR="006A01D9" w:rsidRPr="006A01D9">
        <w:rPr>
          <w:i/>
          <w:iCs/>
        </w:rPr>
        <w:t>Giardia</w:t>
      </w:r>
      <w:r w:rsidR="006A01D9" w:rsidRPr="006A01D9">
        <w:t xml:space="preserve"> infection/exposure</w:t>
      </w:r>
      <w:r w:rsidRPr="001F70C4">
        <w:t>.</w:t>
      </w:r>
      <w:r w:rsidRPr="001F70C4">
        <w:br w:type="page"/>
      </w:r>
    </w:p>
    <w:p w14:paraId="1922F075" w14:textId="77777777" w:rsidR="009154C5" w:rsidRPr="001F70C4" w:rsidRDefault="009154C5" w:rsidP="009154C5">
      <w:pPr>
        <w:spacing w:before="120" w:after="0" w:line="480" w:lineRule="auto"/>
        <w:rPr>
          <w:b/>
          <w:bCs/>
          <w:i/>
          <w:iCs/>
        </w:rPr>
        <w:sectPr w:rsidR="009154C5" w:rsidRPr="001F70C4" w:rsidSect="009154C5">
          <w:footerReference w:type="default" r:id="rId6"/>
          <w:pgSz w:w="12240" w:h="15840"/>
          <w:pgMar w:top="1440" w:right="1440" w:bottom="1440" w:left="1440" w:header="720" w:footer="720" w:gutter="0"/>
          <w:lnNumType w:countBy="1" w:restart="continuous"/>
          <w:cols w:space="720"/>
          <w:docGrid w:linePitch="360"/>
        </w:sectPr>
      </w:pPr>
    </w:p>
    <w:p w14:paraId="6C6F763E" w14:textId="3CAD50D7" w:rsidR="009154C5" w:rsidRPr="001F70C4" w:rsidRDefault="009154C5" w:rsidP="009154C5">
      <w:pPr>
        <w:spacing w:before="120" w:after="0" w:line="240" w:lineRule="auto"/>
        <w:rPr>
          <w:i/>
          <w:iCs/>
        </w:rPr>
      </w:pPr>
      <w:r w:rsidRPr="001F70C4">
        <w:rPr>
          <w:b/>
          <w:bCs/>
          <w:i/>
          <w:iCs/>
        </w:rPr>
        <w:lastRenderedPageBreak/>
        <w:t xml:space="preserve">Table 1: Definition and Interpretation of Pathogen-Specific Antibody Markers. </w:t>
      </w:r>
      <w:r w:rsidRPr="001F70C4">
        <w:rPr>
          <w:i/>
          <w:iCs/>
        </w:rPr>
        <w:t xml:space="preserve">Adapted from </w:t>
      </w:r>
      <w:proofErr w:type="spellStart"/>
      <w:r w:rsidRPr="001F70C4">
        <w:rPr>
          <w:i/>
          <w:iCs/>
        </w:rPr>
        <w:t>Carcelen</w:t>
      </w:r>
      <w:proofErr w:type="spellEnd"/>
      <w:r w:rsidRPr="001F70C4">
        <w:rPr>
          <w:i/>
          <w:iCs/>
        </w:rPr>
        <w:t xml:space="preserve"> </w:t>
      </w:r>
      <w:r w:rsidRPr="001F70C4">
        <w:t xml:space="preserve">et al. </w:t>
      </w:r>
      <w:r w:rsidRPr="001F70C4">
        <w:rPr>
          <w:i/>
          <w:iCs/>
        </w:rPr>
        <w:t>(2025)</w:t>
      </w:r>
      <w:r w:rsidRPr="001F70C4">
        <w:rPr>
          <w:i/>
          <w:iCs/>
        </w:rPr>
        <w:fldChar w:fldCharType="begin"/>
      </w:r>
      <w:r w:rsidR="006A01D9">
        <w:rPr>
          <w:i/>
          <w:iCs/>
        </w:rPr>
        <w:instrText xml:space="preserve"> ADDIN EN.CITE &lt;EndNote&gt;&lt;Cite&gt;&lt;Author&gt;Carcelen&lt;/Author&gt;&lt;Year&gt;2025&lt;/Year&gt;&lt;RecNum&gt;37&lt;/RecNum&gt;&lt;DisplayText&gt;&lt;style face="superscript"&gt;4&lt;/style&gt;&lt;/DisplayText&gt;&lt;record&gt;&lt;rec-number&gt;37&lt;/rec-number&gt;&lt;foreign-keys&gt;&lt;key app="EN" db-id="z5frfed242xt90etrfjxwf5awz2pffassad0" timestamp="1765422128"&gt;37&lt;/key&gt;&lt;/foreign-keys&gt;&lt;ref-type name="Journal Article"&gt;17&lt;/ref-type&gt;&lt;contributors&gt;&lt;authors&gt;&lt;author&gt;Carcelen, Andrea C.&lt;/author&gt;&lt;author&gt;Monjane, Celso&lt;/author&gt;&lt;author&gt;Bérubé, Sophie&lt;/author&gt;&lt;author&gt;Takahashi, Saki&lt;/author&gt;&lt;author&gt;Sultane, Thebora&lt;/author&gt;&lt;author&gt;Chelene, Imelda&lt;/author&gt;&lt;author&gt;Cooley, Gretchen&lt;/author&gt;&lt;author&gt;Goodhew, E. Brook&lt;/author&gt;&lt;author&gt;Patterson, Catriona&lt;/author&gt;&lt;author&gt;Tetteh, Kevin&lt;/author&gt;&lt;author&gt;Mutambe, Manuel&lt;/author&gt;&lt;author&gt;Higdon, Melissa M.&lt;/author&gt;&lt;author&gt;Mwinnyaa, George&lt;/author&gt;&lt;author&gt;Nhapure, Gilberto&lt;/author&gt;&lt;author&gt;Duce, Pedro&lt;/author&gt;&lt;author&gt;Martin, Diana L.&lt;/author&gt;&lt;author&gt;Drakeley, Christopher&lt;/author&gt;&lt;author&gt;Moss, William J.&lt;/author&gt;&lt;author&gt;Macicame, Ivalda&lt;/author&gt;&lt;/authors&gt;&lt;/contributors&gt;&lt;titles&gt;&lt;title&gt;Multiplex bead assays enable integrated serological surveillance and reveal cross-pathogen vulnerabilities in Zambezia Province, Mozambique&lt;/title&gt;&lt;secondary-title&gt;Nature Communications&lt;/secondary-title&gt;&lt;/titles&gt;&lt;periodical&gt;&lt;full-title&gt;Nature communications&lt;/full-title&gt;&lt;/periodical&gt;&lt;pages&gt;7946&lt;/pages&gt;&lt;volume&gt;16&lt;/volume&gt;&lt;number&gt;1&lt;/number&gt;&lt;dates&gt;&lt;year&gt;2025&lt;/year&gt;&lt;pub-dates&gt;&lt;date&gt;2025/08/26&lt;/date&gt;&lt;/pub-dates&gt;&lt;/dates&gt;&lt;isbn&gt;2041-1723&lt;/isbn&gt;&lt;urls&gt;&lt;related-urls&gt;&lt;url&gt;https://doi.org/10.1038/s41467-025-62305-9&lt;/url&gt;&lt;/related-urls&gt;&lt;/urls&gt;&lt;electronic-resource-num&gt;10.1038/s41467-025-62305-9&lt;/electronic-resource-num&gt;&lt;/record&gt;&lt;/Cite&gt;&lt;/EndNote&gt;</w:instrText>
      </w:r>
      <w:r w:rsidRPr="001F70C4">
        <w:rPr>
          <w:i/>
          <w:iCs/>
        </w:rPr>
        <w:fldChar w:fldCharType="separate"/>
      </w:r>
      <w:r w:rsidR="006A01D9" w:rsidRPr="006A01D9">
        <w:rPr>
          <w:i/>
          <w:iCs/>
          <w:noProof/>
          <w:vertAlign w:val="superscript"/>
        </w:rPr>
        <w:t>4</w:t>
      </w:r>
      <w:r w:rsidRPr="001F70C4">
        <w:rPr>
          <w:i/>
          <w:iCs/>
        </w:rPr>
        <w:fldChar w:fldCharType="end"/>
      </w:r>
      <w:r w:rsidRPr="001F70C4">
        <w:rPr>
          <w:i/>
          <w:iCs/>
        </w:rPr>
        <w:t xml:space="preserve"> with permission from the publisher.</w:t>
      </w:r>
    </w:p>
    <w:tbl>
      <w:tblPr>
        <w:tblW w:w="1290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6"/>
        <w:gridCol w:w="1538"/>
        <w:gridCol w:w="1197"/>
        <w:gridCol w:w="2630"/>
        <w:gridCol w:w="1418"/>
        <w:gridCol w:w="1559"/>
        <w:gridCol w:w="1134"/>
        <w:gridCol w:w="1417"/>
        <w:gridCol w:w="851"/>
      </w:tblGrid>
      <w:tr w:rsidR="009154C5" w:rsidRPr="001F70C4" w14:paraId="3A01ADA1" w14:textId="77777777" w:rsidTr="00C05EDC">
        <w:trPr>
          <w:trHeight w:val="20"/>
        </w:trPr>
        <w:tc>
          <w:tcPr>
            <w:tcW w:w="1156" w:type="dxa"/>
            <w:tcMar>
              <w:left w:w="57" w:type="dxa"/>
              <w:right w:w="57" w:type="dxa"/>
            </w:tcMar>
            <w:vAlign w:val="center"/>
          </w:tcPr>
          <w:p w14:paraId="0B181C24" w14:textId="77777777" w:rsidR="009154C5" w:rsidRPr="001F70C4" w:rsidRDefault="009154C5" w:rsidP="00FE4CFD">
            <w:pPr>
              <w:spacing w:after="0" w:line="240" w:lineRule="auto"/>
              <w:jc w:val="center"/>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Disease grouping</w:t>
            </w:r>
          </w:p>
        </w:tc>
        <w:tc>
          <w:tcPr>
            <w:tcW w:w="1538" w:type="dxa"/>
            <w:tcMar>
              <w:left w:w="57" w:type="dxa"/>
              <w:right w:w="57" w:type="dxa"/>
            </w:tcMar>
            <w:vAlign w:val="center"/>
            <w:hideMark/>
          </w:tcPr>
          <w:p w14:paraId="36FC4F0B" w14:textId="77777777" w:rsidR="009154C5" w:rsidRPr="001F70C4" w:rsidRDefault="009154C5" w:rsidP="00FE4CFD">
            <w:pPr>
              <w:spacing w:after="0" w:line="240" w:lineRule="auto"/>
              <w:jc w:val="center"/>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Pathogen</w:t>
            </w:r>
          </w:p>
        </w:tc>
        <w:tc>
          <w:tcPr>
            <w:tcW w:w="1197" w:type="dxa"/>
            <w:tcMar>
              <w:left w:w="57" w:type="dxa"/>
              <w:right w:w="57" w:type="dxa"/>
            </w:tcMar>
            <w:vAlign w:val="center"/>
            <w:hideMark/>
          </w:tcPr>
          <w:p w14:paraId="08713B28" w14:textId="77777777" w:rsidR="009154C5" w:rsidRPr="001F70C4" w:rsidRDefault="009154C5" w:rsidP="00FE4CFD">
            <w:pPr>
              <w:spacing w:after="0" w:line="240" w:lineRule="auto"/>
              <w:jc w:val="center"/>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Antigen abbreviation</w:t>
            </w:r>
          </w:p>
        </w:tc>
        <w:tc>
          <w:tcPr>
            <w:tcW w:w="2630" w:type="dxa"/>
            <w:tcMar>
              <w:left w:w="57" w:type="dxa"/>
              <w:right w:w="57" w:type="dxa"/>
            </w:tcMar>
            <w:vAlign w:val="center"/>
            <w:hideMark/>
          </w:tcPr>
          <w:p w14:paraId="7AF71F0E" w14:textId="77777777" w:rsidR="009154C5" w:rsidRPr="001F70C4" w:rsidRDefault="009154C5" w:rsidP="00FE4CFD">
            <w:pPr>
              <w:spacing w:after="0" w:line="240" w:lineRule="auto"/>
              <w:jc w:val="center"/>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Interpretation</w:t>
            </w:r>
          </w:p>
        </w:tc>
        <w:tc>
          <w:tcPr>
            <w:tcW w:w="1418" w:type="dxa"/>
            <w:tcMar>
              <w:left w:w="57" w:type="dxa"/>
              <w:right w:w="57" w:type="dxa"/>
            </w:tcMar>
            <w:vAlign w:val="center"/>
          </w:tcPr>
          <w:p w14:paraId="756F5EC2" w14:textId="1553F6DE" w:rsidR="009154C5" w:rsidRPr="001F70C4" w:rsidRDefault="009154C5" w:rsidP="00FE4CFD">
            <w:pPr>
              <w:spacing w:after="0" w:line="240" w:lineRule="auto"/>
              <w:jc w:val="center"/>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 xml:space="preserve">Median </w:t>
            </w:r>
            <w:r w:rsidR="009E68F6">
              <w:rPr>
                <w:rFonts w:eastAsia="Times New Roman" w:cs="Times New Roman"/>
                <w:b/>
                <w:bCs/>
                <w:color w:val="000000"/>
                <w:sz w:val="18"/>
                <w:szCs w:val="18"/>
                <w:lang w:eastAsia="en-AU"/>
              </w:rPr>
              <w:t>f</w:t>
            </w:r>
            <w:r w:rsidRPr="001F70C4">
              <w:rPr>
                <w:rFonts w:eastAsia="Times New Roman" w:cs="Times New Roman"/>
                <w:b/>
                <w:bCs/>
                <w:color w:val="000000"/>
                <w:sz w:val="18"/>
                <w:szCs w:val="18"/>
                <w:lang w:eastAsia="en-AU"/>
              </w:rPr>
              <w:t xml:space="preserve">luorescence </w:t>
            </w:r>
            <w:r w:rsidR="009E68F6">
              <w:rPr>
                <w:rFonts w:eastAsia="Times New Roman" w:cs="Times New Roman"/>
                <w:b/>
                <w:bCs/>
                <w:color w:val="000000"/>
                <w:sz w:val="18"/>
                <w:szCs w:val="18"/>
                <w:lang w:eastAsia="en-AU"/>
              </w:rPr>
              <w:t>i</w:t>
            </w:r>
            <w:r w:rsidRPr="001F70C4">
              <w:rPr>
                <w:rFonts w:eastAsia="Times New Roman" w:cs="Times New Roman"/>
                <w:b/>
                <w:bCs/>
                <w:color w:val="000000"/>
                <w:sz w:val="18"/>
                <w:szCs w:val="18"/>
                <w:lang w:eastAsia="en-AU"/>
              </w:rPr>
              <w:t>ntensity cut-off</w:t>
            </w:r>
          </w:p>
        </w:tc>
        <w:tc>
          <w:tcPr>
            <w:tcW w:w="1559" w:type="dxa"/>
            <w:tcMar>
              <w:left w:w="57" w:type="dxa"/>
              <w:right w:w="57" w:type="dxa"/>
            </w:tcMar>
            <w:vAlign w:val="center"/>
          </w:tcPr>
          <w:p w14:paraId="4C933049" w14:textId="77777777" w:rsidR="009154C5" w:rsidRPr="001F70C4" w:rsidRDefault="009154C5" w:rsidP="00FE4CFD">
            <w:pPr>
              <w:spacing w:after="0" w:line="240" w:lineRule="auto"/>
              <w:jc w:val="center"/>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Cut-off determination</w:t>
            </w:r>
          </w:p>
        </w:tc>
        <w:tc>
          <w:tcPr>
            <w:tcW w:w="1134" w:type="dxa"/>
            <w:tcMar>
              <w:left w:w="57" w:type="dxa"/>
              <w:right w:w="57" w:type="dxa"/>
            </w:tcMar>
            <w:vAlign w:val="center"/>
          </w:tcPr>
          <w:p w14:paraId="45B04B71" w14:textId="77777777" w:rsidR="009154C5" w:rsidRPr="001F70C4" w:rsidRDefault="009154C5" w:rsidP="00FE4CFD">
            <w:pPr>
              <w:spacing w:after="0" w:line="240" w:lineRule="auto"/>
              <w:jc w:val="center"/>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Source of Antigen</w:t>
            </w:r>
          </w:p>
        </w:tc>
        <w:tc>
          <w:tcPr>
            <w:tcW w:w="1417" w:type="dxa"/>
            <w:tcMar>
              <w:left w:w="57" w:type="dxa"/>
              <w:right w:w="57" w:type="dxa"/>
            </w:tcMar>
            <w:vAlign w:val="center"/>
          </w:tcPr>
          <w:p w14:paraId="174B0F9C" w14:textId="77171C27" w:rsidR="009154C5" w:rsidRPr="001F70C4" w:rsidRDefault="009154C5" w:rsidP="00FE4CFD">
            <w:pPr>
              <w:spacing w:after="0" w:line="240" w:lineRule="auto"/>
              <w:jc w:val="center"/>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Coupling concentration (</w:t>
            </w:r>
            <w:r w:rsidR="00A051A8">
              <w:rPr>
                <w:rFonts w:eastAsia="Times New Roman" w:cs="Times New Roman"/>
                <w:b/>
                <w:bCs/>
                <w:color w:val="000000"/>
                <w:sz w:val="18"/>
                <w:szCs w:val="18"/>
                <w:lang w:eastAsia="en-AU"/>
              </w:rPr>
              <w:t>µ</w:t>
            </w:r>
            <w:r w:rsidRPr="001F70C4">
              <w:rPr>
                <w:rFonts w:eastAsia="Times New Roman" w:cs="Times New Roman"/>
                <w:b/>
                <w:bCs/>
                <w:color w:val="000000"/>
                <w:sz w:val="18"/>
                <w:szCs w:val="18"/>
                <w:lang w:eastAsia="en-AU"/>
              </w:rPr>
              <w:t>g</w:t>
            </w:r>
            <w:r w:rsidR="00A051A8">
              <w:rPr>
                <w:rFonts w:eastAsia="Times New Roman" w:cs="Times New Roman"/>
                <w:b/>
                <w:bCs/>
                <w:color w:val="000000"/>
                <w:sz w:val="18"/>
                <w:szCs w:val="18"/>
                <w:lang w:eastAsia="en-AU"/>
              </w:rPr>
              <w:t xml:space="preserve"> </w:t>
            </w:r>
            <w:r w:rsidRPr="001F70C4">
              <w:rPr>
                <w:rFonts w:eastAsia="Times New Roman" w:cs="Times New Roman"/>
                <w:b/>
                <w:bCs/>
                <w:color w:val="000000"/>
                <w:sz w:val="18"/>
                <w:szCs w:val="18"/>
                <w:lang w:eastAsia="en-AU"/>
              </w:rPr>
              <w:t>Ag/1.25</w:t>
            </w:r>
            <w:r w:rsidR="00C05EDC" w:rsidRPr="00C05EDC">
              <w:t xml:space="preserve"> </w:t>
            </w:r>
            <w:r w:rsidR="00C05EDC" w:rsidRPr="00C05EDC">
              <w:rPr>
                <w:rFonts w:eastAsia="Times New Roman" w:cs="Times New Roman"/>
                <w:b/>
                <w:bCs/>
                <w:color w:val="000000"/>
                <w:sz w:val="18"/>
                <w:szCs w:val="18"/>
                <w:lang w:eastAsia="en-AU"/>
              </w:rPr>
              <w:t xml:space="preserve">× 10⁷ </w:t>
            </w:r>
            <w:r w:rsidRPr="001F70C4">
              <w:rPr>
                <w:rFonts w:eastAsia="Times New Roman" w:cs="Times New Roman"/>
                <w:b/>
                <w:bCs/>
                <w:color w:val="000000"/>
                <w:sz w:val="18"/>
                <w:szCs w:val="18"/>
                <w:lang w:eastAsia="en-AU"/>
              </w:rPr>
              <w:t>beads)</w:t>
            </w:r>
          </w:p>
        </w:tc>
        <w:tc>
          <w:tcPr>
            <w:tcW w:w="851" w:type="dxa"/>
            <w:tcMar>
              <w:left w:w="57" w:type="dxa"/>
              <w:right w:w="57" w:type="dxa"/>
            </w:tcMar>
            <w:vAlign w:val="center"/>
          </w:tcPr>
          <w:p w14:paraId="35A29A2E" w14:textId="77777777" w:rsidR="009154C5" w:rsidRPr="001F70C4" w:rsidRDefault="009154C5" w:rsidP="00FE4CFD">
            <w:pPr>
              <w:spacing w:after="0" w:line="240" w:lineRule="auto"/>
              <w:jc w:val="center"/>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Coupling pH</w:t>
            </w:r>
          </w:p>
        </w:tc>
      </w:tr>
      <w:tr w:rsidR="009154C5" w:rsidRPr="001F70C4" w14:paraId="7DEF5646" w14:textId="77777777" w:rsidTr="00C05EDC">
        <w:trPr>
          <w:trHeight w:val="20"/>
        </w:trPr>
        <w:tc>
          <w:tcPr>
            <w:tcW w:w="1156" w:type="dxa"/>
            <w:vMerge w:val="restart"/>
            <w:tcMar>
              <w:left w:w="57" w:type="dxa"/>
              <w:right w:w="57" w:type="dxa"/>
            </w:tcMar>
            <w:vAlign w:val="center"/>
          </w:tcPr>
          <w:p w14:paraId="6D6EC7F0" w14:textId="77777777" w:rsidR="009154C5" w:rsidRPr="001F70C4" w:rsidRDefault="009154C5" w:rsidP="00FE4CFD">
            <w:pPr>
              <w:spacing w:after="0" w:line="240" w:lineRule="auto"/>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Neglected tropical diseases</w:t>
            </w:r>
          </w:p>
        </w:tc>
        <w:tc>
          <w:tcPr>
            <w:tcW w:w="1538" w:type="dxa"/>
            <w:vMerge w:val="restart"/>
            <w:tcMar>
              <w:left w:w="57" w:type="dxa"/>
              <w:right w:w="57" w:type="dxa"/>
            </w:tcMar>
            <w:vAlign w:val="center"/>
            <w:hideMark/>
          </w:tcPr>
          <w:p w14:paraId="4DF922D8"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Lymphatic filariasis (</w:t>
            </w:r>
            <w:r w:rsidRPr="001F70C4">
              <w:rPr>
                <w:rFonts w:eastAsia="Times New Roman" w:cs="Times New Roman"/>
                <w:i/>
                <w:iCs/>
                <w:color w:val="000000"/>
                <w:sz w:val="18"/>
                <w:szCs w:val="18"/>
                <w:lang w:eastAsia="en-AU"/>
              </w:rPr>
              <w:t>Wuchereria bancrofti</w:t>
            </w:r>
            <w:r w:rsidRPr="001F70C4">
              <w:rPr>
                <w:rFonts w:eastAsia="Times New Roman" w:cs="Times New Roman"/>
                <w:color w:val="000000"/>
                <w:sz w:val="18"/>
                <w:szCs w:val="18"/>
                <w:lang w:eastAsia="en-AU"/>
              </w:rPr>
              <w:t>)</w:t>
            </w:r>
          </w:p>
        </w:tc>
        <w:tc>
          <w:tcPr>
            <w:tcW w:w="1197" w:type="dxa"/>
            <w:tcMar>
              <w:left w:w="57" w:type="dxa"/>
              <w:right w:w="57" w:type="dxa"/>
            </w:tcMar>
            <w:vAlign w:val="center"/>
            <w:hideMark/>
          </w:tcPr>
          <w:p w14:paraId="69BA9E98"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Wb123</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hideMark/>
          </w:tcPr>
          <w:p w14:paraId="37631D2A" w14:textId="705A9477" w:rsidR="009154C5" w:rsidRPr="00E52875" w:rsidRDefault="00E52875" w:rsidP="00FE4CFD">
            <w:pPr>
              <w:spacing w:after="0" w:line="240" w:lineRule="auto"/>
              <w:rPr>
                <w:rFonts w:eastAsia="Times New Roman" w:cs="Times New Roman"/>
                <w:color w:val="000000"/>
                <w:sz w:val="18"/>
                <w:szCs w:val="18"/>
                <w:lang w:eastAsia="en-AU"/>
              </w:rPr>
            </w:pPr>
            <w:r w:rsidRPr="00884977">
              <w:rPr>
                <w:rFonts w:eastAsia="Times New Roman" w:cs="Times New Roman"/>
                <w:color w:val="000000"/>
                <w:sz w:val="18"/>
                <w:szCs w:val="18"/>
                <w:lang w:eastAsia="en-AU"/>
              </w:rPr>
              <w:t xml:space="preserve">Reflects exposure to infective </w:t>
            </w:r>
            <w:r w:rsidRPr="00E52875">
              <w:rPr>
                <w:rFonts w:eastAsia="Times New Roman" w:cs="Times New Roman"/>
                <w:i/>
                <w:iCs/>
                <w:color w:val="000000"/>
                <w:sz w:val="18"/>
                <w:szCs w:val="18"/>
                <w:lang w:eastAsia="en-AU"/>
              </w:rPr>
              <w:t>W. bancrofti</w:t>
            </w:r>
            <w:r w:rsidRPr="00884977">
              <w:rPr>
                <w:rFonts w:eastAsia="Times New Roman" w:cs="Times New Roman"/>
                <w:color w:val="000000"/>
                <w:sz w:val="18"/>
                <w:szCs w:val="18"/>
                <w:lang w:eastAsia="en-AU"/>
              </w:rPr>
              <w:t xml:space="preserve"> larvae; may indicate relatively recent exposure </w:t>
            </w:r>
            <w:r w:rsidR="005B3AC8" w:rsidRPr="005B3AC8">
              <w:rPr>
                <w:rFonts w:eastAsia="Times New Roman" w:cs="Times New Roman"/>
                <w:color w:val="000000"/>
                <w:sz w:val="18"/>
                <w:szCs w:val="18"/>
                <w:lang w:eastAsia="en-AU"/>
              </w:rPr>
              <w:t>and potential ongoing transmission; seropositivity does not alone confirm current infection.</w:t>
            </w:r>
          </w:p>
        </w:tc>
        <w:tc>
          <w:tcPr>
            <w:tcW w:w="1418" w:type="dxa"/>
            <w:tcMar>
              <w:left w:w="57" w:type="dxa"/>
              <w:right w:w="57" w:type="dxa"/>
            </w:tcMar>
            <w:vAlign w:val="center"/>
          </w:tcPr>
          <w:p w14:paraId="706295F8"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403</w:t>
            </w:r>
          </w:p>
        </w:tc>
        <w:tc>
          <w:tcPr>
            <w:tcW w:w="1559" w:type="dxa"/>
            <w:tcMar>
              <w:left w:w="57" w:type="dxa"/>
              <w:right w:w="57" w:type="dxa"/>
            </w:tcMar>
            <w:vAlign w:val="center"/>
          </w:tcPr>
          <w:p w14:paraId="11203066"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Mean + 3SD (CDC controls)</w:t>
            </w:r>
          </w:p>
        </w:tc>
        <w:tc>
          <w:tcPr>
            <w:tcW w:w="1134" w:type="dxa"/>
            <w:tcMar>
              <w:left w:w="57" w:type="dxa"/>
              <w:right w:w="57" w:type="dxa"/>
            </w:tcMar>
            <w:vAlign w:val="center"/>
          </w:tcPr>
          <w:p w14:paraId="1AED82B6"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24BC48CD"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30</w:t>
            </w:r>
          </w:p>
        </w:tc>
        <w:tc>
          <w:tcPr>
            <w:tcW w:w="851" w:type="dxa"/>
            <w:tcMar>
              <w:left w:w="57" w:type="dxa"/>
              <w:right w:w="57" w:type="dxa"/>
            </w:tcMar>
            <w:vAlign w:val="center"/>
          </w:tcPr>
          <w:p w14:paraId="66419B4A"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61D5955C" w14:textId="77777777" w:rsidTr="00C05EDC">
        <w:trPr>
          <w:trHeight w:val="20"/>
        </w:trPr>
        <w:tc>
          <w:tcPr>
            <w:tcW w:w="1156" w:type="dxa"/>
            <w:vMerge/>
            <w:tcMar>
              <w:left w:w="57" w:type="dxa"/>
              <w:right w:w="57" w:type="dxa"/>
            </w:tcMar>
            <w:vAlign w:val="center"/>
          </w:tcPr>
          <w:p w14:paraId="61CDA6F3"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vMerge/>
            <w:tcMar>
              <w:left w:w="57" w:type="dxa"/>
              <w:right w:w="57" w:type="dxa"/>
            </w:tcMar>
            <w:vAlign w:val="center"/>
          </w:tcPr>
          <w:p w14:paraId="298AAB4B"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97" w:type="dxa"/>
            <w:tcMar>
              <w:left w:w="57" w:type="dxa"/>
              <w:right w:w="57" w:type="dxa"/>
            </w:tcMar>
            <w:vAlign w:val="center"/>
          </w:tcPr>
          <w:p w14:paraId="47DA2F1E"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Bm14</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tcPr>
          <w:p w14:paraId="184E67B2" w14:textId="080F6E94" w:rsidR="009154C5" w:rsidRPr="001F70C4" w:rsidRDefault="005B3AC8" w:rsidP="00FE4CFD">
            <w:pPr>
              <w:spacing w:after="0" w:line="240" w:lineRule="auto"/>
              <w:rPr>
                <w:rFonts w:eastAsia="Times New Roman" w:cs="Times New Roman"/>
                <w:color w:val="000000"/>
                <w:sz w:val="18"/>
                <w:szCs w:val="18"/>
                <w:lang w:eastAsia="en-AU"/>
              </w:rPr>
            </w:pPr>
            <w:r w:rsidRPr="005B3AC8">
              <w:rPr>
                <w:rFonts w:eastAsia="Times New Roman" w:cs="Times New Roman"/>
                <w:color w:val="000000"/>
                <w:sz w:val="18"/>
                <w:szCs w:val="18"/>
                <w:lang w:eastAsia="en-AU"/>
              </w:rPr>
              <w:t xml:space="preserve">Reflects past or current </w:t>
            </w:r>
            <w:r w:rsidRPr="005B3AC8">
              <w:rPr>
                <w:rFonts w:eastAsia="Times New Roman" w:cs="Times New Roman"/>
                <w:i/>
                <w:iCs/>
                <w:color w:val="000000"/>
                <w:sz w:val="18"/>
                <w:szCs w:val="18"/>
                <w:lang w:eastAsia="en-AU"/>
              </w:rPr>
              <w:t>W. bancrofti</w:t>
            </w:r>
            <w:r w:rsidRPr="005B3AC8">
              <w:rPr>
                <w:rFonts w:eastAsia="Times New Roman" w:cs="Times New Roman"/>
                <w:color w:val="000000"/>
                <w:sz w:val="18"/>
                <w:szCs w:val="18"/>
                <w:lang w:eastAsia="en-AU"/>
              </w:rPr>
              <w:t xml:space="preserve"> infection/exposure. Antibodies may persist following infection; therefore, seropositivity does not necessarily indicate recent infection or ongoing transmission.</w:t>
            </w:r>
          </w:p>
        </w:tc>
        <w:tc>
          <w:tcPr>
            <w:tcW w:w="1418" w:type="dxa"/>
            <w:tcMar>
              <w:left w:w="57" w:type="dxa"/>
              <w:right w:w="57" w:type="dxa"/>
            </w:tcMar>
            <w:vAlign w:val="center"/>
          </w:tcPr>
          <w:p w14:paraId="12ECCA52"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1467</w:t>
            </w:r>
          </w:p>
        </w:tc>
        <w:tc>
          <w:tcPr>
            <w:tcW w:w="1559" w:type="dxa"/>
            <w:tcMar>
              <w:left w:w="57" w:type="dxa"/>
              <w:right w:w="57" w:type="dxa"/>
            </w:tcMar>
            <w:vAlign w:val="center"/>
          </w:tcPr>
          <w:p w14:paraId="211A572D"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Mean + 3SD (CDC controls)</w:t>
            </w:r>
          </w:p>
        </w:tc>
        <w:tc>
          <w:tcPr>
            <w:tcW w:w="1134" w:type="dxa"/>
            <w:tcMar>
              <w:left w:w="57" w:type="dxa"/>
              <w:right w:w="57" w:type="dxa"/>
            </w:tcMar>
            <w:vAlign w:val="center"/>
          </w:tcPr>
          <w:p w14:paraId="0A8F1359"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2DE5E113"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120</w:t>
            </w:r>
          </w:p>
        </w:tc>
        <w:tc>
          <w:tcPr>
            <w:tcW w:w="851" w:type="dxa"/>
            <w:tcMar>
              <w:left w:w="57" w:type="dxa"/>
              <w:right w:w="57" w:type="dxa"/>
            </w:tcMar>
            <w:vAlign w:val="center"/>
          </w:tcPr>
          <w:p w14:paraId="66F86207"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0652785B" w14:textId="77777777" w:rsidTr="00C05EDC">
        <w:trPr>
          <w:trHeight w:val="20"/>
        </w:trPr>
        <w:tc>
          <w:tcPr>
            <w:tcW w:w="1156" w:type="dxa"/>
            <w:vMerge/>
            <w:tcMar>
              <w:left w:w="57" w:type="dxa"/>
              <w:right w:w="57" w:type="dxa"/>
            </w:tcMar>
            <w:vAlign w:val="center"/>
          </w:tcPr>
          <w:p w14:paraId="59CFDD10"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tcMar>
              <w:left w:w="57" w:type="dxa"/>
              <w:right w:w="57" w:type="dxa"/>
            </w:tcMar>
            <w:vAlign w:val="center"/>
            <w:hideMark/>
          </w:tcPr>
          <w:p w14:paraId="16608535"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 xml:space="preserve">Trachoma </w:t>
            </w:r>
          </w:p>
          <w:p w14:paraId="0FE3064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w:t>
            </w:r>
            <w:r w:rsidRPr="001F70C4">
              <w:rPr>
                <w:rFonts w:eastAsia="Times New Roman" w:cs="Times New Roman"/>
                <w:i/>
                <w:iCs/>
                <w:color w:val="000000"/>
                <w:sz w:val="18"/>
                <w:szCs w:val="18"/>
                <w:lang w:eastAsia="en-AU"/>
              </w:rPr>
              <w:t>Chlamydia trachomatis</w:t>
            </w:r>
            <w:r w:rsidRPr="001F70C4">
              <w:rPr>
                <w:rFonts w:eastAsia="Times New Roman" w:cs="Times New Roman"/>
                <w:color w:val="000000"/>
                <w:sz w:val="18"/>
                <w:szCs w:val="18"/>
                <w:lang w:eastAsia="en-AU"/>
              </w:rPr>
              <w:t>)</w:t>
            </w:r>
          </w:p>
        </w:tc>
        <w:tc>
          <w:tcPr>
            <w:tcW w:w="1197" w:type="dxa"/>
            <w:tcMar>
              <w:left w:w="57" w:type="dxa"/>
              <w:right w:w="57" w:type="dxa"/>
            </w:tcMar>
            <w:vAlign w:val="center"/>
            <w:hideMark/>
          </w:tcPr>
          <w:p w14:paraId="13751C07"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Pgp3</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hideMark/>
          </w:tcPr>
          <w:p w14:paraId="0EC0F58A" w14:textId="1B639284" w:rsidR="009154C5" w:rsidRPr="001F70C4" w:rsidRDefault="00FF5042" w:rsidP="00FE4CFD">
            <w:pPr>
              <w:spacing w:after="0" w:line="240" w:lineRule="auto"/>
              <w:rPr>
                <w:rFonts w:eastAsia="Times New Roman" w:cs="Times New Roman"/>
                <w:color w:val="000000"/>
                <w:sz w:val="18"/>
                <w:szCs w:val="18"/>
                <w:lang w:eastAsia="en-AU"/>
              </w:rPr>
            </w:pPr>
            <w:r w:rsidRPr="00FF5042">
              <w:rPr>
                <w:rFonts w:eastAsia="Times New Roman" w:cs="Times New Roman"/>
                <w:color w:val="000000"/>
                <w:sz w:val="18"/>
                <w:szCs w:val="18"/>
                <w:lang w:eastAsia="en-AU"/>
              </w:rPr>
              <w:t xml:space="preserve">Reflects cumulative exposure to </w:t>
            </w:r>
            <w:r w:rsidRPr="00FF5042">
              <w:rPr>
                <w:rFonts w:eastAsia="Times New Roman" w:cs="Times New Roman"/>
                <w:i/>
                <w:iCs/>
                <w:color w:val="000000"/>
                <w:sz w:val="18"/>
                <w:szCs w:val="18"/>
                <w:lang w:eastAsia="en-AU"/>
              </w:rPr>
              <w:t>C. trachomatis</w:t>
            </w:r>
            <w:r w:rsidRPr="00FF5042">
              <w:rPr>
                <w:rFonts w:eastAsia="Times New Roman" w:cs="Times New Roman"/>
                <w:color w:val="000000"/>
                <w:sz w:val="18"/>
                <w:szCs w:val="18"/>
                <w:lang w:eastAsia="en-AU"/>
              </w:rPr>
              <w:t xml:space="preserve"> and is an early indicator of transmission; cannot distinguish ocular infection from urogenital exposure or perinatal transmission. Estimates restricted to participants aged ≤14 years.</w:t>
            </w:r>
          </w:p>
        </w:tc>
        <w:tc>
          <w:tcPr>
            <w:tcW w:w="1418" w:type="dxa"/>
            <w:tcMar>
              <w:left w:w="57" w:type="dxa"/>
              <w:right w:w="57" w:type="dxa"/>
            </w:tcMar>
            <w:vAlign w:val="center"/>
          </w:tcPr>
          <w:p w14:paraId="1B985D11"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714</w:t>
            </w:r>
          </w:p>
        </w:tc>
        <w:tc>
          <w:tcPr>
            <w:tcW w:w="1559" w:type="dxa"/>
            <w:tcMar>
              <w:left w:w="57" w:type="dxa"/>
              <w:right w:w="57" w:type="dxa"/>
            </w:tcMar>
            <w:vAlign w:val="center"/>
          </w:tcPr>
          <w:p w14:paraId="3F3715EA"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3F508973"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0FB5D9A5"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120</w:t>
            </w:r>
          </w:p>
        </w:tc>
        <w:tc>
          <w:tcPr>
            <w:tcW w:w="851" w:type="dxa"/>
            <w:tcMar>
              <w:left w:w="57" w:type="dxa"/>
              <w:right w:w="57" w:type="dxa"/>
            </w:tcMar>
            <w:vAlign w:val="center"/>
          </w:tcPr>
          <w:p w14:paraId="4E6B52C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167D066E" w14:textId="77777777" w:rsidTr="00C05EDC">
        <w:trPr>
          <w:trHeight w:val="20"/>
        </w:trPr>
        <w:tc>
          <w:tcPr>
            <w:tcW w:w="1156" w:type="dxa"/>
            <w:vMerge/>
            <w:tcMar>
              <w:left w:w="57" w:type="dxa"/>
              <w:right w:w="57" w:type="dxa"/>
            </w:tcMar>
            <w:vAlign w:val="center"/>
          </w:tcPr>
          <w:p w14:paraId="24DFDE0D"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vMerge w:val="restart"/>
            <w:tcMar>
              <w:left w:w="57" w:type="dxa"/>
              <w:right w:w="57" w:type="dxa"/>
            </w:tcMar>
            <w:vAlign w:val="center"/>
            <w:hideMark/>
          </w:tcPr>
          <w:p w14:paraId="3B566BE5"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 xml:space="preserve">Yaws </w:t>
            </w:r>
          </w:p>
          <w:p w14:paraId="7D75FB7E"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w:t>
            </w:r>
            <w:r w:rsidRPr="001F70C4">
              <w:rPr>
                <w:rFonts w:eastAsia="Times New Roman" w:cs="Times New Roman"/>
                <w:i/>
                <w:iCs/>
                <w:color w:val="000000"/>
                <w:sz w:val="18"/>
                <w:szCs w:val="18"/>
                <w:lang w:eastAsia="en-AU"/>
              </w:rPr>
              <w:t xml:space="preserve">Treponema pallidum </w:t>
            </w:r>
            <w:proofErr w:type="spellStart"/>
            <w:r w:rsidRPr="001F70C4">
              <w:rPr>
                <w:rFonts w:eastAsia="Times New Roman" w:cs="Times New Roman"/>
                <w:i/>
                <w:iCs/>
                <w:color w:val="000000"/>
                <w:sz w:val="18"/>
                <w:szCs w:val="18"/>
                <w:lang w:eastAsia="en-AU"/>
              </w:rPr>
              <w:t>pertenue</w:t>
            </w:r>
            <w:proofErr w:type="spellEnd"/>
            <w:r w:rsidRPr="001F70C4">
              <w:rPr>
                <w:rFonts w:eastAsia="Times New Roman" w:cs="Times New Roman"/>
                <w:color w:val="000000"/>
                <w:sz w:val="18"/>
                <w:szCs w:val="18"/>
                <w:lang w:eastAsia="en-AU"/>
              </w:rPr>
              <w:t>)</w:t>
            </w:r>
          </w:p>
          <w:p w14:paraId="323DFFAB"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97" w:type="dxa"/>
            <w:tcMar>
              <w:left w:w="57" w:type="dxa"/>
              <w:right w:w="57" w:type="dxa"/>
            </w:tcMar>
            <w:vAlign w:val="center"/>
            <w:hideMark/>
          </w:tcPr>
          <w:p w14:paraId="0F86165F"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Rp17</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hideMark/>
          </w:tcPr>
          <w:p w14:paraId="2614E66C" w14:textId="1F391E42" w:rsidR="009154C5" w:rsidRPr="001F70C4" w:rsidRDefault="00FF5042" w:rsidP="00FE4CFD">
            <w:pPr>
              <w:spacing w:after="0" w:line="240" w:lineRule="auto"/>
              <w:rPr>
                <w:rFonts w:eastAsia="Times New Roman" w:cs="Times New Roman"/>
                <w:color w:val="000000"/>
                <w:sz w:val="18"/>
                <w:szCs w:val="18"/>
                <w:lang w:eastAsia="en-AU"/>
              </w:rPr>
            </w:pPr>
            <w:r w:rsidRPr="00FF5042">
              <w:rPr>
                <w:rFonts w:eastAsia="Times New Roman" w:cs="Times New Roman"/>
                <w:color w:val="000000"/>
                <w:sz w:val="18"/>
                <w:szCs w:val="18"/>
                <w:lang w:eastAsia="en-AU"/>
              </w:rPr>
              <w:t xml:space="preserve">Marker of past or current </w:t>
            </w:r>
            <w:r w:rsidRPr="00FF5042">
              <w:rPr>
                <w:rFonts w:eastAsia="Times New Roman" w:cs="Times New Roman"/>
                <w:i/>
                <w:iCs/>
                <w:color w:val="000000"/>
                <w:sz w:val="18"/>
                <w:szCs w:val="18"/>
                <w:lang w:eastAsia="en-AU"/>
              </w:rPr>
              <w:t>T. pallidum</w:t>
            </w:r>
            <w:r w:rsidRPr="00FF5042">
              <w:rPr>
                <w:rFonts w:eastAsia="Times New Roman" w:cs="Times New Roman"/>
                <w:color w:val="000000"/>
                <w:sz w:val="18"/>
                <w:szCs w:val="18"/>
                <w:lang w:eastAsia="en-AU"/>
              </w:rPr>
              <w:t xml:space="preserve"> infection/exposure; cannot distinguish yaws from syphilis. Antibodies may persist following infection.</w:t>
            </w:r>
          </w:p>
        </w:tc>
        <w:tc>
          <w:tcPr>
            <w:tcW w:w="1418" w:type="dxa"/>
            <w:tcMar>
              <w:left w:w="57" w:type="dxa"/>
              <w:right w:w="57" w:type="dxa"/>
            </w:tcMar>
            <w:vAlign w:val="center"/>
          </w:tcPr>
          <w:p w14:paraId="0AD881A6"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108</w:t>
            </w:r>
          </w:p>
        </w:tc>
        <w:tc>
          <w:tcPr>
            <w:tcW w:w="1559" w:type="dxa"/>
            <w:tcMar>
              <w:left w:w="57" w:type="dxa"/>
              <w:right w:w="57" w:type="dxa"/>
            </w:tcMar>
            <w:vAlign w:val="center"/>
          </w:tcPr>
          <w:p w14:paraId="2EF26A9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 (Maximum Youden’s J)</w:t>
            </w:r>
          </w:p>
        </w:tc>
        <w:tc>
          <w:tcPr>
            <w:tcW w:w="1134" w:type="dxa"/>
            <w:tcMar>
              <w:left w:w="57" w:type="dxa"/>
              <w:right w:w="57" w:type="dxa"/>
            </w:tcMar>
            <w:vAlign w:val="center"/>
          </w:tcPr>
          <w:p w14:paraId="24EEE51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7BD66CFA"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15</w:t>
            </w:r>
          </w:p>
        </w:tc>
        <w:tc>
          <w:tcPr>
            <w:tcW w:w="851" w:type="dxa"/>
            <w:tcMar>
              <w:left w:w="57" w:type="dxa"/>
              <w:right w:w="57" w:type="dxa"/>
            </w:tcMar>
            <w:vAlign w:val="center"/>
          </w:tcPr>
          <w:p w14:paraId="6C1FAEAD"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1E30FE4D" w14:textId="77777777" w:rsidTr="00C05EDC">
        <w:trPr>
          <w:trHeight w:val="20"/>
        </w:trPr>
        <w:tc>
          <w:tcPr>
            <w:tcW w:w="1156" w:type="dxa"/>
            <w:vMerge/>
            <w:tcMar>
              <w:left w:w="57" w:type="dxa"/>
              <w:right w:w="57" w:type="dxa"/>
            </w:tcMar>
            <w:vAlign w:val="center"/>
          </w:tcPr>
          <w:p w14:paraId="556C6CDF"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vMerge/>
            <w:tcMar>
              <w:left w:w="57" w:type="dxa"/>
              <w:right w:w="57" w:type="dxa"/>
            </w:tcMar>
            <w:vAlign w:val="center"/>
          </w:tcPr>
          <w:p w14:paraId="3B9988B8"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97" w:type="dxa"/>
            <w:tcMar>
              <w:left w:w="57" w:type="dxa"/>
              <w:right w:w="57" w:type="dxa"/>
            </w:tcMar>
            <w:vAlign w:val="center"/>
          </w:tcPr>
          <w:p w14:paraId="0C1ECF4B" w14:textId="77777777" w:rsidR="009154C5" w:rsidRPr="001F70C4" w:rsidRDefault="009154C5" w:rsidP="00FE4CFD">
            <w:pPr>
              <w:spacing w:after="0" w:line="240" w:lineRule="auto"/>
              <w:rPr>
                <w:rFonts w:eastAsia="Times New Roman" w:cs="Times New Roman"/>
                <w:i/>
                <w:iCs/>
                <w:color w:val="000000"/>
                <w:sz w:val="18"/>
                <w:szCs w:val="18"/>
                <w:lang w:eastAsia="en-AU"/>
              </w:rPr>
            </w:pPr>
            <w:r w:rsidRPr="001F70C4">
              <w:rPr>
                <w:rFonts w:eastAsia="Times New Roman" w:cs="Times New Roman"/>
                <w:i/>
                <w:iCs/>
                <w:color w:val="000000"/>
                <w:sz w:val="18"/>
                <w:szCs w:val="18"/>
                <w:lang w:eastAsia="en-AU"/>
              </w:rPr>
              <w:t>TmpA</w:t>
            </w:r>
          </w:p>
        </w:tc>
        <w:tc>
          <w:tcPr>
            <w:tcW w:w="2630" w:type="dxa"/>
            <w:tcMar>
              <w:left w:w="57" w:type="dxa"/>
              <w:right w:w="57" w:type="dxa"/>
            </w:tcMar>
            <w:vAlign w:val="center"/>
          </w:tcPr>
          <w:p w14:paraId="1503188F" w14:textId="315E1695" w:rsidR="009154C5" w:rsidRPr="001F70C4" w:rsidRDefault="00FF5042" w:rsidP="00FE4CFD">
            <w:pPr>
              <w:spacing w:after="0" w:line="240" w:lineRule="auto"/>
              <w:rPr>
                <w:rFonts w:eastAsia="Times New Roman" w:cs="Times New Roman"/>
                <w:color w:val="000000"/>
                <w:sz w:val="18"/>
                <w:szCs w:val="18"/>
                <w:lang w:eastAsia="en-AU"/>
              </w:rPr>
            </w:pPr>
            <w:r w:rsidRPr="00FF5042">
              <w:rPr>
                <w:rFonts w:eastAsia="Times New Roman" w:cs="Times New Roman"/>
                <w:color w:val="000000"/>
                <w:sz w:val="18"/>
                <w:szCs w:val="18"/>
                <w:lang w:eastAsia="en-AU"/>
              </w:rPr>
              <w:t xml:space="preserve">Marker associated with more recent </w:t>
            </w:r>
            <w:r w:rsidRPr="00FF5042">
              <w:rPr>
                <w:rFonts w:eastAsia="Times New Roman" w:cs="Times New Roman"/>
                <w:i/>
                <w:iCs/>
                <w:color w:val="000000"/>
                <w:sz w:val="18"/>
                <w:szCs w:val="18"/>
                <w:lang w:eastAsia="en-AU"/>
              </w:rPr>
              <w:t>T. pallidum</w:t>
            </w:r>
            <w:r w:rsidRPr="00FF5042">
              <w:rPr>
                <w:rFonts w:eastAsia="Times New Roman" w:cs="Times New Roman"/>
                <w:color w:val="000000"/>
                <w:sz w:val="18"/>
                <w:szCs w:val="18"/>
                <w:lang w:eastAsia="en-AU"/>
              </w:rPr>
              <w:t xml:space="preserve"> infection/exposure; cannot distinguish yaws from syphilis. In combination with Rp17, may indicate current or recent infection.</w:t>
            </w:r>
          </w:p>
        </w:tc>
        <w:tc>
          <w:tcPr>
            <w:tcW w:w="1418" w:type="dxa"/>
            <w:tcMar>
              <w:left w:w="57" w:type="dxa"/>
              <w:right w:w="57" w:type="dxa"/>
            </w:tcMar>
            <w:vAlign w:val="center"/>
          </w:tcPr>
          <w:p w14:paraId="32D1F526"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704</w:t>
            </w:r>
          </w:p>
        </w:tc>
        <w:tc>
          <w:tcPr>
            <w:tcW w:w="1559" w:type="dxa"/>
            <w:tcMar>
              <w:left w:w="57" w:type="dxa"/>
              <w:right w:w="57" w:type="dxa"/>
            </w:tcMar>
            <w:vAlign w:val="center"/>
          </w:tcPr>
          <w:p w14:paraId="3BB68C6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 (Maximum Youden’s J)</w:t>
            </w:r>
          </w:p>
        </w:tc>
        <w:tc>
          <w:tcPr>
            <w:tcW w:w="1134" w:type="dxa"/>
            <w:tcMar>
              <w:left w:w="57" w:type="dxa"/>
              <w:right w:w="57" w:type="dxa"/>
            </w:tcMar>
            <w:vAlign w:val="center"/>
          </w:tcPr>
          <w:p w14:paraId="6535C80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5B468DC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30</w:t>
            </w:r>
          </w:p>
        </w:tc>
        <w:tc>
          <w:tcPr>
            <w:tcW w:w="851" w:type="dxa"/>
            <w:tcMar>
              <w:left w:w="57" w:type="dxa"/>
              <w:right w:w="57" w:type="dxa"/>
            </w:tcMar>
            <w:vAlign w:val="center"/>
          </w:tcPr>
          <w:p w14:paraId="3CB8F237"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19104BDF" w14:textId="77777777" w:rsidTr="00C05EDC">
        <w:trPr>
          <w:trHeight w:val="20"/>
        </w:trPr>
        <w:tc>
          <w:tcPr>
            <w:tcW w:w="1156" w:type="dxa"/>
            <w:vMerge/>
            <w:tcMar>
              <w:left w:w="57" w:type="dxa"/>
              <w:right w:w="57" w:type="dxa"/>
            </w:tcMar>
            <w:vAlign w:val="center"/>
          </w:tcPr>
          <w:p w14:paraId="58988D0A"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tcMar>
              <w:left w:w="57" w:type="dxa"/>
              <w:right w:w="57" w:type="dxa"/>
            </w:tcMar>
            <w:vAlign w:val="center"/>
            <w:hideMark/>
          </w:tcPr>
          <w:p w14:paraId="6F6793E5"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Taeniasis</w:t>
            </w:r>
          </w:p>
          <w:p w14:paraId="73A19B2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w:t>
            </w:r>
            <w:r w:rsidRPr="001F70C4">
              <w:rPr>
                <w:rFonts w:eastAsia="Times New Roman" w:cs="Times New Roman"/>
                <w:i/>
                <w:iCs/>
                <w:color w:val="000000"/>
                <w:sz w:val="18"/>
                <w:szCs w:val="18"/>
                <w:lang w:eastAsia="en-AU"/>
              </w:rPr>
              <w:t>Taenia solium</w:t>
            </w:r>
            <w:r w:rsidRPr="001F70C4">
              <w:rPr>
                <w:rFonts w:eastAsia="Times New Roman" w:cs="Times New Roman"/>
                <w:color w:val="000000"/>
                <w:sz w:val="18"/>
                <w:szCs w:val="18"/>
                <w:lang w:eastAsia="en-AU"/>
              </w:rPr>
              <w:t>)</w:t>
            </w:r>
          </w:p>
        </w:tc>
        <w:tc>
          <w:tcPr>
            <w:tcW w:w="1197" w:type="dxa"/>
            <w:tcMar>
              <w:left w:w="57" w:type="dxa"/>
              <w:right w:w="57" w:type="dxa"/>
            </w:tcMar>
            <w:vAlign w:val="center"/>
            <w:hideMark/>
          </w:tcPr>
          <w:p w14:paraId="19CABEE1"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Es33</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hideMark/>
          </w:tcPr>
          <w:p w14:paraId="120973C4" w14:textId="5182A940" w:rsidR="009154C5" w:rsidRPr="001F70C4" w:rsidRDefault="00CA5573" w:rsidP="00FE4CFD">
            <w:pPr>
              <w:spacing w:after="0" w:line="240" w:lineRule="auto"/>
              <w:rPr>
                <w:rFonts w:eastAsia="Times New Roman" w:cs="Times New Roman"/>
                <w:color w:val="000000"/>
                <w:sz w:val="18"/>
                <w:szCs w:val="18"/>
                <w:lang w:eastAsia="en-AU"/>
              </w:rPr>
            </w:pPr>
            <w:r w:rsidRPr="00CA5573">
              <w:rPr>
                <w:rFonts w:eastAsia="Times New Roman" w:cs="Times New Roman"/>
                <w:color w:val="000000"/>
                <w:sz w:val="18"/>
                <w:szCs w:val="18"/>
                <w:lang w:eastAsia="en-AU"/>
              </w:rPr>
              <w:t xml:space="preserve">Seropositivity is consistent with past or current infection with adult </w:t>
            </w:r>
            <w:r w:rsidRPr="00CA5573">
              <w:rPr>
                <w:rFonts w:eastAsia="Times New Roman" w:cs="Times New Roman"/>
                <w:i/>
                <w:iCs/>
                <w:color w:val="000000"/>
                <w:sz w:val="18"/>
                <w:szCs w:val="18"/>
                <w:lang w:eastAsia="en-AU"/>
              </w:rPr>
              <w:t>T. solium</w:t>
            </w:r>
            <w:r w:rsidRPr="00CA5573">
              <w:rPr>
                <w:rFonts w:eastAsia="Times New Roman" w:cs="Times New Roman"/>
                <w:color w:val="000000"/>
                <w:sz w:val="18"/>
                <w:szCs w:val="18"/>
                <w:lang w:eastAsia="en-AU"/>
              </w:rPr>
              <w:t xml:space="preserve"> (taeniasis) but does not, in isolation, confirm active infection at the time of sampling.</w:t>
            </w:r>
          </w:p>
        </w:tc>
        <w:tc>
          <w:tcPr>
            <w:tcW w:w="1418" w:type="dxa"/>
            <w:tcMar>
              <w:left w:w="57" w:type="dxa"/>
              <w:right w:w="57" w:type="dxa"/>
            </w:tcMar>
            <w:vAlign w:val="center"/>
          </w:tcPr>
          <w:p w14:paraId="0FAAD842"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534</w:t>
            </w:r>
          </w:p>
        </w:tc>
        <w:tc>
          <w:tcPr>
            <w:tcW w:w="1559" w:type="dxa"/>
            <w:tcMar>
              <w:left w:w="57" w:type="dxa"/>
              <w:right w:w="57" w:type="dxa"/>
            </w:tcMar>
            <w:vAlign w:val="center"/>
          </w:tcPr>
          <w:p w14:paraId="28371C57"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65471091"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72537825"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10</w:t>
            </w:r>
          </w:p>
        </w:tc>
        <w:tc>
          <w:tcPr>
            <w:tcW w:w="851" w:type="dxa"/>
            <w:tcMar>
              <w:left w:w="57" w:type="dxa"/>
              <w:right w:w="57" w:type="dxa"/>
            </w:tcMar>
            <w:vAlign w:val="center"/>
          </w:tcPr>
          <w:p w14:paraId="07350BBF"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w:t>
            </w:r>
          </w:p>
        </w:tc>
      </w:tr>
      <w:tr w:rsidR="009154C5" w:rsidRPr="001F70C4" w14:paraId="55055BB9" w14:textId="77777777" w:rsidTr="00C05EDC">
        <w:trPr>
          <w:trHeight w:val="20"/>
        </w:trPr>
        <w:tc>
          <w:tcPr>
            <w:tcW w:w="1156" w:type="dxa"/>
            <w:vMerge/>
            <w:tcMar>
              <w:left w:w="57" w:type="dxa"/>
              <w:right w:w="57" w:type="dxa"/>
            </w:tcMar>
            <w:vAlign w:val="center"/>
          </w:tcPr>
          <w:p w14:paraId="213B674E"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tcMar>
              <w:left w:w="57" w:type="dxa"/>
              <w:right w:w="57" w:type="dxa"/>
            </w:tcMar>
            <w:vAlign w:val="center"/>
          </w:tcPr>
          <w:p w14:paraId="7EF6E523"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 xml:space="preserve">Cysticercosis </w:t>
            </w:r>
          </w:p>
          <w:p w14:paraId="60C16CB2"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w:t>
            </w:r>
            <w:r w:rsidRPr="001F70C4">
              <w:rPr>
                <w:rFonts w:eastAsia="Times New Roman" w:cs="Times New Roman"/>
                <w:i/>
                <w:iCs/>
                <w:color w:val="000000"/>
                <w:sz w:val="18"/>
                <w:szCs w:val="18"/>
                <w:lang w:eastAsia="en-AU"/>
              </w:rPr>
              <w:t>Taenia solium</w:t>
            </w:r>
            <w:r w:rsidRPr="001F70C4">
              <w:rPr>
                <w:rFonts w:eastAsia="Times New Roman" w:cs="Times New Roman"/>
                <w:color w:val="000000"/>
                <w:sz w:val="18"/>
                <w:szCs w:val="18"/>
                <w:lang w:eastAsia="en-AU"/>
              </w:rPr>
              <w:t>)</w:t>
            </w:r>
          </w:p>
        </w:tc>
        <w:tc>
          <w:tcPr>
            <w:tcW w:w="1197" w:type="dxa"/>
            <w:tcMar>
              <w:left w:w="57" w:type="dxa"/>
              <w:right w:w="57" w:type="dxa"/>
            </w:tcMar>
            <w:vAlign w:val="center"/>
          </w:tcPr>
          <w:p w14:paraId="7773C19A"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T24H</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tcPr>
          <w:p w14:paraId="2ED72217" w14:textId="5475CC32" w:rsidR="009154C5" w:rsidRPr="001F70C4" w:rsidRDefault="00CA5573" w:rsidP="00FE4CFD">
            <w:pPr>
              <w:spacing w:after="0" w:line="240" w:lineRule="auto"/>
              <w:rPr>
                <w:rFonts w:eastAsia="Times New Roman" w:cs="Times New Roman"/>
                <w:color w:val="000000"/>
                <w:sz w:val="18"/>
                <w:szCs w:val="18"/>
                <w:lang w:eastAsia="en-AU"/>
              </w:rPr>
            </w:pPr>
            <w:r w:rsidRPr="00CA5573">
              <w:rPr>
                <w:rFonts w:eastAsia="Times New Roman" w:cs="Times New Roman"/>
                <w:color w:val="000000"/>
                <w:sz w:val="18"/>
                <w:szCs w:val="18"/>
                <w:lang w:eastAsia="en-AU"/>
              </w:rPr>
              <w:t xml:space="preserve">Seropositivity is consistent with past or current exposure/infection with </w:t>
            </w:r>
            <w:r w:rsidRPr="00CA5573">
              <w:rPr>
                <w:rFonts w:eastAsia="Times New Roman" w:cs="Times New Roman"/>
                <w:i/>
                <w:iCs/>
                <w:color w:val="000000"/>
                <w:sz w:val="18"/>
                <w:szCs w:val="18"/>
                <w:lang w:eastAsia="en-AU"/>
              </w:rPr>
              <w:t>T. solium</w:t>
            </w:r>
            <w:r w:rsidRPr="00CA5573">
              <w:rPr>
                <w:rFonts w:eastAsia="Times New Roman" w:cs="Times New Roman"/>
                <w:color w:val="000000"/>
                <w:sz w:val="18"/>
                <w:szCs w:val="18"/>
                <w:lang w:eastAsia="en-AU"/>
              </w:rPr>
              <w:t xml:space="preserve"> cysticerci (cysticercosis) but does not, in isolation, confirm active infection at the time of sampling.</w:t>
            </w:r>
          </w:p>
        </w:tc>
        <w:tc>
          <w:tcPr>
            <w:tcW w:w="1418" w:type="dxa"/>
            <w:tcMar>
              <w:left w:w="57" w:type="dxa"/>
              <w:right w:w="57" w:type="dxa"/>
            </w:tcMar>
            <w:vAlign w:val="center"/>
          </w:tcPr>
          <w:p w14:paraId="0E438AA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304</w:t>
            </w:r>
          </w:p>
        </w:tc>
        <w:tc>
          <w:tcPr>
            <w:tcW w:w="1559" w:type="dxa"/>
            <w:tcMar>
              <w:left w:w="57" w:type="dxa"/>
              <w:right w:w="57" w:type="dxa"/>
            </w:tcMar>
            <w:vAlign w:val="center"/>
          </w:tcPr>
          <w:p w14:paraId="5029CD6D"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6EBABC5D"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0CD93FF6"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120</w:t>
            </w:r>
          </w:p>
        </w:tc>
        <w:tc>
          <w:tcPr>
            <w:tcW w:w="851" w:type="dxa"/>
            <w:tcMar>
              <w:left w:w="57" w:type="dxa"/>
              <w:right w:w="57" w:type="dxa"/>
            </w:tcMar>
            <w:vAlign w:val="center"/>
          </w:tcPr>
          <w:p w14:paraId="057783B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w:t>
            </w:r>
          </w:p>
        </w:tc>
      </w:tr>
      <w:tr w:rsidR="009154C5" w:rsidRPr="001F70C4" w14:paraId="5EE6444E" w14:textId="77777777" w:rsidTr="00C05EDC">
        <w:trPr>
          <w:trHeight w:val="20"/>
        </w:trPr>
        <w:tc>
          <w:tcPr>
            <w:tcW w:w="1156" w:type="dxa"/>
            <w:vMerge/>
            <w:tcMar>
              <w:left w:w="57" w:type="dxa"/>
              <w:right w:w="57" w:type="dxa"/>
            </w:tcMar>
            <w:vAlign w:val="center"/>
          </w:tcPr>
          <w:p w14:paraId="499CAA4A"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tcMar>
              <w:left w:w="57" w:type="dxa"/>
              <w:right w:w="57" w:type="dxa"/>
            </w:tcMar>
            <w:vAlign w:val="center"/>
            <w:hideMark/>
          </w:tcPr>
          <w:p w14:paraId="1A3DA9CF"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Strongyloidiasis</w:t>
            </w:r>
          </w:p>
          <w:p w14:paraId="4AA82445" w14:textId="77777777" w:rsidR="009154C5" w:rsidRPr="001F70C4" w:rsidRDefault="009154C5" w:rsidP="00FE4CFD">
            <w:pPr>
              <w:spacing w:after="0" w:line="240" w:lineRule="auto"/>
              <w:rPr>
                <w:rFonts w:eastAsia="Times New Roman" w:cs="Times New Roman"/>
                <w:i/>
                <w:iCs/>
                <w:color w:val="000000"/>
                <w:sz w:val="18"/>
                <w:szCs w:val="18"/>
                <w:lang w:eastAsia="en-AU"/>
              </w:rPr>
            </w:pPr>
            <w:r w:rsidRPr="001F70C4">
              <w:rPr>
                <w:rFonts w:eastAsia="Times New Roman" w:cs="Times New Roman"/>
                <w:color w:val="000000"/>
                <w:sz w:val="18"/>
                <w:szCs w:val="18"/>
                <w:lang w:eastAsia="en-AU"/>
              </w:rPr>
              <w:t>(</w:t>
            </w:r>
            <w:r w:rsidRPr="001F70C4">
              <w:rPr>
                <w:rFonts w:eastAsia="Times New Roman" w:cs="Times New Roman"/>
                <w:i/>
                <w:iCs/>
                <w:color w:val="000000"/>
                <w:sz w:val="18"/>
                <w:szCs w:val="18"/>
                <w:lang w:eastAsia="en-AU"/>
              </w:rPr>
              <w:t>Strongyloides</w:t>
            </w:r>
            <w:r w:rsidRPr="001F70C4">
              <w:rPr>
                <w:rFonts w:eastAsia="Times New Roman" w:cs="Times New Roman"/>
                <w:color w:val="000000"/>
                <w:sz w:val="18"/>
                <w:szCs w:val="18"/>
                <w:lang w:eastAsia="en-AU"/>
              </w:rPr>
              <w:t xml:space="preserve"> </w:t>
            </w:r>
            <w:r w:rsidRPr="001F70C4">
              <w:rPr>
                <w:rFonts w:eastAsia="Times New Roman" w:cs="Times New Roman"/>
                <w:i/>
                <w:iCs/>
                <w:color w:val="000000"/>
                <w:sz w:val="18"/>
                <w:szCs w:val="18"/>
                <w:lang w:eastAsia="en-AU"/>
              </w:rPr>
              <w:t>stercoralis</w:t>
            </w:r>
            <w:r w:rsidRPr="001F70C4">
              <w:rPr>
                <w:rFonts w:eastAsia="Times New Roman" w:cs="Times New Roman"/>
                <w:color w:val="000000"/>
                <w:sz w:val="18"/>
                <w:szCs w:val="18"/>
                <w:lang w:eastAsia="en-AU"/>
              </w:rPr>
              <w:t>)</w:t>
            </w:r>
          </w:p>
        </w:tc>
        <w:tc>
          <w:tcPr>
            <w:tcW w:w="1197" w:type="dxa"/>
            <w:tcMar>
              <w:left w:w="57" w:type="dxa"/>
              <w:right w:w="57" w:type="dxa"/>
            </w:tcMar>
            <w:vAlign w:val="center"/>
            <w:hideMark/>
          </w:tcPr>
          <w:p w14:paraId="2F843C24"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SsIR</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hideMark/>
          </w:tcPr>
          <w:p w14:paraId="7F03F915" w14:textId="1E7DB131" w:rsidR="009154C5" w:rsidRPr="001F70C4" w:rsidRDefault="00FD58A3" w:rsidP="00FE4CFD">
            <w:pPr>
              <w:spacing w:after="0" w:line="240" w:lineRule="auto"/>
              <w:rPr>
                <w:rFonts w:eastAsia="Times New Roman" w:cs="Times New Roman"/>
                <w:color w:val="000000"/>
                <w:sz w:val="18"/>
                <w:szCs w:val="18"/>
                <w:lang w:eastAsia="en-AU"/>
              </w:rPr>
            </w:pPr>
            <w:r w:rsidRPr="00FD58A3">
              <w:rPr>
                <w:rFonts w:eastAsia="Times New Roman" w:cs="Times New Roman"/>
                <w:color w:val="000000"/>
                <w:sz w:val="18"/>
                <w:szCs w:val="18"/>
                <w:lang w:eastAsia="en-AU"/>
              </w:rPr>
              <w:t xml:space="preserve">Seropositivity is consistent with past or current </w:t>
            </w:r>
            <w:r w:rsidRPr="00FD58A3">
              <w:rPr>
                <w:rFonts w:eastAsia="Times New Roman" w:cs="Times New Roman"/>
                <w:i/>
                <w:iCs/>
                <w:color w:val="000000"/>
                <w:sz w:val="18"/>
                <w:szCs w:val="18"/>
                <w:lang w:eastAsia="en-AU"/>
              </w:rPr>
              <w:t>S. stercoralis</w:t>
            </w:r>
            <w:r w:rsidRPr="00FD58A3">
              <w:rPr>
                <w:rFonts w:eastAsia="Times New Roman" w:cs="Times New Roman"/>
                <w:color w:val="000000"/>
                <w:sz w:val="18"/>
                <w:szCs w:val="18"/>
                <w:lang w:eastAsia="en-AU"/>
              </w:rPr>
              <w:t xml:space="preserve"> infection/exposure; high antibody responses may be indicative of current chronic infection.</w:t>
            </w:r>
          </w:p>
        </w:tc>
        <w:tc>
          <w:tcPr>
            <w:tcW w:w="1418" w:type="dxa"/>
            <w:tcMar>
              <w:left w:w="57" w:type="dxa"/>
              <w:right w:w="57" w:type="dxa"/>
            </w:tcMar>
            <w:vAlign w:val="center"/>
          </w:tcPr>
          <w:p w14:paraId="567789D2"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2505</w:t>
            </w:r>
          </w:p>
        </w:tc>
        <w:tc>
          <w:tcPr>
            <w:tcW w:w="1559" w:type="dxa"/>
            <w:tcMar>
              <w:left w:w="57" w:type="dxa"/>
              <w:right w:w="57" w:type="dxa"/>
            </w:tcMar>
            <w:vAlign w:val="center"/>
          </w:tcPr>
          <w:p w14:paraId="42EF2C68"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6C8779EE"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245D8BBC"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20</w:t>
            </w:r>
          </w:p>
        </w:tc>
        <w:tc>
          <w:tcPr>
            <w:tcW w:w="851" w:type="dxa"/>
            <w:tcMar>
              <w:left w:w="57" w:type="dxa"/>
              <w:right w:w="57" w:type="dxa"/>
            </w:tcMar>
            <w:vAlign w:val="center"/>
          </w:tcPr>
          <w:p w14:paraId="33C670E8"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7.2+2 M Urea</w:t>
            </w:r>
          </w:p>
        </w:tc>
      </w:tr>
      <w:tr w:rsidR="009154C5" w:rsidRPr="001F70C4" w14:paraId="0FDB1E46" w14:textId="77777777" w:rsidTr="00C05EDC">
        <w:trPr>
          <w:trHeight w:val="20"/>
        </w:trPr>
        <w:tc>
          <w:tcPr>
            <w:tcW w:w="1156" w:type="dxa"/>
            <w:vMerge w:val="restart"/>
            <w:tcMar>
              <w:left w:w="57" w:type="dxa"/>
              <w:right w:w="57" w:type="dxa"/>
            </w:tcMar>
            <w:vAlign w:val="center"/>
          </w:tcPr>
          <w:p w14:paraId="42D73DE0" w14:textId="77777777" w:rsidR="009154C5" w:rsidRPr="001F70C4" w:rsidRDefault="009154C5" w:rsidP="00FE4CFD">
            <w:pPr>
              <w:spacing w:after="0" w:line="240" w:lineRule="auto"/>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Arboviruses</w:t>
            </w:r>
          </w:p>
        </w:tc>
        <w:tc>
          <w:tcPr>
            <w:tcW w:w="1538" w:type="dxa"/>
            <w:vMerge w:val="restart"/>
            <w:tcMar>
              <w:left w:w="57" w:type="dxa"/>
              <w:right w:w="57" w:type="dxa"/>
            </w:tcMar>
            <w:vAlign w:val="center"/>
            <w:hideMark/>
          </w:tcPr>
          <w:p w14:paraId="566D9689"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 xml:space="preserve">Dengue virus </w:t>
            </w:r>
          </w:p>
          <w:p w14:paraId="4534EFA5" w14:textId="4220B9F4"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w:t>
            </w:r>
            <w:r w:rsidR="00485803" w:rsidRPr="001F70C4">
              <w:rPr>
                <w:rFonts w:eastAsia="Times New Roman" w:cs="Times New Roman"/>
                <w:color w:val="000000"/>
                <w:sz w:val="18"/>
                <w:szCs w:val="18"/>
                <w:lang w:eastAsia="en-AU"/>
              </w:rPr>
              <w:t>Serotypes</w:t>
            </w:r>
            <w:r w:rsidRPr="001F70C4">
              <w:rPr>
                <w:rFonts w:eastAsia="Times New Roman" w:cs="Times New Roman"/>
                <w:color w:val="000000"/>
                <w:sz w:val="18"/>
                <w:szCs w:val="18"/>
                <w:lang w:eastAsia="en-AU"/>
              </w:rPr>
              <w:t xml:space="preserve"> 1–4)</w:t>
            </w:r>
          </w:p>
        </w:tc>
        <w:tc>
          <w:tcPr>
            <w:tcW w:w="1197" w:type="dxa"/>
            <w:tcMar>
              <w:left w:w="57" w:type="dxa"/>
              <w:right w:w="57" w:type="dxa"/>
            </w:tcMar>
            <w:vAlign w:val="center"/>
            <w:hideMark/>
          </w:tcPr>
          <w:p w14:paraId="1ADA59AC"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NS1</w:t>
            </w:r>
            <w:r w:rsidRPr="001F70C4">
              <w:rPr>
                <w:rFonts w:eastAsia="Times New Roman" w:cs="Times New Roman"/>
                <w:color w:val="000000"/>
                <w:sz w:val="18"/>
                <w:szCs w:val="18"/>
                <w:lang w:eastAsia="en-AU"/>
              </w:rPr>
              <w:t xml:space="preserve">-1 </w:t>
            </w:r>
          </w:p>
        </w:tc>
        <w:tc>
          <w:tcPr>
            <w:tcW w:w="2630" w:type="dxa"/>
            <w:vMerge w:val="restart"/>
            <w:tcMar>
              <w:left w:w="57" w:type="dxa"/>
              <w:right w:w="57" w:type="dxa"/>
            </w:tcMar>
            <w:vAlign w:val="center"/>
            <w:hideMark/>
          </w:tcPr>
          <w:p w14:paraId="45AECEF6" w14:textId="570360F8" w:rsidR="009154C5" w:rsidRPr="001F70C4" w:rsidRDefault="00FD58A3" w:rsidP="00FE4CFD">
            <w:pPr>
              <w:spacing w:after="0" w:line="240" w:lineRule="auto"/>
              <w:rPr>
                <w:rFonts w:eastAsia="Times New Roman" w:cs="Times New Roman"/>
                <w:color w:val="000000"/>
                <w:sz w:val="18"/>
                <w:szCs w:val="18"/>
                <w:lang w:eastAsia="en-AU"/>
              </w:rPr>
            </w:pPr>
            <w:r w:rsidRPr="00FD58A3">
              <w:rPr>
                <w:rFonts w:eastAsia="Times New Roman" w:cs="Times New Roman"/>
                <w:color w:val="000000"/>
                <w:sz w:val="18"/>
                <w:szCs w:val="18"/>
                <w:lang w:eastAsia="en-AU"/>
              </w:rPr>
              <w:t>Seropositivity is consistent with past or current dengue/flavivirus infection or exposure. Serotype-specific responses should be interpreted cautiously because inter-serotype and flavivirus cross-reactivity limits attribution to the infecting DENV serotype.</w:t>
            </w:r>
          </w:p>
        </w:tc>
        <w:tc>
          <w:tcPr>
            <w:tcW w:w="1418" w:type="dxa"/>
            <w:tcMar>
              <w:left w:w="57" w:type="dxa"/>
              <w:right w:w="57" w:type="dxa"/>
            </w:tcMar>
            <w:vAlign w:val="center"/>
          </w:tcPr>
          <w:p w14:paraId="5E46850A"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5410</w:t>
            </w:r>
          </w:p>
        </w:tc>
        <w:tc>
          <w:tcPr>
            <w:tcW w:w="1559" w:type="dxa"/>
            <w:vMerge w:val="restart"/>
            <w:tcMar>
              <w:left w:w="57" w:type="dxa"/>
              <w:right w:w="57" w:type="dxa"/>
            </w:tcMar>
            <w:vAlign w:val="center"/>
          </w:tcPr>
          <w:p w14:paraId="526AAA05"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61097667"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Meridian Life Sciences</w:t>
            </w:r>
          </w:p>
        </w:tc>
        <w:tc>
          <w:tcPr>
            <w:tcW w:w="1417" w:type="dxa"/>
            <w:tcMar>
              <w:left w:w="57" w:type="dxa"/>
              <w:right w:w="57" w:type="dxa"/>
            </w:tcMar>
            <w:vAlign w:val="center"/>
          </w:tcPr>
          <w:p w14:paraId="43103F89"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12</w:t>
            </w:r>
          </w:p>
        </w:tc>
        <w:tc>
          <w:tcPr>
            <w:tcW w:w="851" w:type="dxa"/>
            <w:tcMar>
              <w:left w:w="57" w:type="dxa"/>
              <w:right w:w="57" w:type="dxa"/>
            </w:tcMar>
            <w:vAlign w:val="center"/>
          </w:tcPr>
          <w:p w14:paraId="616236BF"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70000E82" w14:textId="77777777" w:rsidTr="00C05EDC">
        <w:trPr>
          <w:trHeight w:val="20"/>
        </w:trPr>
        <w:tc>
          <w:tcPr>
            <w:tcW w:w="1156" w:type="dxa"/>
            <w:vMerge/>
            <w:tcMar>
              <w:left w:w="57" w:type="dxa"/>
              <w:right w:w="57" w:type="dxa"/>
            </w:tcMar>
            <w:vAlign w:val="center"/>
          </w:tcPr>
          <w:p w14:paraId="64251195"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vMerge/>
            <w:tcMar>
              <w:left w:w="57" w:type="dxa"/>
              <w:right w:w="57" w:type="dxa"/>
            </w:tcMar>
            <w:vAlign w:val="center"/>
          </w:tcPr>
          <w:p w14:paraId="7D207D22"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97" w:type="dxa"/>
            <w:tcMar>
              <w:left w:w="57" w:type="dxa"/>
              <w:right w:w="57" w:type="dxa"/>
            </w:tcMar>
            <w:vAlign w:val="center"/>
          </w:tcPr>
          <w:p w14:paraId="626D72C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NS1</w:t>
            </w:r>
            <w:r w:rsidRPr="001F70C4">
              <w:rPr>
                <w:rFonts w:eastAsia="Times New Roman" w:cs="Times New Roman"/>
                <w:color w:val="000000"/>
                <w:sz w:val="18"/>
                <w:szCs w:val="18"/>
                <w:lang w:eastAsia="en-AU"/>
              </w:rPr>
              <w:t xml:space="preserve">-2 </w:t>
            </w:r>
          </w:p>
        </w:tc>
        <w:tc>
          <w:tcPr>
            <w:tcW w:w="2630" w:type="dxa"/>
            <w:vMerge/>
            <w:tcMar>
              <w:left w:w="57" w:type="dxa"/>
              <w:right w:w="57" w:type="dxa"/>
            </w:tcMar>
            <w:vAlign w:val="center"/>
          </w:tcPr>
          <w:p w14:paraId="1BD9AFE3"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418" w:type="dxa"/>
            <w:tcMar>
              <w:left w:w="57" w:type="dxa"/>
              <w:right w:w="57" w:type="dxa"/>
            </w:tcMar>
            <w:vAlign w:val="center"/>
          </w:tcPr>
          <w:p w14:paraId="093D5EA7"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10068</w:t>
            </w:r>
          </w:p>
        </w:tc>
        <w:tc>
          <w:tcPr>
            <w:tcW w:w="1559" w:type="dxa"/>
            <w:vMerge/>
            <w:tcMar>
              <w:left w:w="57" w:type="dxa"/>
              <w:right w:w="57" w:type="dxa"/>
            </w:tcMar>
            <w:vAlign w:val="center"/>
          </w:tcPr>
          <w:p w14:paraId="1264CF37"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34" w:type="dxa"/>
            <w:tcMar>
              <w:left w:w="57" w:type="dxa"/>
              <w:right w:w="57" w:type="dxa"/>
            </w:tcMar>
            <w:vAlign w:val="center"/>
          </w:tcPr>
          <w:p w14:paraId="406E1A57"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Meridian Life Sciences</w:t>
            </w:r>
          </w:p>
        </w:tc>
        <w:tc>
          <w:tcPr>
            <w:tcW w:w="1417" w:type="dxa"/>
            <w:tcMar>
              <w:left w:w="57" w:type="dxa"/>
              <w:right w:w="57" w:type="dxa"/>
            </w:tcMar>
            <w:vAlign w:val="center"/>
          </w:tcPr>
          <w:p w14:paraId="5AF55FA2"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12</w:t>
            </w:r>
          </w:p>
        </w:tc>
        <w:tc>
          <w:tcPr>
            <w:tcW w:w="851" w:type="dxa"/>
            <w:tcMar>
              <w:left w:w="57" w:type="dxa"/>
              <w:right w:w="57" w:type="dxa"/>
            </w:tcMar>
            <w:vAlign w:val="center"/>
          </w:tcPr>
          <w:p w14:paraId="1262B68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287B37D1" w14:textId="77777777" w:rsidTr="00C05EDC">
        <w:trPr>
          <w:trHeight w:val="20"/>
        </w:trPr>
        <w:tc>
          <w:tcPr>
            <w:tcW w:w="1156" w:type="dxa"/>
            <w:vMerge/>
            <w:tcMar>
              <w:left w:w="57" w:type="dxa"/>
              <w:right w:w="57" w:type="dxa"/>
            </w:tcMar>
            <w:vAlign w:val="center"/>
          </w:tcPr>
          <w:p w14:paraId="4D399267"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vMerge/>
            <w:tcMar>
              <w:left w:w="57" w:type="dxa"/>
              <w:right w:w="57" w:type="dxa"/>
            </w:tcMar>
            <w:vAlign w:val="center"/>
          </w:tcPr>
          <w:p w14:paraId="34B258F4"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97" w:type="dxa"/>
            <w:tcMar>
              <w:left w:w="57" w:type="dxa"/>
              <w:right w:w="57" w:type="dxa"/>
            </w:tcMar>
            <w:vAlign w:val="center"/>
          </w:tcPr>
          <w:p w14:paraId="390B52D2" w14:textId="77777777" w:rsidR="009154C5" w:rsidRPr="001F70C4" w:rsidRDefault="009154C5" w:rsidP="00FE4CFD">
            <w:pPr>
              <w:spacing w:after="0" w:line="240" w:lineRule="auto"/>
              <w:rPr>
                <w:rFonts w:eastAsia="Times New Roman" w:cs="Times New Roman"/>
                <w:i/>
                <w:iCs/>
                <w:color w:val="000000"/>
                <w:sz w:val="18"/>
                <w:szCs w:val="18"/>
                <w:lang w:eastAsia="en-AU"/>
              </w:rPr>
            </w:pPr>
            <w:r w:rsidRPr="001F70C4">
              <w:rPr>
                <w:rFonts w:eastAsia="Times New Roman" w:cs="Times New Roman"/>
                <w:i/>
                <w:iCs/>
                <w:color w:val="000000"/>
                <w:sz w:val="18"/>
                <w:szCs w:val="18"/>
                <w:lang w:eastAsia="en-AU"/>
              </w:rPr>
              <w:t>NS1</w:t>
            </w:r>
            <w:r w:rsidRPr="001F70C4">
              <w:rPr>
                <w:rFonts w:eastAsia="Times New Roman" w:cs="Times New Roman"/>
                <w:color w:val="000000"/>
                <w:sz w:val="18"/>
                <w:szCs w:val="18"/>
                <w:lang w:eastAsia="en-AU"/>
              </w:rPr>
              <w:t>-3</w:t>
            </w:r>
          </w:p>
        </w:tc>
        <w:tc>
          <w:tcPr>
            <w:tcW w:w="2630" w:type="dxa"/>
            <w:vMerge/>
            <w:tcMar>
              <w:left w:w="57" w:type="dxa"/>
              <w:right w:w="57" w:type="dxa"/>
            </w:tcMar>
            <w:vAlign w:val="center"/>
          </w:tcPr>
          <w:p w14:paraId="02751563"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418" w:type="dxa"/>
            <w:tcMar>
              <w:left w:w="57" w:type="dxa"/>
              <w:right w:w="57" w:type="dxa"/>
            </w:tcMar>
            <w:vAlign w:val="center"/>
          </w:tcPr>
          <w:p w14:paraId="60C23B4C"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10092</w:t>
            </w:r>
          </w:p>
        </w:tc>
        <w:tc>
          <w:tcPr>
            <w:tcW w:w="1559" w:type="dxa"/>
            <w:vMerge/>
            <w:tcMar>
              <w:left w:w="57" w:type="dxa"/>
              <w:right w:w="57" w:type="dxa"/>
            </w:tcMar>
            <w:vAlign w:val="center"/>
          </w:tcPr>
          <w:p w14:paraId="1669C5A1"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34" w:type="dxa"/>
            <w:tcMar>
              <w:left w:w="57" w:type="dxa"/>
              <w:right w:w="57" w:type="dxa"/>
            </w:tcMar>
            <w:vAlign w:val="center"/>
          </w:tcPr>
          <w:p w14:paraId="72CF74FF"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Meridian Life Sciences</w:t>
            </w:r>
          </w:p>
        </w:tc>
        <w:tc>
          <w:tcPr>
            <w:tcW w:w="1417" w:type="dxa"/>
            <w:tcMar>
              <w:left w:w="57" w:type="dxa"/>
              <w:right w:w="57" w:type="dxa"/>
            </w:tcMar>
            <w:vAlign w:val="center"/>
          </w:tcPr>
          <w:p w14:paraId="1BC84DB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12</w:t>
            </w:r>
          </w:p>
        </w:tc>
        <w:tc>
          <w:tcPr>
            <w:tcW w:w="851" w:type="dxa"/>
            <w:tcMar>
              <w:left w:w="57" w:type="dxa"/>
              <w:right w:w="57" w:type="dxa"/>
            </w:tcMar>
            <w:vAlign w:val="center"/>
          </w:tcPr>
          <w:p w14:paraId="6E5AB268"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1BADDA5F" w14:textId="77777777" w:rsidTr="00C05EDC">
        <w:trPr>
          <w:trHeight w:val="20"/>
        </w:trPr>
        <w:tc>
          <w:tcPr>
            <w:tcW w:w="1156" w:type="dxa"/>
            <w:vMerge/>
            <w:tcMar>
              <w:left w:w="57" w:type="dxa"/>
              <w:right w:w="57" w:type="dxa"/>
            </w:tcMar>
            <w:vAlign w:val="center"/>
          </w:tcPr>
          <w:p w14:paraId="1A192678"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vMerge/>
            <w:tcMar>
              <w:left w:w="57" w:type="dxa"/>
              <w:right w:w="57" w:type="dxa"/>
            </w:tcMar>
            <w:vAlign w:val="center"/>
          </w:tcPr>
          <w:p w14:paraId="51E57F64"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97" w:type="dxa"/>
            <w:tcMar>
              <w:left w:w="57" w:type="dxa"/>
              <w:right w:w="57" w:type="dxa"/>
            </w:tcMar>
            <w:vAlign w:val="center"/>
          </w:tcPr>
          <w:p w14:paraId="6C550933" w14:textId="77777777" w:rsidR="009154C5" w:rsidRPr="001F70C4" w:rsidRDefault="009154C5" w:rsidP="00FE4CFD">
            <w:pPr>
              <w:spacing w:after="0" w:line="240" w:lineRule="auto"/>
              <w:rPr>
                <w:rFonts w:eastAsia="Times New Roman" w:cs="Times New Roman"/>
                <w:i/>
                <w:iCs/>
                <w:color w:val="000000"/>
                <w:sz w:val="18"/>
                <w:szCs w:val="18"/>
                <w:lang w:eastAsia="en-AU"/>
              </w:rPr>
            </w:pPr>
            <w:r w:rsidRPr="001F70C4">
              <w:rPr>
                <w:rFonts w:eastAsia="Times New Roman" w:cs="Times New Roman"/>
                <w:i/>
                <w:iCs/>
                <w:color w:val="000000"/>
                <w:sz w:val="18"/>
                <w:szCs w:val="18"/>
                <w:lang w:eastAsia="en-AU"/>
              </w:rPr>
              <w:t>NS1</w:t>
            </w:r>
            <w:r w:rsidRPr="001F70C4">
              <w:rPr>
                <w:rFonts w:eastAsia="Times New Roman" w:cs="Times New Roman"/>
                <w:color w:val="000000"/>
                <w:sz w:val="18"/>
                <w:szCs w:val="18"/>
                <w:lang w:eastAsia="en-AU"/>
              </w:rPr>
              <w:t>-4</w:t>
            </w:r>
          </w:p>
        </w:tc>
        <w:tc>
          <w:tcPr>
            <w:tcW w:w="2630" w:type="dxa"/>
            <w:vMerge/>
            <w:tcMar>
              <w:left w:w="57" w:type="dxa"/>
              <w:right w:w="57" w:type="dxa"/>
            </w:tcMar>
            <w:vAlign w:val="center"/>
          </w:tcPr>
          <w:p w14:paraId="154EDC9F"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418" w:type="dxa"/>
            <w:tcMar>
              <w:left w:w="57" w:type="dxa"/>
              <w:right w:w="57" w:type="dxa"/>
            </w:tcMar>
            <w:vAlign w:val="center"/>
          </w:tcPr>
          <w:p w14:paraId="0D72733E"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807</w:t>
            </w:r>
          </w:p>
        </w:tc>
        <w:tc>
          <w:tcPr>
            <w:tcW w:w="1559" w:type="dxa"/>
            <w:vMerge/>
            <w:tcMar>
              <w:left w:w="57" w:type="dxa"/>
              <w:right w:w="57" w:type="dxa"/>
            </w:tcMar>
            <w:vAlign w:val="center"/>
          </w:tcPr>
          <w:p w14:paraId="7ABBBCD4"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34" w:type="dxa"/>
            <w:tcMar>
              <w:left w:w="57" w:type="dxa"/>
              <w:right w:w="57" w:type="dxa"/>
            </w:tcMar>
            <w:vAlign w:val="center"/>
          </w:tcPr>
          <w:p w14:paraId="0F4810C6"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Meridian Life Sciences</w:t>
            </w:r>
          </w:p>
        </w:tc>
        <w:tc>
          <w:tcPr>
            <w:tcW w:w="1417" w:type="dxa"/>
            <w:tcMar>
              <w:left w:w="57" w:type="dxa"/>
              <w:right w:w="57" w:type="dxa"/>
            </w:tcMar>
            <w:vAlign w:val="center"/>
          </w:tcPr>
          <w:p w14:paraId="5AB823DD"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12</w:t>
            </w:r>
          </w:p>
        </w:tc>
        <w:tc>
          <w:tcPr>
            <w:tcW w:w="851" w:type="dxa"/>
            <w:tcMar>
              <w:left w:w="57" w:type="dxa"/>
              <w:right w:w="57" w:type="dxa"/>
            </w:tcMar>
            <w:vAlign w:val="center"/>
          </w:tcPr>
          <w:p w14:paraId="6544CE5E"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04AEE534" w14:textId="77777777" w:rsidTr="00C05EDC">
        <w:trPr>
          <w:trHeight w:val="20"/>
        </w:trPr>
        <w:tc>
          <w:tcPr>
            <w:tcW w:w="1156" w:type="dxa"/>
            <w:vMerge/>
            <w:tcMar>
              <w:left w:w="57" w:type="dxa"/>
              <w:right w:w="57" w:type="dxa"/>
            </w:tcMar>
            <w:vAlign w:val="center"/>
          </w:tcPr>
          <w:p w14:paraId="779F2967"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tcMar>
              <w:left w:w="57" w:type="dxa"/>
              <w:right w:w="57" w:type="dxa"/>
            </w:tcMar>
            <w:vAlign w:val="center"/>
            <w:hideMark/>
          </w:tcPr>
          <w:p w14:paraId="30044BC8"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Chikungunya virus</w:t>
            </w:r>
          </w:p>
        </w:tc>
        <w:tc>
          <w:tcPr>
            <w:tcW w:w="1197" w:type="dxa"/>
            <w:tcMar>
              <w:left w:w="57" w:type="dxa"/>
              <w:right w:w="57" w:type="dxa"/>
            </w:tcMar>
            <w:vAlign w:val="center"/>
            <w:hideMark/>
          </w:tcPr>
          <w:p w14:paraId="2FDBF8C5"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Chik E1</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hideMark/>
          </w:tcPr>
          <w:p w14:paraId="24E3717D" w14:textId="0264D102" w:rsidR="009154C5" w:rsidRPr="001F70C4" w:rsidRDefault="00B16CC8" w:rsidP="00FE4CFD">
            <w:pPr>
              <w:spacing w:after="0" w:line="240" w:lineRule="auto"/>
              <w:rPr>
                <w:rFonts w:eastAsia="Times New Roman" w:cs="Times New Roman"/>
                <w:color w:val="000000"/>
                <w:sz w:val="18"/>
                <w:szCs w:val="18"/>
                <w:lang w:eastAsia="en-AU"/>
              </w:rPr>
            </w:pPr>
            <w:r w:rsidRPr="00B16CC8">
              <w:rPr>
                <w:rFonts w:eastAsia="Times New Roman" w:cs="Times New Roman"/>
                <w:color w:val="000000"/>
                <w:sz w:val="18"/>
                <w:szCs w:val="18"/>
                <w:lang w:eastAsia="en-AU"/>
              </w:rPr>
              <w:t>Seropositivity is consistent with past or current chikungunya virus infection/exposure but does not, in isolation, confirm active infection at the time of sampling</w:t>
            </w:r>
            <w:r w:rsidR="006B67A5">
              <w:rPr>
                <w:rFonts w:eastAsia="Times New Roman" w:cs="Times New Roman"/>
                <w:color w:val="000000"/>
                <w:sz w:val="18"/>
                <w:szCs w:val="18"/>
                <w:lang w:eastAsia="en-AU"/>
              </w:rPr>
              <w:t>.</w:t>
            </w:r>
          </w:p>
        </w:tc>
        <w:tc>
          <w:tcPr>
            <w:tcW w:w="1418" w:type="dxa"/>
            <w:tcMar>
              <w:left w:w="57" w:type="dxa"/>
              <w:right w:w="57" w:type="dxa"/>
            </w:tcMar>
            <w:vAlign w:val="center"/>
          </w:tcPr>
          <w:p w14:paraId="44858CA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5914</w:t>
            </w:r>
          </w:p>
        </w:tc>
        <w:tc>
          <w:tcPr>
            <w:tcW w:w="1559" w:type="dxa"/>
            <w:tcMar>
              <w:left w:w="57" w:type="dxa"/>
              <w:right w:w="57" w:type="dxa"/>
            </w:tcMar>
            <w:vAlign w:val="center"/>
          </w:tcPr>
          <w:p w14:paraId="5272682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0A13109E"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Meridian Life Sciences</w:t>
            </w:r>
          </w:p>
        </w:tc>
        <w:tc>
          <w:tcPr>
            <w:tcW w:w="1417" w:type="dxa"/>
            <w:tcMar>
              <w:left w:w="57" w:type="dxa"/>
              <w:right w:w="57" w:type="dxa"/>
            </w:tcMar>
            <w:vAlign w:val="center"/>
          </w:tcPr>
          <w:p w14:paraId="18712C75"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7.5</w:t>
            </w:r>
          </w:p>
        </w:tc>
        <w:tc>
          <w:tcPr>
            <w:tcW w:w="851" w:type="dxa"/>
            <w:tcMar>
              <w:left w:w="57" w:type="dxa"/>
              <w:right w:w="57" w:type="dxa"/>
            </w:tcMar>
            <w:vAlign w:val="center"/>
          </w:tcPr>
          <w:p w14:paraId="48C33AAD"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4B084B20" w14:textId="77777777" w:rsidTr="00C05EDC">
        <w:trPr>
          <w:trHeight w:val="20"/>
        </w:trPr>
        <w:tc>
          <w:tcPr>
            <w:tcW w:w="1156" w:type="dxa"/>
            <w:vMerge/>
            <w:tcMar>
              <w:left w:w="57" w:type="dxa"/>
              <w:right w:w="57" w:type="dxa"/>
            </w:tcMar>
            <w:vAlign w:val="center"/>
          </w:tcPr>
          <w:p w14:paraId="449BB403"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tcMar>
              <w:left w:w="57" w:type="dxa"/>
              <w:right w:w="57" w:type="dxa"/>
            </w:tcMar>
            <w:vAlign w:val="center"/>
            <w:hideMark/>
          </w:tcPr>
          <w:p w14:paraId="2455B2CE"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Zika virus</w:t>
            </w:r>
          </w:p>
        </w:tc>
        <w:tc>
          <w:tcPr>
            <w:tcW w:w="1197" w:type="dxa"/>
            <w:tcMar>
              <w:left w:w="57" w:type="dxa"/>
              <w:right w:w="57" w:type="dxa"/>
            </w:tcMar>
            <w:vAlign w:val="center"/>
            <w:hideMark/>
          </w:tcPr>
          <w:p w14:paraId="06B948E7"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Zika NS1</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hideMark/>
          </w:tcPr>
          <w:p w14:paraId="0D2E8503" w14:textId="578242F0" w:rsidR="009154C5" w:rsidRPr="001F70C4" w:rsidRDefault="00B16CC8" w:rsidP="00FE4CFD">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 xml:space="preserve">Seropositivity </w:t>
            </w:r>
            <w:r w:rsidRPr="00B16CC8">
              <w:rPr>
                <w:rFonts w:eastAsia="Times New Roman" w:cs="Times New Roman"/>
                <w:color w:val="000000"/>
                <w:sz w:val="18"/>
                <w:szCs w:val="18"/>
                <w:lang w:eastAsia="en-AU"/>
              </w:rPr>
              <w:t>is consistent with past or current Zika/flavivirus infection or exposure; potential flavivirus cross-reactivity should be considered and seropositivity does not, in isolation, confirm active infection.</w:t>
            </w:r>
          </w:p>
        </w:tc>
        <w:tc>
          <w:tcPr>
            <w:tcW w:w="1418" w:type="dxa"/>
            <w:tcMar>
              <w:left w:w="57" w:type="dxa"/>
              <w:right w:w="57" w:type="dxa"/>
            </w:tcMar>
            <w:vAlign w:val="center"/>
          </w:tcPr>
          <w:p w14:paraId="4CB17551"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18013</w:t>
            </w:r>
          </w:p>
        </w:tc>
        <w:tc>
          <w:tcPr>
            <w:tcW w:w="1559" w:type="dxa"/>
            <w:tcMar>
              <w:left w:w="57" w:type="dxa"/>
              <w:right w:w="57" w:type="dxa"/>
            </w:tcMar>
            <w:vAlign w:val="center"/>
          </w:tcPr>
          <w:p w14:paraId="4EEE8B3A"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30601201"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Meridian Life Sciences</w:t>
            </w:r>
          </w:p>
        </w:tc>
        <w:tc>
          <w:tcPr>
            <w:tcW w:w="1417" w:type="dxa"/>
            <w:tcMar>
              <w:left w:w="57" w:type="dxa"/>
              <w:right w:w="57" w:type="dxa"/>
            </w:tcMar>
            <w:vAlign w:val="center"/>
          </w:tcPr>
          <w:p w14:paraId="709F7359"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30</w:t>
            </w:r>
          </w:p>
        </w:tc>
        <w:tc>
          <w:tcPr>
            <w:tcW w:w="851" w:type="dxa"/>
            <w:tcMar>
              <w:left w:w="57" w:type="dxa"/>
              <w:right w:w="57" w:type="dxa"/>
            </w:tcMar>
            <w:vAlign w:val="center"/>
          </w:tcPr>
          <w:p w14:paraId="30190602"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4E713968" w14:textId="77777777" w:rsidTr="00C05EDC">
        <w:trPr>
          <w:trHeight w:val="20"/>
        </w:trPr>
        <w:tc>
          <w:tcPr>
            <w:tcW w:w="1156" w:type="dxa"/>
            <w:vMerge w:val="restart"/>
            <w:tcMar>
              <w:left w:w="57" w:type="dxa"/>
              <w:right w:w="57" w:type="dxa"/>
            </w:tcMar>
            <w:vAlign w:val="center"/>
          </w:tcPr>
          <w:p w14:paraId="1836E0A5" w14:textId="77777777" w:rsidR="009154C5" w:rsidRPr="001F70C4" w:rsidRDefault="009154C5" w:rsidP="00FE4CFD">
            <w:pPr>
              <w:spacing w:after="0" w:line="240" w:lineRule="auto"/>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Vaccine-preventable diseases</w:t>
            </w:r>
          </w:p>
        </w:tc>
        <w:tc>
          <w:tcPr>
            <w:tcW w:w="1538" w:type="dxa"/>
            <w:tcMar>
              <w:left w:w="57" w:type="dxa"/>
              <w:right w:w="57" w:type="dxa"/>
            </w:tcMar>
            <w:vAlign w:val="center"/>
            <w:hideMark/>
          </w:tcPr>
          <w:p w14:paraId="0C54E18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Diphtheria</w:t>
            </w:r>
          </w:p>
          <w:p w14:paraId="2F5BB0E3"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w:t>
            </w:r>
            <w:r w:rsidRPr="001F70C4">
              <w:rPr>
                <w:rFonts w:eastAsia="Times New Roman" w:cs="Times New Roman"/>
                <w:i/>
                <w:iCs/>
                <w:color w:val="000000"/>
                <w:sz w:val="18"/>
                <w:szCs w:val="18"/>
                <w:lang w:eastAsia="en-AU"/>
              </w:rPr>
              <w:t>Corynebacterium diphtheriae</w:t>
            </w:r>
            <w:r w:rsidRPr="001F70C4">
              <w:rPr>
                <w:rFonts w:eastAsia="Times New Roman" w:cs="Times New Roman"/>
                <w:color w:val="000000"/>
                <w:sz w:val="18"/>
                <w:szCs w:val="18"/>
                <w:lang w:eastAsia="en-AU"/>
              </w:rPr>
              <w:t>) </w:t>
            </w:r>
          </w:p>
        </w:tc>
        <w:tc>
          <w:tcPr>
            <w:tcW w:w="1197" w:type="dxa"/>
            <w:tcMar>
              <w:left w:w="57" w:type="dxa"/>
              <w:right w:w="57" w:type="dxa"/>
            </w:tcMar>
            <w:hideMark/>
          </w:tcPr>
          <w:p w14:paraId="6B9DAF95" w14:textId="77777777" w:rsidR="009154C5" w:rsidRPr="001F70C4" w:rsidRDefault="009154C5" w:rsidP="00FE4CFD">
            <w:pPr>
              <w:spacing w:after="0" w:line="240" w:lineRule="auto"/>
              <w:rPr>
                <w:rFonts w:eastAsia="Times New Roman" w:cs="Times New Roman"/>
                <w:i/>
                <w:iCs/>
                <w:color w:val="000000"/>
                <w:sz w:val="18"/>
                <w:szCs w:val="18"/>
                <w:lang w:eastAsia="en-AU"/>
              </w:rPr>
            </w:pPr>
            <w:r w:rsidRPr="001F70C4">
              <w:rPr>
                <w:rFonts w:eastAsia="Times New Roman" w:cs="Times New Roman"/>
                <w:color w:val="000000"/>
                <w:sz w:val="18"/>
                <w:szCs w:val="18"/>
                <w:lang w:eastAsia="en-AU"/>
              </w:rPr>
              <w:t>Diphtheria toxoid</w:t>
            </w:r>
          </w:p>
        </w:tc>
        <w:tc>
          <w:tcPr>
            <w:tcW w:w="2630" w:type="dxa"/>
            <w:vMerge w:val="restart"/>
            <w:tcMar>
              <w:left w:w="57" w:type="dxa"/>
              <w:right w:w="57" w:type="dxa"/>
            </w:tcMar>
            <w:vAlign w:val="center"/>
          </w:tcPr>
          <w:p w14:paraId="1B65CD09" w14:textId="36103E7E" w:rsidR="009154C5" w:rsidRPr="001F70C4" w:rsidRDefault="00092AB0" w:rsidP="00097D50">
            <w:pPr>
              <w:spacing w:after="0" w:line="240" w:lineRule="auto"/>
              <w:rPr>
                <w:rFonts w:eastAsia="Times New Roman" w:cs="Times New Roman"/>
                <w:color w:val="000000"/>
                <w:sz w:val="18"/>
                <w:szCs w:val="18"/>
                <w:lang w:eastAsia="en-AU"/>
              </w:rPr>
            </w:pPr>
            <w:r w:rsidRPr="00092AB0">
              <w:rPr>
                <w:rFonts w:eastAsia="Times New Roman" w:cs="Times New Roman"/>
                <w:color w:val="000000"/>
                <w:sz w:val="18"/>
                <w:szCs w:val="18"/>
                <w:lang w:eastAsia="en-AU"/>
              </w:rPr>
              <w:t xml:space="preserve">Vaccine-acquired immunity. Detectable antibody at or above the minimum protection threshold (≥0.01 IU/mL) is consistent with prior vaccination or infection and indicates a minimum level of protection. Antibody concentrations at or above the maximum protection threshold (≥0.1 IU/mL) are considered indicative of full protection. These thresholds represent established serological correlates of protection </w:t>
            </w:r>
            <w:r w:rsidRPr="00092AB0">
              <w:rPr>
                <w:rFonts w:eastAsia="Times New Roman" w:cs="Times New Roman"/>
                <w:color w:val="000000"/>
                <w:sz w:val="18"/>
                <w:szCs w:val="18"/>
                <w:lang w:eastAsia="en-AU"/>
              </w:rPr>
              <w:lastRenderedPageBreak/>
              <w:t>rather than absolute measures of individual immunity.</w:t>
            </w:r>
          </w:p>
        </w:tc>
        <w:tc>
          <w:tcPr>
            <w:tcW w:w="1418" w:type="dxa"/>
            <w:tcMar>
              <w:left w:w="57" w:type="dxa"/>
              <w:right w:w="57" w:type="dxa"/>
            </w:tcMar>
            <w:vAlign w:val="center"/>
          </w:tcPr>
          <w:p w14:paraId="2B7786F2" w14:textId="124A1CED" w:rsidR="009154C5" w:rsidRPr="00485803" w:rsidRDefault="00112E34" w:rsidP="004328F8">
            <w:pPr>
              <w:spacing w:after="0"/>
              <w:rPr>
                <w:rFonts w:eastAsia="Times New Roman" w:cs="Times New Roman"/>
                <w:color w:val="000000"/>
                <w:sz w:val="18"/>
                <w:szCs w:val="18"/>
                <w:lang w:eastAsia="en-AU"/>
              </w:rPr>
            </w:pPr>
            <w:r w:rsidRPr="00485803">
              <w:rPr>
                <w:rFonts w:eastAsia="Times New Roman" w:cs="Times New Roman"/>
                <w:color w:val="000000"/>
                <w:sz w:val="18"/>
                <w:szCs w:val="18"/>
                <w:lang w:eastAsia="en-AU"/>
              </w:rPr>
              <w:lastRenderedPageBreak/>
              <w:t>507 / 10058</w:t>
            </w:r>
          </w:p>
        </w:tc>
        <w:tc>
          <w:tcPr>
            <w:tcW w:w="1559" w:type="dxa"/>
            <w:tcMar>
              <w:left w:w="57" w:type="dxa"/>
              <w:right w:w="57" w:type="dxa"/>
            </w:tcMar>
            <w:vAlign w:val="center"/>
          </w:tcPr>
          <w:p w14:paraId="2380BFFE" w14:textId="51C492A4" w:rsidR="009154C5" w:rsidRPr="00485803" w:rsidRDefault="009154C5" w:rsidP="004328F8">
            <w:pPr>
              <w:spacing w:after="0"/>
              <w:rPr>
                <w:rFonts w:eastAsia="Times New Roman" w:cs="Times New Roman"/>
                <w:color w:val="000000"/>
                <w:sz w:val="18"/>
                <w:szCs w:val="18"/>
                <w:lang w:eastAsia="en-AU"/>
              </w:rPr>
            </w:pPr>
            <w:r w:rsidRPr="00485803">
              <w:rPr>
                <w:rFonts w:eastAsia="Times New Roman" w:cs="Times New Roman"/>
                <w:color w:val="000000"/>
                <w:sz w:val="18"/>
                <w:szCs w:val="18"/>
                <w:lang w:eastAsia="en-AU"/>
              </w:rPr>
              <w:t>Standard curve (0.01</w:t>
            </w:r>
            <w:r w:rsidR="00112E34" w:rsidRPr="00485803">
              <w:rPr>
                <w:rFonts w:eastAsia="Times New Roman" w:cs="Times New Roman"/>
                <w:color w:val="000000"/>
                <w:sz w:val="18"/>
                <w:szCs w:val="18"/>
                <w:lang w:eastAsia="en-AU"/>
              </w:rPr>
              <w:t>/0.1</w:t>
            </w:r>
            <w:r w:rsidRPr="00485803">
              <w:rPr>
                <w:rFonts w:eastAsia="Times New Roman" w:cs="Times New Roman"/>
                <w:color w:val="000000"/>
                <w:sz w:val="18"/>
                <w:szCs w:val="18"/>
                <w:lang w:eastAsia="en-AU"/>
              </w:rPr>
              <w:t xml:space="preserve"> IU/mL)</w:t>
            </w:r>
          </w:p>
        </w:tc>
        <w:tc>
          <w:tcPr>
            <w:tcW w:w="1134" w:type="dxa"/>
            <w:tcMar>
              <w:left w:w="57" w:type="dxa"/>
              <w:right w:w="57" w:type="dxa"/>
            </w:tcMar>
            <w:vAlign w:val="center"/>
          </w:tcPr>
          <w:p w14:paraId="1D523117" w14:textId="77777777" w:rsidR="009154C5" w:rsidRPr="00485803" w:rsidRDefault="009154C5" w:rsidP="004328F8">
            <w:pPr>
              <w:spacing w:after="0" w:line="240" w:lineRule="auto"/>
              <w:rPr>
                <w:rFonts w:eastAsia="Times New Roman" w:cs="Times New Roman"/>
                <w:color w:val="000000"/>
                <w:sz w:val="18"/>
                <w:szCs w:val="18"/>
                <w:lang w:eastAsia="en-AU"/>
              </w:rPr>
            </w:pPr>
            <w:r w:rsidRPr="00485803">
              <w:rPr>
                <w:rFonts w:eastAsia="Times New Roman" w:cs="Times New Roman"/>
                <w:color w:val="000000"/>
                <w:sz w:val="18"/>
                <w:szCs w:val="18"/>
                <w:lang w:eastAsia="en-AU"/>
              </w:rPr>
              <w:t>WHO Int TE-3</w:t>
            </w:r>
          </w:p>
        </w:tc>
        <w:tc>
          <w:tcPr>
            <w:tcW w:w="1417" w:type="dxa"/>
            <w:tcMar>
              <w:left w:w="57" w:type="dxa"/>
              <w:right w:w="57" w:type="dxa"/>
            </w:tcMar>
            <w:vAlign w:val="center"/>
          </w:tcPr>
          <w:p w14:paraId="75321392" w14:textId="77777777" w:rsidR="009154C5" w:rsidRPr="00485803" w:rsidRDefault="009154C5" w:rsidP="004328F8">
            <w:pPr>
              <w:rPr>
                <w:rFonts w:eastAsia="Times New Roman" w:cs="Times New Roman"/>
                <w:color w:val="000000"/>
                <w:sz w:val="18"/>
                <w:szCs w:val="18"/>
                <w:lang w:eastAsia="en-AU"/>
              </w:rPr>
            </w:pPr>
            <w:r w:rsidRPr="00485803">
              <w:rPr>
                <w:rFonts w:eastAsia="Times New Roman" w:cs="Times New Roman"/>
                <w:color w:val="000000"/>
                <w:sz w:val="18"/>
                <w:szCs w:val="18"/>
                <w:lang w:eastAsia="en-AU"/>
              </w:rPr>
              <w:t>60</w:t>
            </w:r>
          </w:p>
        </w:tc>
        <w:tc>
          <w:tcPr>
            <w:tcW w:w="851" w:type="dxa"/>
            <w:tcMar>
              <w:left w:w="57" w:type="dxa"/>
              <w:right w:w="57" w:type="dxa"/>
            </w:tcMar>
            <w:vAlign w:val="center"/>
          </w:tcPr>
          <w:p w14:paraId="1D25CE8A" w14:textId="77777777" w:rsidR="009154C5" w:rsidRPr="00485803" w:rsidRDefault="009154C5" w:rsidP="004328F8">
            <w:pPr>
              <w:rPr>
                <w:rFonts w:eastAsia="Times New Roman" w:cs="Times New Roman"/>
                <w:color w:val="000000"/>
                <w:sz w:val="18"/>
                <w:szCs w:val="18"/>
                <w:lang w:eastAsia="en-AU"/>
              </w:rPr>
            </w:pPr>
            <w:r w:rsidRPr="00485803">
              <w:rPr>
                <w:rFonts w:eastAsia="Times New Roman" w:cs="Times New Roman"/>
                <w:color w:val="000000"/>
                <w:sz w:val="18"/>
                <w:szCs w:val="18"/>
                <w:lang w:eastAsia="en-AU"/>
              </w:rPr>
              <w:t>5</w:t>
            </w:r>
          </w:p>
        </w:tc>
      </w:tr>
      <w:tr w:rsidR="009154C5" w:rsidRPr="001F70C4" w14:paraId="30BC5083" w14:textId="77777777" w:rsidTr="00C05EDC">
        <w:trPr>
          <w:trHeight w:val="365"/>
        </w:trPr>
        <w:tc>
          <w:tcPr>
            <w:tcW w:w="1156" w:type="dxa"/>
            <w:vMerge/>
            <w:tcMar>
              <w:left w:w="57" w:type="dxa"/>
              <w:right w:w="57" w:type="dxa"/>
            </w:tcMar>
            <w:vAlign w:val="center"/>
          </w:tcPr>
          <w:p w14:paraId="68B42A3D"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tcMar>
              <w:left w:w="57" w:type="dxa"/>
              <w:right w:w="57" w:type="dxa"/>
            </w:tcMar>
            <w:vAlign w:val="center"/>
          </w:tcPr>
          <w:p w14:paraId="62C54FB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Tetanus</w:t>
            </w:r>
          </w:p>
          <w:p w14:paraId="4690B683"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w:t>
            </w:r>
            <w:r w:rsidRPr="001F70C4">
              <w:rPr>
                <w:rFonts w:eastAsia="Times New Roman" w:cs="Times New Roman"/>
                <w:i/>
                <w:iCs/>
                <w:color w:val="000000"/>
                <w:sz w:val="18"/>
                <w:szCs w:val="18"/>
                <w:lang w:eastAsia="en-AU"/>
              </w:rPr>
              <w:t>Clostridium tetani</w:t>
            </w:r>
            <w:r w:rsidRPr="001F70C4">
              <w:rPr>
                <w:rFonts w:eastAsia="Times New Roman" w:cs="Times New Roman"/>
                <w:color w:val="000000"/>
                <w:sz w:val="18"/>
                <w:szCs w:val="18"/>
                <w:lang w:eastAsia="en-AU"/>
              </w:rPr>
              <w:t>)</w:t>
            </w:r>
          </w:p>
        </w:tc>
        <w:tc>
          <w:tcPr>
            <w:tcW w:w="1197" w:type="dxa"/>
            <w:tcMar>
              <w:left w:w="57" w:type="dxa"/>
              <w:right w:w="57" w:type="dxa"/>
            </w:tcMar>
            <w:vAlign w:val="center"/>
          </w:tcPr>
          <w:p w14:paraId="38B6A9EA" w14:textId="77777777" w:rsidR="009154C5" w:rsidRPr="001F70C4" w:rsidRDefault="009154C5" w:rsidP="002056C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Tetanus toxoid</w:t>
            </w:r>
          </w:p>
        </w:tc>
        <w:tc>
          <w:tcPr>
            <w:tcW w:w="2630" w:type="dxa"/>
            <w:vMerge/>
            <w:tcMar>
              <w:left w:w="57" w:type="dxa"/>
              <w:right w:w="57" w:type="dxa"/>
            </w:tcMar>
            <w:vAlign w:val="center"/>
          </w:tcPr>
          <w:p w14:paraId="52A1462E"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418" w:type="dxa"/>
            <w:tcMar>
              <w:left w:w="57" w:type="dxa"/>
              <w:right w:w="57" w:type="dxa"/>
            </w:tcMar>
            <w:vAlign w:val="center"/>
          </w:tcPr>
          <w:p w14:paraId="100E3A31" w14:textId="13899FFF" w:rsidR="009154C5" w:rsidRPr="00485803" w:rsidRDefault="00112E34" w:rsidP="00FE4CFD">
            <w:pPr>
              <w:spacing w:after="0" w:line="240" w:lineRule="auto"/>
              <w:rPr>
                <w:rFonts w:eastAsia="Times New Roman" w:cs="Times New Roman"/>
                <w:color w:val="000000"/>
                <w:sz w:val="18"/>
                <w:szCs w:val="18"/>
                <w:lang w:eastAsia="en-AU"/>
              </w:rPr>
            </w:pPr>
            <w:r w:rsidRPr="00485803">
              <w:rPr>
                <w:rFonts w:eastAsia="Times New Roman" w:cs="Times New Roman"/>
                <w:color w:val="000000"/>
                <w:sz w:val="18"/>
                <w:szCs w:val="18"/>
                <w:lang w:eastAsia="en-AU"/>
              </w:rPr>
              <w:t>159 / 2781</w:t>
            </w:r>
          </w:p>
        </w:tc>
        <w:tc>
          <w:tcPr>
            <w:tcW w:w="1559" w:type="dxa"/>
            <w:tcMar>
              <w:left w:w="57" w:type="dxa"/>
              <w:right w:w="57" w:type="dxa"/>
            </w:tcMar>
            <w:vAlign w:val="center"/>
          </w:tcPr>
          <w:p w14:paraId="0CDB175C" w14:textId="7D416B76" w:rsidR="009154C5" w:rsidRPr="00485803" w:rsidRDefault="009154C5" w:rsidP="00FE4CFD">
            <w:pPr>
              <w:spacing w:after="0" w:line="240" w:lineRule="auto"/>
              <w:rPr>
                <w:rFonts w:eastAsia="Times New Roman" w:cs="Times New Roman"/>
                <w:color w:val="000000"/>
                <w:sz w:val="18"/>
                <w:szCs w:val="18"/>
                <w:lang w:eastAsia="en-AU"/>
              </w:rPr>
            </w:pPr>
            <w:r w:rsidRPr="00485803">
              <w:rPr>
                <w:rFonts w:eastAsia="Times New Roman" w:cs="Times New Roman"/>
                <w:color w:val="000000"/>
                <w:sz w:val="18"/>
                <w:szCs w:val="18"/>
                <w:lang w:eastAsia="en-AU"/>
              </w:rPr>
              <w:t>Standard curve (0.01</w:t>
            </w:r>
            <w:r w:rsidR="00112E34" w:rsidRPr="00485803">
              <w:rPr>
                <w:rFonts w:eastAsia="Times New Roman" w:cs="Times New Roman"/>
                <w:color w:val="000000"/>
                <w:sz w:val="18"/>
                <w:szCs w:val="18"/>
                <w:lang w:eastAsia="en-AU"/>
              </w:rPr>
              <w:t xml:space="preserve">/0.1 </w:t>
            </w:r>
            <w:r w:rsidRPr="00485803">
              <w:rPr>
                <w:rFonts w:eastAsia="Times New Roman" w:cs="Times New Roman"/>
                <w:color w:val="000000"/>
                <w:sz w:val="18"/>
                <w:szCs w:val="18"/>
                <w:lang w:eastAsia="en-AU"/>
              </w:rPr>
              <w:t>IU/mL)</w:t>
            </w:r>
          </w:p>
        </w:tc>
        <w:tc>
          <w:tcPr>
            <w:tcW w:w="1134" w:type="dxa"/>
            <w:tcMar>
              <w:left w:w="57" w:type="dxa"/>
              <w:right w:w="57" w:type="dxa"/>
            </w:tcMar>
            <w:vAlign w:val="center"/>
          </w:tcPr>
          <w:p w14:paraId="4C1BE8AE" w14:textId="77777777" w:rsidR="009154C5" w:rsidRPr="00485803" w:rsidRDefault="009154C5" w:rsidP="00FE4CFD">
            <w:pPr>
              <w:spacing w:after="0" w:line="240" w:lineRule="auto"/>
              <w:rPr>
                <w:rFonts w:eastAsia="Times New Roman" w:cs="Times New Roman"/>
                <w:color w:val="000000"/>
                <w:sz w:val="18"/>
                <w:szCs w:val="18"/>
                <w:lang w:eastAsia="en-AU"/>
              </w:rPr>
            </w:pPr>
            <w:r w:rsidRPr="00485803">
              <w:rPr>
                <w:rFonts w:eastAsia="Times New Roman" w:cs="Times New Roman"/>
                <w:color w:val="000000"/>
                <w:sz w:val="18"/>
                <w:szCs w:val="18"/>
                <w:lang w:eastAsia="en-AU"/>
              </w:rPr>
              <w:t>WHO Int 10/262</w:t>
            </w:r>
          </w:p>
        </w:tc>
        <w:tc>
          <w:tcPr>
            <w:tcW w:w="1417" w:type="dxa"/>
            <w:tcMar>
              <w:left w:w="57" w:type="dxa"/>
              <w:right w:w="57" w:type="dxa"/>
            </w:tcMar>
            <w:vAlign w:val="center"/>
          </w:tcPr>
          <w:p w14:paraId="65BA4741" w14:textId="77777777" w:rsidR="009154C5" w:rsidRPr="00485803" w:rsidRDefault="009154C5" w:rsidP="00FE4CFD">
            <w:pPr>
              <w:spacing w:after="0" w:line="240" w:lineRule="auto"/>
              <w:rPr>
                <w:rFonts w:eastAsia="Times New Roman" w:cs="Times New Roman"/>
                <w:color w:val="000000"/>
                <w:sz w:val="18"/>
                <w:szCs w:val="18"/>
                <w:lang w:eastAsia="en-AU"/>
              </w:rPr>
            </w:pPr>
            <w:r w:rsidRPr="00485803">
              <w:rPr>
                <w:rFonts w:eastAsia="Times New Roman" w:cs="Times New Roman"/>
                <w:color w:val="000000"/>
                <w:sz w:val="18"/>
                <w:szCs w:val="18"/>
                <w:lang w:eastAsia="en-AU"/>
              </w:rPr>
              <w:t>12.5</w:t>
            </w:r>
          </w:p>
        </w:tc>
        <w:tc>
          <w:tcPr>
            <w:tcW w:w="851" w:type="dxa"/>
            <w:tcMar>
              <w:left w:w="57" w:type="dxa"/>
              <w:right w:w="57" w:type="dxa"/>
            </w:tcMar>
            <w:vAlign w:val="center"/>
          </w:tcPr>
          <w:p w14:paraId="364C85F8" w14:textId="77777777" w:rsidR="009154C5" w:rsidRPr="00485803" w:rsidRDefault="009154C5" w:rsidP="00FE4CFD">
            <w:pPr>
              <w:spacing w:after="0" w:line="240" w:lineRule="auto"/>
              <w:rPr>
                <w:rFonts w:eastAsia="Times New Roman" w:cs="Times New Roman"/>
                <w:color w:val="000000"/>
                <w:sz w:val="18"/>
                <w:szCs w:val="18"/>
                <w:lang w:eastAsia="en-AU"/>
              </w:rPr>
            </w:pPr>
            <w:r w:rsidRPr="00485803">
              <w:rPr>
                <w:rFonts w:eastAsia="Times New Roman" w:cs="Times New Roman"/>
                <w:color w:val="000000"/>
                <w:sz w:val="18"/>
                <w:szCs w:val="18"/>
                <w:lang w:eastAsia="en-AU"/>
              </w:rPr>
              <w:t>5</w:t>
            </w:r>
          </w:p>
        </w:tc>
      </w:tr>
      <w:tr w:rsidR="009154C5" w:rsidRPr="001F70C4" w14:paraId="5002B3AC" w14:textId="77777777" w:rsidTr="00C05EDC">
        <w:trPr>
          <w:trHeight w:val="20"/>
        </w:trPr>
        <w:tc>
          <w:tcPr>
            <w:tcW w:w="1156" w:type="dxa"/>
            <w:vMerge/>
            <w:tcMar>
              <w:left w:w="57" w:type="dxa"/>
              <w:right w:w="57" w:type="dxa"/>
            </w:tcMar>
            <w:vAlign w:val="center"/>
          </w:tcPr>
          <w:p w14:paraId="43698E20"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tcMar>
              <w:left w:w="57" w:type="dxa"/>
              <w:right w:w="57" w:type="dxa"/>
            </w:tcMar>
            <w:vAlign w:val="center"/>
          </w:tcPr>
          <w:p w14:paraId="437E47FA"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Pertussis</w:t>
            </w:r>
          </w:p>
          <w:p w14:paraId="5E9C204E"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w:t>
            </w:r>
            <w:r w:rsidRPr="001F70C4">
              <w:rPr>
                <w:rFonts w:eastAsia="Times New Roman" w:cs="Times New Roman"/>
                <w:i/>
                <w:iCs/>
                <w:color w:val="000000"/>
                <w:sz w:val="18"/>
                <w:szCs w:val="18"/>
                <w:lang w:eastAsia="en-AU"/>
              </w:rPr>
              <w:t>Bordetella pertussis</w:t>
            </w:r>
            <w:r w:rsidRPr="001F70C4">
              <w:rPr>
                <w:rFonts w:eastAsia="Times New Roman" w:cs="Times New Roman"/>
                <w:color w:val="000000"/>
                <w:sz w:val="18"/>
                <w:szCs w:val="18"/>
                <w:lang w:eastAsia="en-AU"/>
              </w:rPr>
              <w:t>)</w:t>
            </w:r>
          </w:p>
        </w:tc>
        <w:tc>
          <w:tcPr>
            <w:tcW w:w="1197" w:type="dxa"/>
            <w:tcMar>
              <w:left w:w="57" w:type="dxa"/>
              <w:right w:w="57" w:type="dxa"/>
            </w:tcMar>
            <w:vAlign w:val="center"/>
          </w:tcPr>
          <w:p w14:paraId="26902C0D" w14:textId="77777777" w:rsidR="009154C5" w:rsidRPr="001F70C4" w:rsidRDefault="009154C5" w:rsidP="002056C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Pertussis toxin</w:t>
            </w:r>
          </w:p>
        </w:tc>
        <w:tc>
          <w:tcPr>
            <w:tcW w:w="2630" w:type="dxa"/>
            <w:tcMar>
              <w:left w:w="57" w:type="dxa"/>
              <w:right w:w="57" w:type="dxa"/>
            </w:tcMar>
            <w:vAlign w:val="center"/>
          </w:tcPr>
          <w:p w14:paraId="03F6AECA" w14:textId="03A7A426" w:rsidR="009154C5" w:rsidRPr="001F70C4" w:rsidRDefault="00F72FD3" w:rsidP="00FE4CFD">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D</w:t>
            </w:r>
            <w:r w:rsidRPr="00F72FD3">
              <w:rPr>
                <w:rFonts w:eastAsia="Times New Roman" w:cs="Times New Roman"/>
                <w:color w:val="000000"/>
                <w:sz w:val="18"/>
                <w:szCs w:val="18"/>
                <w:lang w:eastAsia="en-AU"/>
              </w:rPr>
              <w:t>etectable antibody above the assay threshold (</w:t>
            </w:r>
            <w:r w:rsidR="003436B4">
              <w:rPr>
                <w:rFonts w:eastAsia="Times New Roman" w:cs="Times New Roman"/>
                <w:color w:val="000000"/>
                <w:sz w:val="18"/>
                <w:szCs w:val="18"/>
                <w:lang w:eastAsia="en-AU"/>
              </w:rPr>
              <w:t>0.1</w:t>
            </w:r>
            <w:r w:rsidRPr="00F72FD3">
              <w:rPr>
                <w:rFonts w:eastAsia="Times New Roman" w:cs="Times New Roman"/>
                <w:color w:val="000000"/>
                <w:sz w:val="18"/>
                <w:szCs w:val="18"/>
                <w:lang w:eastAsia="en-AU"/>
              </w:rPr>
              <w:t xml:space="preserve"> IU/mL), consistent with previous vaccination and/or infection. This threshold is not an established correlate of protective immunity</w:t>
            </w:r>
          </w:p>
        </w:tc>
        <w:tc>
          <w:tcPr>
            <w:tcW w:w="1418" w:type="dxa"/>
            <w:tcMar>
              <w:left w:w="57" w:type="dxa"/>
              <w:right w:w="57" w:type="dxa"/>
            </w:tcMar>
            <w:vAlign w:val="center"/>
          </w:tcPr>
          <w:p w14:paraId="299C3A79" w14:textId="1ECE16EC" w:rsidR="009154C5" w:rsidRPr="001F70C4" w:rsidRDefault="00112E34" w:rsidP="00FE4CFD">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25</w:t>
            </w:r>
          </w:p>
        </w:tc>
        <w:tc>
          <w:tcPr>
            <w:tcW w:w="1559" w:type="dxa"/>
            <w:tcMar>
              <w:left w:w="57" w:type="dxa"/>
              <w:right w:w="57" w:type="dxa"/>
            </w:tcMar>
            <w:vAlign w:val="center"/>
          </w:tcPr>
          <w:p w14:paraId="697C0B8C"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Standard curve</w:t>
            </w:r>
          </w:p>
          <w:p w14:paraId="56D3E0A9" w14:textId="4614A2A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w:t>
            </w:r>
            <w:r w:rsidR="00207254">
              <w:rPr>
                <w:rFonts w:eastAsia="Times New Roman" w:cs="Times New Roman"/>
                <w:color w:val="000000"/>
                <w:sz w:val="18"/>
                <w:szCs w:val="18"/>
                <w:lang w:eastAsia="en-AU"/>
              </w:rPr>
              <w:t>0.1</w:t>
            </w:r>
            <w:r w:rsidR="00E21628">
              <w:rPr>
                <w:rFonts w:eastAsia="Times New Roman" w:cs="Times New Roman"/>
                <w:color w:val="000000"/>
                <w:sz w:val="18"/>
                <w:szCs w:val="18"/>
                <w:lang w:eastAsia="en-AU"/>
              </w:rPr>
              <w:t xml:space="preserve"> </w:t>
            </w:r>
            <w:r w:rsidRPr="001F70C4">
              <w:rPr>
                <w:rFonts w:eastAsia="Times New Roman" w:cs="Times New Roman"/>
                <w:color w:val="000000"/>
                <w:sz w:val="18"/>
                <w:szCs w:val="18"/>
                <w:lang w:eastAsia="en-AU"/>
              </w:rPr>
              <w:t>IU/mL)</w:t>
            </w:r>
          </w:p>
        </w:tc>
        <w:tc>
          <w:tcPr>
            <w:tcW w:w="1134" w:type="dxa"/>
            <w:tcMar>
              <w:left w:w="57" w:type="dxa"/>
              <w:right w:w="57" w:type="dxa"/>
            </w:tcMar>
            <w:vAlign w:val="center"/>
          </w:tcPr>
          <w:p w14:paraId="195E9554"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WHO Int 06/142</w:t>
            </w:r>
          </w:p>
        </w:tc>
        <w:tc>
          <w:tcPr>
            <w:tcW w:w="1417" w:type="dxa"/>
            <w:tcMar>
              <w:left w:w="57" w:type="dxa"/>
              <w:right w:w="57" w:type="dxa"/>
            </w:tcMar>
            <w:vAlign w:val="center"/>
          </w:tcPr>
          <w:p w14:paraId="5C937A8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20</w:t>
            </w:r>
          </w:p>
        </w:tc>
        <w:tc>
          <w:tcPr>
            <w:tcW w:w="851" w:type="dxa"/>
            <w:tcMar>
              <w:left w:w="57" w:type="dxa"/>
              <w:right w:w="57" w:type="dxa"/>
            </w:tcMar>
            <w:vAlign w:val="center"/>
          </w:tcPr>
          <w:p w14:paraId="20CF692D"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27AD5B74" w14:textId="77777777" w:rsidTr="00C05EDC">
        <w:trPr>
          <w:trHeight w:val="20"/>
        </w:trPr>
        <w:tc>
          <w:tcPr>
            <w:tcW w:w="1156" w:type="dxa"/>
            <w:vMerge/>
            <w:tcMar>
              <w:left w:w="57" w:type="dxa"/>
              <w:right w:w="57" w:type="dxa"/>
            </w:tcMar>
            <w:vAlign w:val="center"/>
          </w:tcPr>
          <w:p w14:paraId="12B39C89"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tcMar>
              <w:left w:w="57" w:type="dxa"/>
              <w:right w:w="57" w:type="dxa"/>
            </w:tcMar>
            <w:vAlign w:val="center"/>
          </w:tcPr>
          <w:p w14:paraId="0F88FF73"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Measles</w:t>
            </w:r>
          </w:p>
          <w:p w14:paraId="15BCA3CA"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(Measles virus)</w:t>
            </w:r>
          </w:p>
        </w:tc>
        <w:tc>
          <w:tcPr>
            <w:tcW w:w="1197" w:type="dxa"/>
            <w:tcMar>
              <w:left w:w="57" w:type="dxa"/>
              <w:right w:w="57" w:type="dxa"/>
            </w:tcMar>
            <w:vAlign w:val="center"/>
          </w:tcPr>
          <w:p w14:paraId="00E43B07" w14:textId="77777777" w:rsidR="009154C5" w:rsidRPr="001F70C4" w:rsidRDefault="009154C5" w:rsidP="002056C9">
            <w:pPr>
              <w:spacing w:after="0" w:line="240" w:lineRule="auto"/>
              <w:rPr>
                <w:rFonts w:eastAsia="Times New Roman" w:cs="Times New Roman"/>
                <w:color w:val="000000"/>
                <w:sz w:val="18"/>
                <w:szCs w:val="18"/>
                <w:lang w:eastAsia="en-AU"/>
              </w:rPr>
            </w:pPr>
            <w:r w:rsidRPr="001F70C4">
              <w:rPr>
                <w:sz w:val="18"/>
                <w:szCs w:val="18"/>
              </w:rPr>
              <w:t xml:space="preserve">Measles virus </w:t>
            </w:r>
          </w:p>
        </w:tc>
        <w:tc>
          <w:tcPr>
            <w:tcW w:w="2630" w:type="dxa"/>
            <w:tcMar>
              <w:left w:w="57" w:type="dxa"/>
              <w:right w:w="57" w:type="dxa"/>
            </w:tcMar>
            <w:vAlign w:val="center"/>
          </w:tcPr>
          <w:p w14:paraId="4EB92953" w14:textId="73ADB603"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Detectable antibodies above minimal threshold (1</w:t>
            </w:r>
            <w:r w:rsidRPr="001F70C4">
              <w:rPr>
                <w:sz w:val="18"/>
                <w:szCs w:val="18"/>
              </w:rPr>
              <w:t xml:space="preserve">53 </w:t>
            </w:r>
            <w:r w:rsidR="00DE47C7">
              <w:rPr>
                <w:sz w:val="18"/>
                <w:szCs w:val="18"/>
              </w:rPr>
              <w:t>m</w:t>
            </w:r>
            <w:r w:rsidRPr="001F70C4">
              <w:rPr>
                <w:sz w:val="18"/>
                <w:szCs w:val="18"/>
              </w:rPr>
              <w:t>IU/mL)</w:t>
            </w:r>
            <w:r w:rsidR="0028087F">
              <w:rPr>
                <w:sz w:val="18"/>
                <w:szCs w:val="18"/>
              </w:rPr>
              <w:t xml:space="preserve"> </w:t>
            </w:r>
            <w:r w:rsidR="0028087F" w:rsidRPr="0028087F">
              <w:rPr>
                <w:sz w:val="18"/>
                <w:szCs w:val="18"/>
              </w:rPr>
              <w:t>consistent with immunity arising from vaccination and/or previous infection.</w:t>
            </w:r>
          </w:p>
        </w:tc>
        <w:tc>
          <w:tcPr>
            <w:tcW w:w="1418" w:type="dxa"/>
            <w:tcMar>
              <w:left w:w="57" w:type="dxa"/>
              <w:right w:w="57" w:type="dxa"/>
            </w:tcMar>
            <w:vAlign w:val="center"/>
          </w:tcPr>
          <w:p w14:paraId="30732E52" w14:textId="45C16275" w:rsidR="009154C5" w:rsidRPr="001F70C4" w:rsidRDefault="00112E34" w:rsidP="00FE4CFD">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383</w:t>
            </w:r>
          </w:p>
        </w:tc>
        <w:tc>
          <w:tcPr>
            <w:tcW w:w="1559" w:type="dxa"/>
            <w:tcMar>
              <w:left w:w="57" w:type="dxa"/>
              <w:right w:w="57" w:type="dxa"/>
            </w:tcMar>
            <w:vAlign w:val="center"/>
          </w:tcPr>
          <w:p w14:paraId="4DC4C493" w14:textId="55A87324"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 xml:space="preserve">Standard curve (153 </w:t>
            </w:r>
            <w:r w:rsidR="00DE47C7">
              <w:rPr>
                <w:rFonts w:eastAsia="Times New Roman" w:cs="Times New Roman"/>
                <w:color w:val="000000"/>
                <w:sz w:val="18"/>
                <w:szCs w:val="18"/>
                <w:lang w:eastAsia="en-AU"/>
              </w:rPr>
              <w:t>m</w:t>
            </w:r>
            <w:r w:rsidRPr="001F70C4">
              <w:rPr>
                <w:rFonts w:eastAsia="Times New Roman" w:cs="Times New Roman"/>
                <w:color w:val="000000"/>
                <w:sz w:val="18"/>
                <w:szCs w:val="18"/>
                <w:lang w:eastAsia="en-AU"/>
              </w:rPr>
              <w:t>IU/mL)</w:t>
            </w:r>
          </w:p>
        </w:tc>
        <w:tc>
          <w:tcPr>
            <w:tcW w:w="1134" w:type="dxa"/>
            <w:tcMar>
              <w:left w:w="57" w:type="dxa"/>
              <w:right w:w="57" w:type="dxa"/>
            </w:tcMar>
            <w:vAlign w:val="center"/>
          </w:tcPr>
          <w:p w14:paraId="10B60B81"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RUBI-1-94</w:t>
            </w:r>
          </w:p>
        </w:tc>
        <w:tc>
          <w:tcPr>
            <w:tcW w:w="1417" w:type="dxa"/>
            <w:tcMar>
              <w:left w:w="57" w:type="dxa"/>
              <w:right w:w="57" w:type="dxa"/>
            </w:tcMar>
            <w:vAlign w:val="center"/>
          </w:tcPr>
          <w:p w14:paraId="32E40E02"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150</w:t>
            </w:r>
          </w:p>
        </w:tc>
        <w:tc>
          <w:tcPr>
            <w:tcW w:w="851" w:type="dxa"/>
            <w:tcMar>
              <w:left w:w="57" w:type="dxa"/>
              <w:right w:w="57" w:type="dxa"/>
            </w:tcMar>
            <w:vAlign w:val="center"/>
          </w:tcPr>
          <w:p w14:paraId="71FA3AC4"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5E0F7C5B" w14:textId="77777777" w:rsidTr="00C05EDC">
        <w:trPr>
          <w:trHeight w:val="20"/>
        </w:trPr>
        <w:tc>
          <w:tcPr>
            <w:tcW w:w="1156" w:type="dxa"/>
            <w:vMerge/>
            <w:tcMar>
              <w:left w:w="57" w:type="dxa"/>
              <w:right w:w="57" w:type="dxa"/>
            </w:tcMar>
            <w:vAlign w:val="center"/>
          </w:tcPr>
          <w:p w14:paraId="409A3A7F"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tcMar>
              <w:left w:w="57" w:type="dxa"/>
              <w:right w:w="57" w:type="dxa"/>
            </w:tcMar>
            <w:vAlign w:val="center"/>
          </w:tcPr>
          <w:p w14:paraId="77C2ED4E"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Rubella</w:t>
            </w:r>
          </w:p>
          <w:p w14:paraId="0C16BB01"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(Rubella virus)</w:t>
            </w:r>
          </w:p>
        </w:tc>
        <w:tc>
          <w:tcPr>
            <w:tcW w:w="1197" w:type="dxa"/>
            <w:tcMar>
              <w:left w:w="57" w:type="dxa"/>
              <w:right w:w="57" w:type="dxa"/>
            </w:tcMar>
            <w:vAlign w:val="center"/>
          </w:tcPr>
          <w:p w14:paraId="5F10DDF8" w14:textId="77777777" w:rsidR="009154C5" w:rsidRPr="001F70C4" w:rsidRDefault="009154C5" w:rsidP="002056C9">
            <w:pPr>
              <w:spacing w:after="0" w:line="240" w:lineRule="auto"/>
              <w:rPr>
                <w:rFonts w:eastAsia="Times New Roman" w:cs="Times New Roman"/>
                <w:color w:val="000000"/>
                <w:sz w:val="18"/>
                <w:szCs w:val="18"/>
                <w:lang w:eastAsia="en-AU"/>
              </w:rPr>
            </w:pPr>
            <w:r w:rsidRPr="001F70C4">
              <w:rPr>
                <w:sz w:val="18"/>
                <w:szCs w:val="18"/>
              </w:rPr>
              <w:t xml:space="preserve">Rubella virus </w:t>
            </w:r>
          </w:p>
        </w:tc>
        <w:tc>
          <w:tcPr>
            <w:tcW w:w="2630" w:type="dxa"/>
            <w:tcMar>
              <w:left w:w="57" w:type="dxa"/>
              <w:right w:w="57" w:type="dxa"/>
            </w:tcMar>
            <w:vAlign w:val="center"/>
          </w:tcPr>
          <w:p w14:paraId="25204D4F" w14:textId="0CF1A81E" w:rsidR="009154C5" w:rsidRPr="001F70C4" w:rsidRDefault="009154C5" w:rsidP="00FE4CFD">
            <w:pPr>
              <w:spacing w:after="0" w:line="240" w:lineRule="auto"/>
              <w:rPr>
                <w:sz w:val="18"/>
                <w:szCs w:val="18"/>
              </w:rPr>
            </w:pPr>
            <w:r w:rsidRPr="001F70C4">
              <w:rPr>
                <w:rFonts w:eastAsia="Times New Roman" w:cs="Times New Roman"/>
                <w:color w:val="000000"/>
                <w:sz w:val="18"/>
                <w:szCs w:val="18"/>
                <w:lang w:eastAsia="en-AU"/>
              </w:rPr>
              <w:t xml:space="preserve">Detectable antibodies above minimal threshold </w:t>
            </w:r>
            <w:r w:rsidRPr="001F70C4">
              <w:rPr>
                <w:sz w:val="18"/>
                <w:szCs w:val="18"/>
              </w:rPr>
              <w:t>(9.36 IU/mL)</w:t>
            </w:r>
            <w:r w:rsidR="0028087F">
              <w:rPr>
                <w:sz w:val="18"/>
                <w:szCs w:val="18"/>
              </w:rPr>
              <w:t xml:space="preserve"> </w:t>
            </w:r>
            <w:r w:rsidR="0028087F" w:rsidRPr="0028087F">
              <w:rPr>
                <w:sz w:val="18"/>
                <w:szCs w:val="18"/>
              </w:rPr>
              <w:t>consistent with immunity arising from vaccination and/or previous infection.</w:t>
            </w:r>
          </w:p>
        </w:tc>
        <w:tc>
          <w:tcPr>
            <w:tcW w:w="1418" w:type="dxa"/>
            <w:tcMar>
              <w:left w:w="57" w:type="dxa"/>
              <w:right w:w="57" w:type="dxa"/>
            </w:tcMar>
            <w:vAlign w:val="center"/>
          </w:tcPr>
          <w:p w14:paraId="63429DD9" w14:textId="26EAF500" w:rsidR="009154C5" w:rsidRPr="001F70C4" w:rsidRDefault="00112E34" w:rsidP="00FE4CFD">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521</w:t>
            </w:r>
          </w:p>
        </w:tc>
        <w:tc>
          <w:tcPr>
            <w:tcW w:w="1559" w:type="dxa"/>
            <w:tcMar>
              <w:left w:w="57" w:type="dxa"/>
              <w:right w:w="57" w:type="dxa"/>
            </w:tcMar>
            <w:vAlign w:val="center"/>
          </w:tcPr>
          <w:p w14:paraId="0DAE78FC" w14:textId="5397891B"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 xml:space="preserve">Standard curve </w:t>
            </w:r>
            <w:r w:rsidRPr="001F70C4">
              <w:rPr>
                <w:sz w:val="18"/>
                <w:szCs w:val="18"/>
              </w:rPr>
              <w:t>(9.36 IU/mL)</w:t>
            </w:r>
          </w:p>
        </w:tc>
        <w:tc>
          <w:tcPr>
            <w:tcW w:w="1134" w:type="dxa"/>
            <w:tcMar>
              <w:left w:w="57" w:type="dxa"/>
              <w:right w:w="57" w:type="dxa"/>
            </w:tcMar>
            <w:vAlign w:val="center"/>
          </w:tcPr>
          <w:p w14:paraId="79640547"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RUBI-1-94</w:t>
            </w:r>
          </w:p>
        </w:tc>
        <w:tc>
          <w:tcPr>
            <w:tcW w:w="1417" w:type="dxa"/>
            <w:tcMar>
              <w:left w:w="57" w:type="dxa"/>
              <w:right w:w="57" w:type="dxa"/>
            </w:tcMar>
            <w:vAlign w:val="center"/>
          </w:tcPr>
          <w:p w14:paraId="0D2B7BA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30</w:t>
            </w:r>
          </w:p>
        </w:tc>
        <w:tc>
          <w:tcPr>
            <w:tcW w:w="851" w:type="dxa"/>
            <w:tcMar>
              <w:left w:w="57" w:type="dxa"/>
              <w:right w:w="57" w:type="dxa"/>
            </w:tcMar>
            <w:vAlign w:val="center"/>
          </w:tcPr>
          <w:p w14:paraId="583400CC"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75076ABB" w14:textId="77777777" w:rsidTr="00C05EDC">
        <w:trPr>
          <w:trHeight w:val="20"/>
        </w:trPr>
        <w:tc>
          <w:tcPr>
            <w:tcW w:w="1156" w:type="dxa"/>
            <w:vMerge/>
            <w:tcMar>
              <w:left w:w="57" w:type="dxa"/>
              <w:right w:w="57" w:type="dxa"/>
            </w:tcMar>
            <w:vAlign w:val="center"/>
          </w:tcPr>
          <w:p w14:paraId="13229EA1"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vMerge w:val="restart"/>
            <w:tcMar>
              <w:left w:w="57" w:type="dxa"/>
              <w:right w:w="57" w:type="dxa"/>
            </w:tcMar>
            <w:vAlign w:val="center"/>
            <w:hideMark/>
          </w:tcPr>
          <w:p w14:paraId="322C4BB9"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COVID-19</w:t>
            </w:r>
          </w:p>
          <w:p w14:paraId="6861CBC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(SARS-CoV-2)</w:t>
            </w:r>
          </w:p>
        </w:tc>
        <w:tc>
          <w:tcPr>
            <w:tcW w:w="1197" w:type="dxa"/>
            <w:tcMar>
              <w:left w:w="57" w:type="dxa"/>
              <w:right w:w="57" w:type="dxa"/>
            </w:tcMar>
            <w:vAlign w:val="center"/>
            <w:hideMark/>
          </w:tcPr>
          <w:p w14:paraId="0AD272E6"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Nucleocapsid protein (</w:t>
            </w:r>
            <w:r w:rsidRPr="001F70C4">
              <w:rPr>
                <w:rFonts w:eastAsia="Times New Roman" w:cs="Times New Roman"/>
                <w:i/>
                <w:iCs/>
                <w:color w:val="000000"/>
                <w:sz w:val="18"/>
                <w:szCs w:val="18"/>
                <w:lang w:eastAsia="en-AU"/>
              </w:rPr>
              <w:t>N</w:t>
            </w:r>
            <w:r w:rsidRPr="001F70C4">
              <w:rPr>
                <w:rFonts w:eastAsia="Times New Roman" w:cs="Times New Roman"/>
                <w:color w:val="000000"/>
                <w:sz w:val="18"/>
                <w:szCs w:val="18"/>
                <w:lang w:eastAsia="en-AU"/>
              </w:rPr>
              <w:t>)</w:t>
            </w:r>
          </w:p>
        </w:tc>
        <w:tc>
          <w:tcPr>
            <w:tcW w:w="2630" w:type="dxa"/>
            <w:tcMar>
              <w:left w:w="57" w:type="dxa"/>
              <w:right w:w="57" w:type="dxa"/>
            </w:tcMar>
            <w:vAlign w:val="center"/>
            <w:hideMark/>
          </w:tcPr>
          <w:p w14:paraId="468E957B" w14:textId="2ACC7035" w:rsidR="009154C5" w:rsidRPr="001F70C4" w:rsidRDefault="00E647C1" w:rsidP="00FE4CFD">
            <w:pPr>
              <w:spacing w:after="0" w:line="240" w:lineRule="auto"/>
              <w:rPr>
                <w:rFonts w:eastAsia="Times New Roman" w:cs="Times New Roman"/>
                <w:color w:val="000000"/>
                <w:sz w:val="18"/>
                <w:szCs w:val="18"/>
                <w:lang w:eastAsia="en-AU"/>
              </w:rPr>
            </w:pPr>
            <w:r w:rsidRPr="00E647C1">
              <w:rPr>
                <w:rFonts w:eastAsia="Times New Roman" w:cs="Times New Roman"/>
                <w:color w:val="000000"/>
                <w:sz w:val="18"/>
                <w:szCs w:val="18"/>
                <w:lang w:eastAsia="en-AU"/>
              </w:rPr>
              <w:t>Marker of previous SARS-CoV-2 infection where vaccines used are Spike-based; interpretation may be affected by antibody waning.</w:t>
            </w:r>
          </w:p>
        </w:tc>
        <w:tc>
          <w:tcPr>
            <w:tcW w:w="1418" w:type="dxa"/>
            <w:tcMar>
              <w:left w:w="57" w:type="dxa"/>
              <w:right w:w="57" w:type="dxa"/>
            </w:tcMar>
            <w:vAlign w:val="center"/>
          </w:tcPr>
          <w:p w14:paraId="670964CD"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2578</w:t>
            </w:r>
          </w:p>
        </w:tc>
        <w:tc>
          <w:tcPr>
            <w:tcW w:w="1559" w:type="dxa"/>
            <w:tcMar>
              <w:left w:w="57" w:type="dxa"/>
              <w:right w:w="57" w:type="dxa"/>
            </w:tcMar>
            <w:vAlign w:val="center"/>
          </w:tcPr>
          <w:p w14:paraId="6E6CF37F"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64C645F9" w14:textId="77777777" w:rsidR="009154C5" w:rsidRPr="001F70C4" w:rsidRDefault="009154C5" w:rsidP="00FE4CFD">
            <w:pPr>
              <w:spacing w:after="0" w:line="240" w:lineRule="auto"/>
              <w:rPr>
                <w:rFonts w:eastAsia="Times New Roman" w:cs="Times New Roman"/>
                <w:color w:val="000000"/>
                <w:sz w:val="18"/>
                <w:szCs w:val="18"/>
                <w:lang w:eastAsia="en-AU"/>
              </w:rPr>
            </w:pPr>
            <w:proofErr w:type="spellStart"/>
            <w:r w:rsidRPr="001F70C4">
              <w:rPr>
                <w:rFonts w:eastAsia="Times New Roman" w:cs="Times New Roman"/>
                <w:color w:val="000000"/>
                <w:sz w:val="18"/>
                <w:szCs w:val="18"/>
                <w:lang w:eastAsia="en-AU"/>
              </w:rPr>
              <w:t>Genscript</w:t>
            </w:r>
            <w:proofErr w:type="spellEnd"/>
          </w:p>
        </w:tc>
        <w:tc>
          <w:tcPr>
            <w:tcW w:w="1417" w:type="dxa"/>
            <w:tcMar>
              <w:left w:w="57" w:type="dxa"/>
              <w:right w:w="57" w:type="dxa"/>
            </w:tcMar>
            <w:vAlign w:val="center"/>
          </w:tcPr>
          <w:p w14:paraId="25773E98"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3.4</w:t>
            </w:r>
          </w:p>
        </w:tc>
        <w:tc>
          <w:tcPr>
            <w:tcW w:w="851" w:type="dxa"/>
            <w:tcMar>
              <w:left w:w="57" w:type="dxa"/>
              <w:right w:w="57" w:type="dxa"/>
            </w:tcMar>
            <w:vAlign w:val="center"/>
          </w:tcPr>
          <w:p w14:paraId="6AA91E97"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633E5D59" w14:textId="77777777" w:rsidTr="00C05EDC">
        <w:trPr>
          <w:trHeight w:val="20"/>
        </w:trPr>
        <w:tc>
          <w:tcPr>
            <w:tcW w:w="1156" w:type="dxa"/>
            <w:vMerge/>
            <w:tcMar>
              <w:left w:w="57" w:type="dxa"/>
              <w:right w:w="57" w:type="dxa"/>
            </w:tcMar>
            <w:vAlign w:val="center"/>
          </w:tcPr>
          <w:p w14:paraId="38968D02"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vMerge/>
            <w:tcMar>
              <w:left w:w="57" w:type="dxa"/>
              <w:right w:w="57" w:type="dxa"/>
            </w:tcMar>
          </w:tcPr>
          <w:p w14:paraId="02AC4FFC"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97" w:type="dxa"/>
            <w:tcMar>
              <w:left w:w="57" w:type="dxa"/>
              <w:right w:w="57" w:type="dxa"/>
            </w:tcMar>
            <w:vAlign w:val="center"/>
          </w:tcPr>
          <w:p w14:paraId="27852A40" w14:textId="20C6CC7A"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RBD59</w:t>
            </w:r>
            <w:r w:rsidR="002056C9">
              <w:rPr>
                <w:rFonts w:eastAsia="Times New Roman" w:cs="Times New Roman"/>
                <w:i/>
                <w:iCs/>
                <w:color w:val="000000"/>
                <w:sz w:val="18"/>
                <w:szCs w:val="18"/>
                <w:lang w:eastAsia="en-AU"/>
              </w:rPr>
              <w:t>1</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tcPr>
          <w:p w14:paraId="3AB29977" w14:textId="7FF9686F" w:rsidR="009154C5" w:rsidRPr="001F70C4" w:rsidRDefault="002158D1" w:rsidP="00FE4CFD">
            <w:pPr>
              <w:spacing w:after="0" w:line="240" w:lineRule="auto"/>
              <w:rPr>
                <w:rFonts w:eastAsia="Times New Roman" w:cs="Times New Roman"/>
                <w:color w:val="000000"/>
                <w:sz w:val="18"/>
                <w:szCs w:val="18"/>
                <w:lang w:eastAsia="en-AU"/>
              </w:rPr>
            </w:pPr>
            <w:r w:rsidRPr="002158D1">
              <w:rPr>
                <w:rFonts w:eastAsia="Times New Roman" w:cs="Times New Roman"/>
                <w:color w:val="000000"/>
                <w:sz w:val="18"/>
                <w:szCs w:val="18"/>
                <w:lang w:eastAsia="en-AU"/>
              </w:rPr>
              <w:t>Antibodies may reflect vaccination and/or previous infection and do not distinguish between these sources.</w:t>
            </w:r>
          </w:p>
        </w:tc>
        <w:tc>
          <w:tcPr>
            <w:tcW w:w="1418" w:type="dxa"/>
            <w:tcMar>
              <w:left w:w="57" w:type="dxa"/>
              <w:right w:w="57" w:type="dxa"/>
            </w:tcMar>
            <w:vAlign w:val="center"/>
          </w:tcPr>
          <w:p w14:paraId="70B64E42"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2365</w:t>
            </w:r>
          </w:p>
        </w:tc>
        <w:tc>
          <w:tcPr>
            <w:tcW w:w="1559" w:type="dxa"/>
            <w:tcMar>
              <w:left w:w="57" w:type="dxa"/>
              <w:right w:w="57" w:type="dxa"/>
            </w:tcMar>
            <w:vAlign w:val="center"/>
          </w:tcPr>
          <w:p w14:paraId="1CE526A0"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1E078A4A"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2250FB45"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15</w:t>
            </w:r>
          </w:p>
        </w:tc>
        <w:tc>
          <w:tcPr>
            <w:tcW w:w="851" w:type="dxa"/>
            <w:tcMar>
              <w:left w:w="57" w:type="dxa"/>
              <w:right w:w="57" w:type="dxa"/>
            </w:tcMar>
            <w:vAlign w:val="center"/>
          </w:tcPr>
          <w:p w14:paraId="17C45D5C"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7.2</w:t>
            </w:r>
          </w:p>
        </w:tc>
      </w:tr>
      <w:tr w:rsidR="009154C5" w:rsidRPr="001F70C4" w14:paraId="05DF1B19" w14:textId="77777777" w:rsidTr="00C05EDC">
        <w:trPr>
          <w:trHeight w:val="20"/>
        </w:trPr>
        <w:tc>
          <w:tcPr>
            <w:tcW w:w="1156" w:type="dxa"/>
            <w:vMerge/>
            <w:tcMar>
              <w:left w:w="57" w:type="dxa"/>
              <w:right w:w="57" w:type="dxa"/>
            </w:tcMar>
            <w:vAlign w:val="center"/>
          </w:tcPr>
          <w:p w14:paraId="6A9011BF" w14:textId="77777777" w:rsidR="009154C5" w:rsidRPr="001F70C4" w:rsidRDefault="009154C5" w:rsidP="00FE4CFD">
            <w:pPr>
              <w:spacing w:after="0" w:line="240" w:lineRule="auto"/>
              <w:rPr>
                <w:rFonts w:eastAsia="Times New Roman" w:cs="Times New Roman"/>
                <w:b/>
                <w:bCs/>
                <w:color w:val="000000"/>
                <w:sz w:val="18"/>
                <w:szCs w:val="18"/>
                <w:lang w:eastAsia="en-AU"/>
              </w:rPr>
            </w:pPr>
          </w:p>
        </w:tc>
        <w:tc>
          <w:tcPr>
            <w:tcW w:w="1538" w:type="dxa"/>
            <w:vMerge/>
            <w:tcMar>
              <w:left w:w="57" w:type="dxa"/>
              <w:right w:w="57" w:type="dxa"/>
            </w:tcMar>
          </w:tcPr>
          <w:p w14:paraId="3405B43D" w14:textId="77777777" w:rsidR="009154C5" w:rsidRPr="001F70C4" w:rsidRDefault="009154C5" w:rsidP="00FE4CFD">
            <w:pPr>
              <w:spacing w:after="0" w:line="240" w:lineRule="auto"/>
              <w:rPr>
                <w:rFonts w:eastAsia="Times New Roman" w:cs="Times New Roman"/>
                <w:color w:val="000000"/>
                <w:sz w:val="18"/>
                <w:szCs w:val="18"/>
                <w:lang w:eastAsia="en-AU"/>
              </w:rPr>
            </w:pPr>
          </w:p>
        </w:tc>
        <w:tc>
          <w:tcPr>
            <w:tcW w:w="1197" w:type="dxa"/>
            <w:tcMar>
              <w:left w:w="57" w:type="dxa"/>
              <w:right w:w="57" w:type="dxa"/>
            </w:tcMar>
            <w:vAlign w:val="center"/>
          </w:tcPr>
          <w:p w14:paraId="59E0588F"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Spike</w:t>
            </w:r>
            <w:r w:rsidRPr="001F70C4">
              <w:rPr>
                <w:rFonts w:eastAsia="Times New Roman" w:cs="Times New Roman"/>
                <w:color w:val="000000"/>
                <w:sz w:val="18"/>
                <w:szCs w:val="18"/>
                <w:lang w:eastAsia="en-AU"/>
              </w:rPr>
              <w:t xml:space="preserve"> glycoprotein S1-receptor binding domain</w:t>
            </w:r>
          </w:p>
        </w:tc>
        <w:tc>
          <w:tcPr>
            <w:tcW w:w="2630" w:type="dxa"/>
            <w:tcMar>
              <w:left w:w="57" w:type="dxa"/>
              <w:right w:w="57" w:type="dxa"/>
            </w:tcMar>
            <w:vAlign w:val="center"/>
          </w:tcPr>
          <w:p w14:paraId="0EB23BF8" w14:textId="1E285998" w:rsidR="009154C5" w:rsidRPr="001F70C4" w:rsidRDefault="002158D1" w:rsidP="00FE4CFD">
            <w:pPr>
              <w:spacing w:after="0" w:line="240" w:lineRule="auto"/>
              <w:rPr>
                <w:rFonts w:eastAsia="Times New Roman" w:cs="Times New Roman"/>
                <w:color w:val="000000"/>
                <w:sz w:val="18"/>
                <w:szCs w:val="18"/>
                <w:lang w:eastAsia="en-AU"/>
              </w:rPr>
            </w:pPr>
            <w:r w:rsidRPr="002158D1">
              <w:rPr>
                <w:rFonts w:eastAsia="Times New Roman" w:cs="Times New Roman"/>
                <w:color w:val="000000"/>
                <w:sz w:val="18"/>
                <w:szCs w:val="18"/>
                <w:lang w:eastAsia="en-AU"/>
              </w:rPr>
              <w:t>Antibodies may reflect vaccination and/or previous infection and do not distinguish between these sources.</w:t>
            </w:r>
          </w:p>
        </w:tc>
        <w:tc>
          <w:tcPr>
            <w:tcW w:w="1418" w:type="dxa"/>
            <w:tcMar>
              <w:left w:w="57" w:type="dxa"/>
              <w:right w:w="57" w:type="dxa"/>
            </w:tcMar>
            <w:vAlign w:val="center"/>
          </w:tcPr>
          <w:p w14:paraId="66B360A6"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584</w:t>
            </w:r>
          </w:p>
        </w:tc>
        <w:tc>
          <w:tcPr>
            <w:tcW w:w="1559" w:type="dxa"/>
            <w:tcMar>
              <w:left w:w="57" w:type="dxa"/>
              <w:right w:w="57" w:type="dxa"/>
            </w:tcMar>
            <w:vAlign w:val="center"/>
          </w:tcPr>
          <w:p w14:paraId="0A8FAC0E"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44C85034"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53B9C0CB"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6</w:t>
            </w:r>
          </w:p>
        </w:tc>
        <w:tc>
          <w:tcPr>
            <w:tcW w:w="851" w:type="dxa"/>
            <w:tcMar>
              <w:left w:w="57" w:type="dxa"/>
              <w:right w:w="57" w:type="dxa"/>
            </w:tcMar>
            <w:vAlign w:val="center"/>
          </w:tcPr>
          <w:p w14:paraId="182606C9" w14:textId="77777777" w:rsidR="009154C5" w:rsidRPr="001F70C4" w:rsidRDefault="009154C5" w:rsidP="00FE4CFD">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w:t>
            </w:r>
          </w:p>
        </w:tc>
      </w:tr>
      <w:tr w:rsidR="002D07F6" w:rsidRPr="001F70C4" w14:paraId="632F791B" w14:textId="77777777" w:rsidTr="00895610">
        <w:trPr>
          <w:trHeight w:val="424"/>
        </w:trPr>
        <w:tc>
          <w:tcPr>
            <w:tcW w:w="1156" w:type="dxa"/>
            <w:vMerge w:val="restart"/>
            <w:tcMar>
              <w:left w:w="57" w:type="dxa"/>
              <w:right w:w="57" w:type="dxa"/>
            </w:tcMar>
            <w:vAlign w:val="center"/>
          </w:tcPr>
          <w:p w14:paraId="5B1F4BE6" w14:textId="77777777" w:rsidR="002D07F6" w:rsidRPr="001F70C4" w:rsidRDefault="002D07F6" w:rsidP="002D07F6">
            <w:pPr>
              <w:spacing w:after="0" w:line="240" w:lineRule="auto"/>
              <w:rPr>
                <w:rFonts w:eastAsia="Times New Roman" w:cs="Times New Roman"/>
                <w:b/>
                <w:bCs/>
                <w:color w:val="000000"/>
                <w:sz w:val="18"/>
                <w:szCs w:val="18"/>
                <w:lang w:eastAsia="en-AU"/>
              </w:rPr>
            </w:pPr>
            <w:r w:rsidRPr="001F70C4">
              <w:rPr>
                <w:rFonts w:eastAsia="Times New Roman" w:cs="Times New Roman"/>
                <w:b/>
                <w:bCs/>
                <w:color w:val="000000"/>
                <w:sz w:val="18"/>
                <w:szCs w:val="18"/>
                <w:lang w:eastAsia="en-AU"/>
              </w:rPr>
              <w:t>Enteric protozoa</w:t>
            </w:r>
          </w:p>
        </w:tc>
        <w:tc>
          <w:tcPr>
            <w:tcW w:w="1538" w:type="dxa"/>
            <w:vMerge w:val="restart"/>
            <w:tcMar>
              <w:left w:w="57" w:type="dxa"/>
              <w:right w:w="57" w:type="dxa"/>
            </w:tcMar>
            <w:vAlign w:val="center"/>
            <w:hideMark/>
          </w:tcPr>
          <w:p w14:paraId="5AAF8AC6" w14:textId="77777777" w:rsidR="002D07F6" w:rsidRPr="001F70C4" w:rsidRDefault="002D07F6" w:rsidP="002D07F6">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Cryptosporidiosis</w:t>
            </w:r>
          </w:p>
        </w:tc>
        <w:tc>
          <w:tcPr>
            <w:tcW w:w="1197" w:type="dxa"/>
            <w:tcMar>
              <w:left w:w="57" w:type="dxa"/>
              <w:right w:w="57" w:type="dxa"/>
            </w:tcMar>
            <w:vAlign w:val="center"/>
            <w:hideMark/>
          </w:tcPr>
          <w:p w14:paraId="1B6BAE11" w14:textId="77777777" w:rsidR="002D07F6" w:rsidRPr="001F70C4" w:rsidRDefault="002D07F6" w:rsidP="002D07F6">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Cp17</w:t>
            </w:r>
            <w:r w:rsidRPr="001F70C4">
              <w:rPr>
                <w:rFonts w:eastAsia="Times New Roman" w:cs="Times New Roman"/>
                <w:color w:val="000000"/>
                <w:sz w:val="18"/>
                <w:szCs w:val="18"/>
                <w:lang w:eastAsia="en-AU"/>
              </w:rPr>
              <w:t xml:space="preserve"> </w:t>
            </w:r>
          </w:p>
        </w:tc>
        <w:tc>
          <w:tcPr>
            <w:tcW w:w="2630" w:type="dxa"/>
            <w:tcMar>
              <w:left w:w="57" w:type="dxa"/>
              <w:right w:w="57" w:type="dxa"/>
            </w:tcMar>
            <w:vAlign w:val="center"/>
            <w:hideMark/>
          </w:tcPr>
          <w:p w14:paraId="0D017761" w14:textId="1F1FA8B4" w:rsidR="002D07F6" w:rsidRPr="001F70C4" w:rsidRDefault="002D07F6" w:rsidP="002D07F6">
            <w:pPr>
              <w:spacing w:after="0" w:line="240" w:lineRule="auto"/>
              <w:rPr>
                <w:rFonts w:eastAsia="Times New Roman" w:cs="Times New Roman"/>
                <w:color w:val="000000"/>
                <w:sz w:val="18"/>
                <w:szCs w:val="18"/>
                <w:lang w:eastAsia="en-AU"/>
              </w:rPr>
            </w:pPr>
            <w:r w:rsidRPr="00BF115A">
              <w:rPr>
                <w:rFonts w:eastAsia="Times New Roman" w:cs="Times New Roman"/>
                <w:color w:val="000000"/>
                <w:sz w:val="18"/>
                <w:szCs w:val="18"/>
                <w:lang w:eastAsia="en-AU"/>
              </w:rPr>
              <w:t xml:space="preserve">Associated with recent </w:t>
            </w:r>
            <w:r w:rsidRPr="00BF115A">
              <w:rPr>
                <w:rFonts w:eastAsia="Times New Roman" w:cs="Times New Roman"/>
                <w:i/>
                <w:iCs/>
                <w:color w:val="000000"/>
                <w:sz w:val="18"/>
                <w:szCs w:val="18"/>
                <w:lang w:eastAsia="en-AU"/>
              </w:rPr>
              <w:t>Cryptosporidium</w:t>
            </w:r>
            <w:r w:rsidRPr="00BF115A">
              <w:rPr>
                <w:rFonts w:eastAsia="Times New Roman" w:cs="Times New Roman"/>
                <w:color w:val="000000"/>
                <w:sz w:val="18"/>
                <w:szCs w:val="18"/>
                <w:lang w:eastAsia="en-AU"/>
              </w:rPr>
              <w:t xml:space="preserve"> infection/exposure; antibody seropositivity is not diagnostic of active enteric infection or clinical disease at the time of sampling.</w:t>
            </w:r>
          </w:p>
        </w:tc>
        <w:tc>
          <w:tcPr>
            <w:tcW w:w="1418" w:type="dxa"/>
            <w:tcMar>
              <w:left w:w="57" w:type="dxa"/>
              <w:right w:w="57" w:type="dxa"/>
            </w:tcMar>
            <w:vAlign w:val="center"/>
          </w:tcPr>
          <w:p w14:paraId="0C4D765E" w14:textId="77777777" w:rsidR="002D07F6" w:rsidRPr="001F70C4" w:rsidRDefault="002D07F6" w:rsidP="002D07F6">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244</w:t>
            </w:r>
          </w:p>
        </w:tc>
        <w:tc>
          <w:tcPr>
            <w:tcW w:w="1559" w:type="dxa"/>
            <w:tcMar>
              <w:left w:w="57" w:type="dxa"/>
              <w:right w:w="57" w:type="dxa"/>
            </w:tcMar>
            <w:vAlign w:val="center"/>
          </w:tcPr>
          <w:p w14:paraId="12C2BB7C" w14:textId="77777777" w:rsidR="002D07F6" w:rsidRPr="001F70C4" w:rsidRDefault="002D07F6" w:rsidP="002D07F6">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539F3486" w14:textId="77777777" w:rsidR="002D07F6" w:rsidRPr="001F70C4" w:rsidRDefault="002D07F6" w:rsidP="002D07F6">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1DAEE687" w14:textId="77777777" w:rsidR="002D07F6" w:rsidRPr="001F70C4" w:rsidRDefault="002D07F6" w:rsidP="002D07F6">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6.8</w:t>
            </w:r>
          </w:p>
        </w:tc>
        <w:tc>
          <w:tcPr>
            <w:tcW w:w="851" w:type="dxa"/>
            <w:tcMar>
              <w:left w:w="57" w:type="dxa"/>
              <w:right w:w="57" w:type="dxa"/>
            </w:tcMar>
            <w:vAlign w:val="center"/>
          </w:tcPr>
          <w:p w14:paraId="59CE8775" w14:textId="77777777" w:rsidR="002D07F6" w:rsidRPr="001F70C4" w:rsidRDefault="002D07F6" w:rsidP="002D07F6">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w:t>
            </w:r>
          </w:p>
        </w:tc>
      </w:tr>
      <w:tr w:rsidR="00137D16" w:rsidRPr="001F70C4" w14:paraId="76FEECB0" w14:textId="77777777" w:rsidTr="00C05EDC">
        <w:trPr>
          <w:trHeight w:val="20"/>
        </w:trPr>
        <w:tc>
          <w:tcPr>
            <w:tcW w:w="1156" w:type="dxa"/>
            <w:vMerge/>
            <w:tcMar>
              <w:left w:w="57" w:type="dxa"/>
              <w:right w:w="57" w:type="dxa"/>
            </w:tcMar>
            <w:vAlign w:val="center"/>
          </w:tcPr>
          <w:p w14:paraId="1C1F9BE9" w14:textId="77777777" w:rsidR="00137D16" w:rsidRPr="001F70C4" w:rsidRDefault="00137D16" w:rsidP="00C15509">
            <w:pPr>
              <w:spacing w:after="0" w:line="240" w:lineRule="auto"/>
              <w:rPr>
                <w:rFonts w:eastAsia="Times New Roman" w:cs="Times New Roman"/>
                <w:b/>
                <w:bCs/>
                <w:color w:val="000000"/>
                <w:sz w:val="18"/>
                <w:szCs w:val="18"/>
                <w:lang w:eastAsia="en-AU"/>
              </w:rPr>
            </w:pPr>
          </w:p>
        </w:tc>
        <w:tc>
          <w:tcPr>
            <w:tcW w:w="1538" w:type="dxa"/>
            <w:vMerge/>
            <w:tcMar>
              <w:left w:w="57" w:type="dxa"/>
              <w:right w:w="57" w:type="dxa"/>
            </w:tcMar>
            <w:vAlign w:val="center"/>
          </w:tcPr>
          <w:p w14:paraId="03ACF31E" w14:textId="77777777" w:rsidR="00137D16" w:rsidRPr="001F70C4" w:rsidRDefault="00137D16" w:rsidP="00C15509">
            <w:pPr>
              <w:spacing w:after="0" w:line="240" w:lineRule="auto"/>
              <w:rPr>
                <w:rFonts w:eastAsia="Times New Roman" w:cs="Times New Roman"/>
                <w:color w:val="000000"/>
                <w:sz w:val="18"/>
                <w:szCs w:val="18"/>
                <w:lang w:eastAsia="en-AU"/>
              </w:rPr>
            </w:pPr>
          </w:p>
        </w:tc>
        <w:tc>
          <w:tcPr>
            <w:tcW w:w="1197" w:type="dxa"/>
            <w:tcMar>
              <w:left w:w="57" w:type="dxa"/>
              <w:right w:w="57" w:type="dxa"/>
            </w:tcMar>
            <w:vAlign w:val="center"/>
          </w:tcPr>
          <w:p w14:paraId="1CF78597" w14:textId="40E57ADD" w:rsidR="00137D16" w:rsidRPr="001F70C4" w:rsidRDefault="00137D16" w:rsidP="00C15509">
            <w:pPr>
              <w:spacing w:after="0" w:line="240" w:lineRule="auto"/>
              <w:rPr>
                <w:rFonts w:eastAsia="Times New Roman" w:cs="Times New Roman"/>
                <w:i/>
                <w:iCs/>
                <w:color w:val="000000"/>
                <w:sz w:val="18"/>
                <w:szCs w:val="18"/>
                <w:lang w:eastAsia="en-AU"/>
              </w:rPr>
            </w:pPr>
            <w:r w:rsidRPr="001F70C4">
              <w:rPr>
                <w:rFonts w:eastAsia="Times New Roman" w:cs="Times New Roman"/>
                <w:i/>
                <w:iCs/>
                <w:color w:val="000000"/>
                <w:sz w:val="18"/>
                <w:szCs w:val="18"/>
                <w:lang w:eastAsia="en-AU"/>
              </w:rPr>
              <w:t>Cp23</w:t>
            </w:r>
          </w:p>
        </w:tc>
        <w:tc>
          <w:tcPr>
            <w:tcW w:w="2630" w:type="dxa"/>
            <w:tcMar>
              <w:left w:w="57" w:type="dxa"/>
              <w:right w:w="57" w:type="dxa"/>
            </w:tcMar>
            <w:vAlign w:val="center"/>
          </w:tcPr>
          <w:p w14:paraId="5ECCB477" w14:textId="64EB0A47" w:rsidR="00137D16" w:rsidRPr="001F70C4" w:rsidRDefault="007464F4" w:rsidP="00C15509">
            <w:pPr>
              <w:spacing w:after="0" w:line="240" w:lineRule="auto"/>
              <w:rPr>
                <w:rFonts w:eastAsia="Times New Roman" w:cs="Times New Roman"/>
                <w:color w:val="000000"/>
                <w:sz w:val="18"/>
                <w:szCs w:val="18"/>
                <w:lang w:eastAsia="en-AU"/>
              </w:rPr>
            </w:pPr>
            <w:r w:rsidRPr="00F72017">
              <w:rPr>
                <w:rFonts w:eastAsia="Times New Roman" w:cs="Times New Roman"/>
                <w:color w:val="000000"/>
                <w:sz w:val="18"/>
                <w:szCs w:val="18"/>
                <w:lang w:eastAsia="en-AU"/>
              </w:rPr>
              <w:t xml:space="preserve">Associated with previous or established </w:t>
            </w:r>
            <w:r w:rsidRPr="00F72017">
              <w:rPr>
                <w:rFonts w:eastAsia="Times New Roman" w:cs="Times New Roman"/>
                <w:i/>
                <w:iCs/>
                <w:color w:val="000000"/>
                <w:sz w:val="18"/>
                <w:szCs w:val="18"/>
                <w:lang w:eastAsia="en-AU"/>
              </w:rPr>
              <w:t>Cryptosporidium</w:t>
            </w:r>
            <w:r w:rsidRPr="00F72017">
              <w:rPr>
                <w:rFonts w:eastAsia="Times New Roman" w:cs="Times New Roman"/>
                <w:color w:val="000000"/>
                <w:sz w:val="18"/>
                <w:szCs w:val="18"/>
                <w:lang w:eastAsia="en-AU"/>
              </w:rPr>
              <w:t xml:space="preserve"> infection/exposure; antibody seropositivity is not diagnostic of active enteric infection or clinical disease at the time of sampling</w:t>
            </w:r>
            <w:r>
              <w:rPr>
                <w:rFonts w:eastAsia="Times New Roman" w:cs="Times New Roman"/>
                <w:color w:val="000000"/>
                <w:sz w:val="18"/>
                <w:szCs w:val="18"/>
                <w:lang w:eastAsia="en-AU"/>
              </w:rPr>
              <w:t>.</w:t>
            </w:r>
          </w:p>
        </w:tc>
        <w:tc>
          <w:tcPr>
            <w:tcW w:w="1418" w:type="dxa"/>
            <w:tcMar>
              <w:left w:w="57" w:type="dxa"/>
              <w:right w:w="57" w:type="dxa"/>
            </w:tcMar>
            <w:vAlign w:val="center"/>
          </w:tcPr>
          <w:p w14:paraId="6E34256D" w14:textId="5A3B06A2" w:rsidR="00137D16" w:rsidRPr="001F70C4" w:rsidRDefault="00137D16"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1377</w:t>
            </w:r>
          </w:p>
        </w:tc>
        <w:tc>
          <w:tcPr>
            <w:tcW w:w="1559" w:type="dxa"/>
            <w:tcMar>
              <w:left w:w="57" w:type="dxa"/>
              <w:right w:w="57" w:type="dxa"/>
            </w:tcMar>
            <w:vAlign w:val="center"/>
          </w:tcPr>
          <w:p w14:paraId="618CAB86" w14:textId="257A4D45" w:rsidR="00137D16" w:rsidRPr="001F70C4" w:rsidRDefault="00137D16"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6C9D274B" w14:textId="5FF3106E" w:rsidR="00137D16" w:rsidRPr="001F70C4" w:rsidRDefault="00137D16"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63F94C80" w14:textId="0ACA26ED" w:rsidR="00137D16" w:rsidRPr="001F70C4" w:rsidRDefault="00137D16"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12.5</w:t>
            </w:r>
          </w:p>
        </w:tc>
        <w:tc>
          <w:tcPr>
            <w:tcW w:w="851" w:type="dxa"/>
            <w:tcMar>
              <w:left w:w="57" w:type="dxa"/>
              <w:right w:w="57" w:type="dxa"/>
            </w:tcMar>
            <w:vAlign w:val="center"/>
          </w:tcPr>
          <w:p w14:paraId="6DF8A5D6" w14:textId="08441935" w:rsidR="00137D16" w:rsidRPr="001F70C4" w:rsidRDefault="00137D16"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w:t>
            </w:r>
          </w:p>
        </w:tc>
      </w:tr>
      <w:tr w:rsidR="00C15509" w:rsidRPr="001F70C4" w14:paraId="60F5D086" w14:textId="77777777" w:rsidTr="00C05EDC">
        <w:trPr>
          <w:trHeight w:val="20"/>
        </w:trPr>
        <w:tc>
          <w:tcPr>
            <w:tcW w:w="1156" w:type="dxa"/>
            <w:vMerge/>
            <w:tcMar>
              <w:left w:w="57" w:type="dxa"/>
              <w:right w:w="57" w:type="dxa"/>
            </w:tcMar>
          </w:tcPr>
          <w:p w14:paraId="6EB2A7C0" w14:textId="77777777" w:rsidR="00C15509" w:rsidRPr="001F70C4" w:rsidRDefault="00C15509" w:rsidP="00C15509">
            <w:pPr>
              <w:spacing w:after="0" w:line="240" w:lineRule="auto"/>
              <w:rPr>
                <w:rFonts w:eastAsia="Times New Roman" w:cs="Times New Roman"/>
                <w:color w:val="000000"/>
                <w:sz w:val="18"/>
                <w:szCs w:val="18"/>
                <w:lang w:eastAsia="en-AU"/>
              </w:rPr>
            </w:pPr>
          </w:p>
        </w:tc>
        <w:tc>
          <w:tcPr>
            <w:tcW w:w="1538" w:type="dxa"/>
            <w:vMerge w:val="restart"/>
            <w:tcMar>
              <w:left w:w="57" w:type="dxa"/>
              <w:right w:w="57" w:type="dxa"/>
            </w:tcMar>
            <w:vAlign w:val="center"/>
            <w:hideMark/>
          </w:tcPr>
          <w:p w14:paraId="56DA56E0"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Giardiasis</w:t>
            </w:r>
          </w:p>
        </w:tc>
        <w:tc>
          <w:tcPr>
            <w:tcW w:w="1197" w:type="dxa"/>
            <w:tcMar>
              <w:left w:w="57" w:type="dxa"/>
              <w:right w:w="57" w:type="dxa"/>
            </w:tcMar>
            <w:vAlign w:val="center"/>
            <w:hideMark/>
          </w:tcPr>
          <w:p w14:paraId="1143BF65"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i/>
                <w:iCs/>
                <w:color w:val="000000"/>
                <w:sz w:val="18"/>
                <w:szCs w:val="18"/>
                <w:lang w:eastAsia="en-AU"/>
              </w:rPr>
              <w:t>Vsp3</w:t>
            </w:r>
            <w:r w:rsidRPr="001F70C4">
              <w:rPr>
                <w:rFonts w:eastAsia="Times New Roman" w:cs="Times New Roman"/>
                <w:color w:val="000000"/>
                <w:sz w:val="18"/>
                <w:szCs w:val="18"/>
                <w:lang w:eastAsia="en-AU"/>
              </w:rPr>
              <w:t xml:space="preserve"> </w:t>
            </w:r>
          </w:p>
        </w:tc>
        <w:tc>
          <w:tcPr>
            <w:tcW w:w="2630" w:type="dxa"/>
            <w:vMerge w:val="restart"/>
            <w:tcMar>
              <w:left w:w="57" w:type="dxa"/>
              <w:right w:w="57" w:type="dxa"/>
            </w:tcMar>
            <w:vAlign w:val="center"/>
            <w:hideMark/>
          </w:tcPr>
          <w:p w14:paraId="6F124E5F" w14:textId="265D644E" w:rsidR="00C15509" w:rsidRPr="001F70C4" w:rsidRDefault="00C15509" w:rsidP="00C15509">
            <w:pPr>
              <w:spacing w:after="0" w:line="240" w:lineRule="auto"/>
              <w:rPr>
                <w:rFonts w:eastAsia="Times New Roman" w:cs="Times New Roman"/>
                <w:color w:val="000000"/>
                <w:sz w:val="18"/>
                <w:szCs w:val="18"/>
                <w:lang w:eastAsia="en-AU"/>
              </w:rPr>
            </w:pPr>
            <w:r w:rsidRPr="00F95945">
              <w:rPr>
                <w:rFonts w:eastAsia="Times New Roman" w:cs="Times New Roman"/>
                <w:color w:val="000000"/>
                <w:sz w:val="18"/>
                <w:szCs w:val="18"/>
                <w:lang w:eastAsia="en-AU"/>
              </w:rPr>
              <w:t xml:space="preserve">Seropositivity is consistent with past or current </w:t>
            </w:r>
            <w:r w:rsidRPr="00F95945">
              <w:rPr>
                <w:rFonts w:eastAsia="Times New Roman" w:cs="Times New Roman"/>
                <w:i/>
                <w:iCs/>
                <w:color w:val="000000"/>
                <w:sz w:val="18"/>
                <w:szCs w:val="18"/>
                <w:lang w:eastAsia="en-AU"/>
              </w:rPr>
              <w:t>Giardia</w:t>
            </w:r>
            <w:r w:rsidRPr="00F95945">
              <w:rPr>
                <w:rFonts w:eastAsia="Times New Roman" w:cs="Times New Roman"/>
                <w:color w:val="000000"/>
                <w:sz w:val="18"/>
                <w:szCs w:val="18"/>
                <w:lang w:eastAsia="en-AU"/>
              </w:rPr>
              <w:t xml:space="preserve"> infection/exposure but does not, in isolation, confirm active enteric infection or clinical disease at the time of sampling.</w:t>
            </w:r>
          </w:p>
        </w:tc>
        <w:tc>
          <w:tcPr>
            <w:tcW w:w="1418" w:type="dxa"/>
            <w:tcMar>
              <w:left w:w="57" w:type="dxa"/>
              <w:right w:w="57" w:type="dxa"/>
            </w:tcMar>
            <w:vAlign w:val="center"/>
          </w:tcPr>
          <w:p w14:paraId="2C5573B2"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312</w:t>
            </w:r>
          </w:p>
        </w:tc>
        <w:tc>
          <w:tcPr>
            <w:tcW w:w="1559" w:type="dxa"/>
            <w:tcMar>
              <w:left w:w="57" w:type="dxa"/>
              <w:right w:w="57" w:type="dxa"/>
            </w:tcMar>
            <w:vAlign w:val="center"/>
          </w:tcPr>
          <w:p w14:paraId="65443DC4"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06027AB3"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2829C71F"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60</w:t>
            </w:r>
          </w:p>
        </w:tc>
        <w:tc>
          <w:tcPr>
            <w:tcW w:w="851" w:type="dxa"/>
            <w:tcMar>
              <w:left w:w="57" w:type="dxa"/>
              <w:right w:w="57" w:type="dxa"/>
            </w:tcMar>
            <w:vAlign w:val="center"/>
          </w:tcPr>
          <w:p w14:paraId="65C8BC89"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w:t>
            </w:r>
          </w:p>
        </w:tc>
      </w:tr>
      <w:tr w:rsidR="00C15509" w:rsidRPr="001F70C4" w14:paraId="4C96E8E3" w14:textId="77777777" w:rsidTr="00C05EDC">
        <w:trPr>
          <w:trHeight w:val="20"/>
        </w:trPr>
        <w:tc>
          <w:tcPr>
            <w:tcW w:w="1156" w:type="dxa"/>
            <w:vMerge/>
            <w:tcMar>
              <w:left w:w="57" w:type="dxa"/>
              <w:right w:w="57" w:type="dxa"/>
            </w:tcMar>
          </w:tcPr>
          <w:p w14:paraId="514D8F14" w14:textId="77777777" w:rsidR="00C15509" w:rsidRPr="001F70C4" w:rsidRDefault="00C15509" w:rsidP="00C15509">
            <w:pPr>
              <w:spacing w:after="0" w:line="240" w:lineRule="auto"/>
              <w:rPr>
                <w:rFonts w:eastAsia="Times New Roman" w:cs="Times New Roman"/>
                <w:color w:val="000000"/>
                <w:sz w:val="18"/>
                <w:szCs w:val="18"/>
                <w:lang w:eastAsia="en-AU"/>
              </w:rPr>
            </w:pPr>
          </w:p>
        </w:tc>
        <w:tc>
          <w:tcPr>
            <w:tcW w:w="1538" w:type="dxa"/>
            <w:vMerge/>
            <w:tcMar>
              <w:left w:w="57" w:type="dxa"/>
              <w:right w:w="57" w:type="dxa"/>
            </w:tcMar>
            <w:vAlign w:val="center"/>
          </w:tcPr>
          <w:p w14:paraId="2776C969" w14:textId="77777777" w:rsidR="00C15509" w:rsidRPr="001F70C4" w:rsidRDefault="00C15509" w:rsidP="00C15509">
            <w:pPr>
              <w:spacing w:after="0" w:line="240" w:lineRule="auto"/>
              <w:rPr>
                <w:rFonts w:eastAsia="Times New Roman" w:cs="Times New Roman"/>
                <w:color w:val="000000"/>
                <w:sz w:val="18"/>
                <w:szCs w:val="18"/>
                <w:lang w:eastAsia="en-AU"/>
              </w:rPr>
            </w:pPr>
          </w:p>
        </w:tc>
        <w:tc>
          <w:tcPr>
            <w:tcW w:w="1197" w:type="dxa"/>
            <w:tcMar>
              <w:left w:w="57" w:type="dxa"/>
              <w:right w:w="57" w:type="dxa"/>
            </w:tcMar>
            <w:vAlign w:val="center"/>
          </w:tcPr>
          <w:p w14:paraId="13197E24" w14:textId="77777777" w:rsidR="00C15509" w:rsidRPr="001F70C4" w:rsidRDefault="00C15509" w:rsidP="00C15509">
            <w:pPr>
              <w:spacing w:after="0" w:line="240" w:lineRule="auto"/>
              <w:rPr>
                <w:rFonts w:eastAsia="Times New Roman" w:cs="Times New Roman"/>
                <w:i/>
                <w:iCs/>
                <w:color w:val="000000"/>
                <w:sz w:val="18"/>
                <w:szCs w:val="18"/>
                <w:lang w:eastAsia="en-AU"/>
              </w:rPr>
            </w:pPr>
            <w:r w:rsidRPr="001F70C4">
              <w:rPr>
                <w:rFonts w:eastAsia="Times New Roman" w:cs="Times New Roman"/>
                <w:i/>
                <w:iCs/>
                <w:color w:val="000000"/>
                <w:sz w:val="18"/>
                <w:szCs w:val="18"/>
                <w:lang w:eastAsia="en-AU"/>
              </w:rPr>
              <w:t>Vsp5</w:t>
            </w:r>
          </w:p>
        </w:tc>
        <w:tc>
          <w:tcPr>
            <w:tcW w:w="2630" w:type="dxa"/>
            <w:vMerge/>
            <w:tcMar>
              <w:left w:w="57" w:type="dxa"/>
              <w:right w:w="57" w:type="dxa"/>
            </w:tcMar>
            <w:vAlign w:val="center"/>
          </w:tcPr>
          <w:p w14:paraId="5408D902" w14:textId="77777777" w:rsidR="00C15509" w:rsidRPr="001F70C4" w:rsidRDefault="00C15509" w:rsidP="00C15509">
            <w:pPr>
              <w:spacing w:after="0" w:line="240" w:lineRule="auto"/>
              <w:rPr>
                <w:rFonts w:eastAsia="Times New Roman" w:cs="Times New Roman"/>
                <w:color w:val="000000"/>
                <w:sz w:val="18"/>
                <w:szCs w:val="18"/>
                <w:lang w:eastAsia="en-AU"/>
              </w:rPr>
            </w:pPr>
          </w:p>
        </w:tc>
        <w:tc>
          <w:tcPr>
            <w:tcW w:w="1418" w:type="dxa"/>
            <w:tcMar>
              <w:left w:w="57" w:type="dxa"/>
              <w:right w:w="57" w:type="dxa"/>
            </w:tcMar>
            <w:vAlign w:val="center"/>
          </w:tcPr>
          <w:p w14:paraId="727A08D3"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445</w:t>
            </w:r>
          </w:p>
        </w:tc>
        <w:tc>
          <w:tcPr>
            <w:tcW w:w="1559" w:type="dxa"/>
            <w:tcMar>
              <w:left w:w="57" w:type="dxa"/>
              <w:right w:w="57" w:type="dxa"/>
            </w:tcMar>
            <w:vAlign w:val="center"/>
          </w:tcPr>
          <w:p w14:paraId="4EB18475"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ROC</w:t>
            </w:r>
          </w:p>
        </w:tc>
        <w:tc>
          <w:tcPr>
            <w:tcW w:w="1134" w:type="dxa"/>
            <w:tcMar>
              <w:left w:w="57" w:type="dxa"/>
              <w:right w:w="57" w:type="dxa"/>
            </w:tcMar>
            <w:vAlign w:val="center"/>
          </w:tcPr>
          <w:p w14:paraId="0B335573"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Recombinant CDC</w:t>
            </w:r>
          </w:p>
        </w:tc>
        <w:tc>
          <w:tcPr>
            <w:tcW w:w="1417" w:type="dxa"/>
            <w:tcMar>
              <w:left w:w="57" w:type="dxa"/>
              <w:right w:w="57" w:type="dxa"/>
            </w:tcMar>
            <w:vAlign w:val="center"/>
          </w:tcPr>
          <w:p w14:paraId="4B61C131"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60</w:t>
            </w:r>
          </w:p>
        </w:tc>
        <w:tc>
          <w:tcPr>
            <w:tcW w:w="851" w:type="dxa"/>
            <w:tcMar>
              <w:left w:w="57" w:type="dxa"/>
              <w:right w:w="57" w:type="dxa"/>
            </w:tcMar>
            <w:vAlign w:val="center"/>
          </w:tcPr>
          <w:p w14:paraId="003D5949" w14:textId="77777777" w:rsidR="00C15509" w:rsidRPr="001F70C4" w:rsidRDefault="00C15509" w:rsidP="00C15509">
            <w:pPr>
              <w:spacing w:after="0" w:line="240" w:lineRule="auto"/>
              <w:rPr>
                <w:rFonts w:eastAsia="Times New Roman" w:cs="Times New Roman"/>
                <w:color w:val="000000"/>
                <w:sz w:val="18"/>
                <w:szCs w:val="18"/>
                <w:lang w:eastAsia="en-AU"/>
              </w:rPr>
            </w:pPr>
            <w:r w:rsidRPr="001F70C4">
              <w:rPr>
                <w:rFonts w:eastAsia="Times New Roman" w:cs="Times New Roman"/>
                <w:color w:val="000000"/>
                <w:sz w:val="18"/>
                <w:szCs w:val="18"/>
                <w:lang w:eastAsia="en-AU"/>
              </w:rPr>
              <w:t>5</w:t>
            </w:r>
          </w:p>
        </w:tc>
      </w:tr>
    </w:tbl>
    <w:p w14:paraId="54711C1D" w14:textId="6F927D62" w:rsidR="009154C5" w:rsidRPr="001F70C4" w:rsidRDefault="009154C5" w:rsidP="009154C5">
      <w:pPr>
        <w:rPr>
          <w:b/>
          <w:bCs/>
          <w:i/>
          <w:iCs/>
        </w:rPr>
        <w:sectPr w:rsidR="009154C5" w:rsidRPr="001F70C4" w:rsidSect="009154C5">
          <w:pgSz w:w="15840" w:h="12240" w:orient="landscape"/>
          <w:pgMar w:top="1440" w:right="1440" w:bottom="1440" w:left="1440" w:header="720" w:footer="720" w:gutter="0"/>
          <w:lnNumType w:countBy="1" w:restart="continuous"/>
          <w:cols w:space="720"/>
          <w:docGrid w:linePitch="360"/>
        </w:sectPr>
      </w:pPr>
    </w:p>
    <w:p w14:paraId="16993450" w14:textId="641D9D69" w:rsidR="009154C5" w:rsidRPr="009154C5" w:rsidRDefault="009154C5">
      <w:pPr>
        <w:rPr>
          <w:b/>
          <w:bCs/>
        </w:rPr>
      </w:pPr>
      <w:r>
        <w:rPr>
          <w:b/>
          <w:bCs/>
        </w:rPr>
        <w:lastRenderedPageBreak/>
        <w:t>REFERENCES</w:t>
      </w:r>
    </w:p>
    <w:p w14:paraId="6D6B8BC9" w14:textId="77777777" w:rsidR="006A01D9" w:rsidRPr="006A01D9" w:rsidRDefault="009154C5" w:rsidP="006A01D9">
      <w:pPr>
        <w:pStyle w:val="EndNoteBibliography"/>
        <w:spacing w:after="0"/>
      </w:pPr>
      <w:r>
        <w:fldChar w:fldCharType="begin"/>
      </w:r>
      <w:r>
        <w:instrText xml:space="preserve"> ADDIN EN.REFLIST </w:instrText>
      </w:r>
      <w:r>
        <w:fldChar w:fldCharType="separate"/>
      </w:r>
      <w:r w:rsidR="006A01D9" w:rsidRPr="006A01D9">
        <w:t>1.</w:t>
      </w:r>
      <w:r w:rsidR="006A01D9" w:rsidRPr="006A01D9">
        <w:tab/>
        <w:t xml:space="preserve">Lawford HLS, Sartorius B, Mayfield HJ, et al. Sensitivity of anti-filarial antibodies for lymphatic filariasis surveillance: Insights from a serological survey in Samoa in 2018. </w:t>
      </w:r>
      <w:r w:rsidR="006A01D9" w:rsidRPr="006A01D9">
        <w:rPr>
          <w:i/>
        </w:rPr>
        <w:t>PLoS Negl Trop Dis</w:t>
      </w:r>
      <w:r w:rsidR="006A01D9" w:rsidRPr="006A01D9">
        <w:t xml:space="preserve"> 2025; </w:t>
      </w:r>
      <w:r w:rsidR="006A01D9" w:rsidRPr="006A01D9">
        <w:rPr>
          <w:b/>
        </w:rPr>
        <w:t>19</w:t>
      </w:r>
      <w:r w:rsidR="006A01D9" w:rsidRPr="006A01D9">
        <w:t>(1): e0012835.</w:t>
      </w:r>
    </w:p>
    <w:p w14:paraId="57229EF4" w14:textId="77777777" w:rsidR="006A01D9" w:rsidRPr="006A01D9" w:rsidRDefault="006A01D9" w:rsidP="006A01D9">
      <w:pPr>
        <w:pStyle w:val="EndNoteBibliography"/>
        <w:spacing w:after="0"/>
      </w:pPr>
      <w:r w:rsidRPr="006A01D9">
        <w:t>2.</w:t>
      </w:r>
      <w:r w:rsidRPr="006A01D9">
        <w:tab/>
        <w:t xml:space="preserve">Macleod CK, Butcher R, Javati S, et al. Trachoma, Anti-Pgp3 Serology, and Ocular Chlamydia trachomatis Infection in Papua New Guinea. </w:t>
      </w:r>
      <w:r w:rsidRPr="006A01D9">
        <w:rPr>
          <w:i/>
        </w:rPr>
        <w:t>Clin Infect Dis</w:t>
      </w:r>
      <w:r w:rsidRPr="006A01D9">
        <w:t xml:space="preserve"> 2021; </w:t>
      </w:r>
      <w:r w:rsidRPr="006A01D9">
        <w:rPr>
          <w:b/>
        </w:rPr>
        <w:t>72</w:t>
      </w:r>
      <w:r w:rsidRPr="006A01D9">
        <w:t>(3): 423–30.</w:t>
      </w:r>
    </w:p>
    <w:p w14:paraId="4F31830E" w14:textId="77777777" w:rsidR="006A01D9" w:rsidRPr="006A01D9" w:rsidRDefault="006A01D9" w:rsidP="006A01D9">
      <w:pPr>
        <w:pStyle w:val="EndNoteBibliography"/>
        <w:spacing w:after="0"/>
      </w:pPr>
      <w:r w:rsidRPr="006A01D9">
        <w:t>3.</w:t>
      </w:r>
      <w:r w:rsidRPr="006A01D9">
        <w:tab/>
        <w:t xml:space="preserve">Van Damme P, Burgess M. Immunogenicity of a combined diphtheria–tetanus–acellular pertussis vaccine in adults. </w:t>
      </w:r>
      <w:r w:rsidRPr="006A01D9">
        <w:rPr>
          <w:i/>
        </w:rPr>
        <w:t>Vaccine</w:t>
      </w:r>
      <w:r w:rsidRPr="006A01D9">
        <w:t xml:space="preserve"> 2004; </w:t>
      </w:r>
      <w:r w:rsidRPr="006A01D9">
        <w:rPr>
          <w:b/>
        </w:rPr>
        <w:t>22</w:t>
      </w:r>
      <w:r w:rsidRPr="006A01D9">
        <w:t>(3-4): 305–8.</w:t>
      </w:r>
    </w:p>
    <w:p w14:paraId="6046ACE0" w14:textId="77777777" w:rsidR="006A01D9" w:rsidRPr="006A01D9" w:rsidRDefault="006A01D9" w:rsidP="006A01D9">
      <w:pPr>
        <w:pStyle w:val="EndNoteBibliography"/>
      </w:pPr>
      <w:r w:rsidRPr="006A01D9">
        <w:t>4.</w:t>
      </w:r>
      <w:r w:rsidRPr="006A01D9">
        <w:tab/>
        <w:t xml:space="preserve">Carcelen AC, Monjane C, Bérubé S, et al. Multiplex bead assays enable integrated serological surveillance and reveal cross-pathogen vulnerabilities in Zambezia Province, Mozambique. </w:t>
      </w:r>
      <w:r w:rsidRPr="006A01D9">
        <w:rPr>
          <w:i/>
        </w:rPr>
        <w:t>Nature Communications</w:t>
      </w:r>
      <w:r w:rsidRPr="006A01D9">
        <w:t xml:space="preserve"> 2025; </w:t>
      </w:r>
      <w:r w:rsidRPr="006A01D9">
        <w:rPr>
          <w:b/>
        </w:rPr>
        <w:t>16</w:t>
      </w:r>
      <w:r w:rsidRPr="006A01D9">
        <w:t>(1): 7946.</w:t>
      </w:r>
    </w:p>
    <w:p w14:paraId="12506FFC" w14:textId="2057B851" w:rsidR="00DF2BE1" w:rsidRDefault="009154C5">
      <w:r>
        <w:fldChar w:fldCharType="end"/>
      </w:r>
    </w:p>
    <w:sectPr w:rsidR="00DF2BE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2A468" w14:textId="77777777" w:rsidR="0021774D" w:rsidRDefault="0021774D">
      <w:pPr>
        <w:spacing w:after="0" w:line="240" w:lineRule="auto"/>
      </w:pPr>
      <w:r>
        <w:separator/>
      </w:r>
    </w:p>
  </w:endnote>
  <w:endnote w:type="continuationSeparator" w:id="0">
    <w:p w14:paraId="4EC303EF" w14:textId="77777777" w:rsidR="0021774D" w:rsidRDefault="00217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123341"/>
      <w:docPartObj>
        <w:docPartGallery w:val="Page Numbers (Bottom of Page)"/>
        <w:docPartUnique/>
      </w:docPartObj>
    </w:sdtPr>
    <w:sdtEndPr/>
    <w:sdtContent>
      <w:p w14:paraId="21BAFF82" w14:textId="77777777" w:rsidR="009154C5" w:rsidRPr="001F70C4" w:rsidRDefault="009154C5">
        <w:pPr>
          <w:pStyle w:val="Footer"/>
          <w:jc w:val="right"/>
        </w:pPr>
        <w:r w:rsidRPr="001F70C4">
          <w:fldChar w:fldCharType="begin"/>
        </w:r>
        <w:r w:rsidRPr="001F70C4">
          <w:instrText>PAGE   \* MERGEFORMAT</w:instrText>
        </w:r>
        <w:r w:rsidRPr="001F70C4">
          <w:fldChar w:fldCharType="separate"/>
        </w:r>
        <w:r w:rsidRPr="001F70C4">
          <w:t>2</w:t>
        </w:r>
        <w:r w:rsidRPr="001F70C4">
          <w:fldChar w:fldCharType="end"/>
        </w:r>
      </w:p>
    </w:sdtContent>
  </w:sdt>
  <w:p w14:paraId="1DE8E809" w14:textId="77777777" w:rsidR="009154C5" w:rsidRPr="001F70C4" w:rsidRDefault="00915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4E45D" w14:textId="77777777" w:rsidR="0021774D" w:rsidRDefault="0021774D">
      <w:pPr>
        <w:spacing w:after="0" w:line="240" w:lineRule="auto"/>
      </w:pPr>
      <w:r>
        <w:separator/>
      </w:r>
    </w:p>
  </w:footnote>
  <w:footnote w:type="continuationSeparator" w:id="0">
    <w:p w14:paraId="27531915" w14:textId="77777777" w:rsidR="0021774D" w:rsidRDefault="002177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5frfed242xt90etrfjxwf5awz2pffassad0&quot;&gt;Niue multipathogen serosurveillance Copy&lt;record-ids&gt;&lt;item&gt;10&lt;/item&gt;&lt;item&gt;34&lt;/item&gt;&lt;item&gt;37&lt;/item&gt;&lt;/record-ids&gt;&lt;/item&gt;&lt;/Libraries&gt;"/>
  </w:docVars>
  <w:rsids>
    <w:rsidRoot w:val="009154C5"/>
    <w:rsid w:val="00021EC8"/>
    <w:rsid w:val="000469C7"/>
    <w:rsid w:val="00092AB0"/>
    <w:rsid w:val="00097D50"/>
    <w:rsid w:val="00102701"/>
    <w:rsid w:val="00105CFC"/>
    <w:rsid w:val="00112E34"/>
    <w:rsid w:val="001220AB"/>
    <w:rsid w:val="00137D14"/>
    <w:rsid w:val="00137D16"/>
    <w:rsid w:val="00160CB2"/>
    <w:rsid w:val="00182C8E"/>
    <w:rsid w:val="001F13EA"/>
    <w:rsid w:val="002056C9"/>
    <w:rsid w:val="00207254"/>
    <w:rsid w:val="0021479C"/>
    <w:rsid w:val="002158D1"/>
    <w:rsid w:val="0021774D"/>
    <w:rsid w:val="0023527F"/>
    <w:rsid w:val="00235C2C"/>
    <w:rsid w:val="002640FD"/>
    <w:rsid w:val="0028087F"/>
    <w:rsid w:val="0028391A"/>
    <w:rsid w:val="002A2E2B"/>
    <w:rsid w:val="002D07F6"/>
    <w:rsid w:val="0031468D"/>
    <w:rsid w:val="003436B4"/>
    <w:rsid w:val="004019CD"/>
    <w:rsid w:val="0041278D"/>
    <w:rsid w:val="00420738"/>
    <w:rsid w:val="00431729"/>
    <w:rsid w:val="004328F8"/>
    <w:rsid w:val="00435EDF"/>
    <w:rsid w:val="0046760F"/>
    <w:rsid w:val="0048029B"/>
    <w:rsid w:val="00485803"/>
    <w:rsid w:val="005117D2"/>
    <w:rsid w:val="00512C61"/>
    <w:rsid w:val="00590C1F"/>
    <w:rsid w:val="005B3AC8"/>
    <w:rsid w:val="005C35DC"/>
    <w:rsid w:val="005E3FBB"/>
    <w:rsid w:val="005F671D"/>
    <w:rsid w:val="00604B8F"/>
    <w:rsid w:val="00622ECF"/>
    <w:rsid w:val="0063078C"/>
    <w:rsid w:val="00642AF0"/>
    <w:rsid w:val="00673712"/>
    <w:rsid w:val="00684168"/>
    <w:rsid w:val="006A01D9"/>
    <w:rsid w:val="006B67A5"/>
    <w:rsid w:val="006C1477"/>
    <w:rsid w:val="007023C0"/>
    <w:rsid w:val="0071088E"/>
    <w:rsid w:val="0071648A"/>
    <w:rsid w:val="00720182"/>
    <w:rsid w:val="00735E0A"/>
    <w:rsid w:val="007464F4"/>
    <w:rsid w:val="00760ED4"/>
    <w:rsid w:val="007926F6"/>
    <w:rsid w:val="007C562B"/>
    <w:rsid w:val="0081503F"/>
    <w:rsid w:val="008800D7"/>
    <w:rsid w:val="00884977"/>
    <w:rsid w:val="008B7F31"/>
    <w:rsid w:val="008C029B"/>
    <w:rsid w:val="008C0514"/>
    <w:rsid w:val="008E4713"/>
    <w:rsid w:val="008F79AA"/>
    <w:rsid w:val="009154C5"/>
    <w:rsid w:val="009341BE"/>
    <w:rsid w:val="0094149B"/>
    <w:rsid w:val="00943F1F"/>
    <w:rsid w:val="00987155"/>
    <w:rsid w:val="009B2621"/>
    <w:rsid w:val="009C04DE"/>
    <w:rsid w:val="009E68F6"/>
    <w:rsid w:val="00A051A8"/>
    <w:rsid w:val="00A2688E"/>
    <w:rsid w:val="00A45721"/>
    <w:rsid w:val="00A476D8"/>
    <w:rsid w:val="00A6598C"/>
    <w:rsid w:val="00A80EFD"/>
    <w:rsid w:val="00A833DF"/>
    <w:rsid w:val="00A868F1"/>
    <w:rsid w:val="00B0521B"/>
    <w:rsid w:val="00B16CC8"/>
    <w:rsid w:val="00B75A52"/>
    <w:rsid w:val="00BD01BE"/>
    <w:rsid w:val="00BD5867"/>
    <w:rsid w:val="00BF115A"/>
    <w:rsid w:val="00C05EDC"/>
    <w:rsid w:val="00C15509"/>
    <w:rsid w:val="00CA5573"/>
    <w:rsid w:val="00CF4668"/>
    <w:rsid w:val="00DA32F3"/>
    <w:rsid w:val="00DC2665"/>
    <w:rsid w:val="00DC39EB"/>
    <w:rsid w:val="00DE47C7"/>
    <w:rsid w:val="00DF257D"/>
    <w:rsid w:val="00DF2BE1"/>
    <w:rsid w:val="00E21628"/>
    <w:rsid w:val="00E52875"/>
    <w:rsid w:val="00E6045E"/>
    <w:rsid w:val="00E647C1"/>
    <w:rsid w:val="00E85E48"/>
    <w:rsid w:val="00EF20D1"/>
    <w:rsid w:val="00F15DD9"/>
    <w:rsid w:val="00F72017"/>
    <w:rsid w:val="00F72FD3"/>
    <w:rsid w:val="00F800A6"/>
    <w:rsid w:val="00F95945"/>
    <w:rsid w:val="00FA1E45"/>
    <w:rsid w:val="00FD58A3"/>
    <w:rsid w:val="00FF5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8769C"/>
  <w15:chartTrackingRefBased/>
  <w15:docId w15:val="{F53D284B-4D16-4EFE-8ECB-14B8E4F7C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4C5"/>
    <w:pPr>
      <w:spacing w:after="200" w:line="276" w:lineRule="auto"/>
    </w:pPr>
    <w:rPr>
      <w:rFonts w:ascii="Times New Roman" w:eastAsiaTheme="minorEastAsia" w:hAnsi="Times New Roman"/>
      <w:kern w:val="0"/>
      <w14:ligatures w14:val="none"/>
    </w:rPr>
  </w:style>
  <w:style w:type="paragraph" w:styleId="Heading1">
    <w:name w:val="heading 1"/>
    <w:basedOn w:val="Normal"/>
    <w:next w:val="Normal"/>
    <w:link w:val="Heading1Char"/>
    <w:uiPriority w:val="9"/>
    <w:qFormat/>
    <w:rsid w:val="009154C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154C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154C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154C5"/>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154C5"/>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154C5"/>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154C5"/>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154C5"/>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154C5"/>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4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54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54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54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54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54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4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4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4C5"/>
    <w:rPr>
      <w:rFonts w:eastAsiaTheme="majorEastAsia" w:cstheme="majorBidi"/>
      <w:color w:val="272727" w:themeColor="text1" w:themeTint="D8"/>
    </w:rPr>
  </w:style>
  <w:style w:type="paragraph" w:styleId="Title">
    <w:name w:val="Title"/>
    <w:basedOn w:val="Normal"/>
    <w:next w:val="Normal"/>
    <w:link w:val="TitleChar"/>
    <w:uiPriority w:val="10"/>
    <w:qFormat/>
    <w:rsid w:val="009154C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154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4C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154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4C5"/>
    <w:pPr>
      <w:spacing w:before="160" w:after="160" w:line="259" w:lineRule="auto"/>
      <w:jc w:val="center"/>
    </w:pPr>
    <w:rPr>
      <w:rFonts w:asciiTheme="minorHAnsi" w:eastAsia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9154C5"/>
    <w:rPr>
      <w:i/>
      <w:iCs/>
      <w:color w:val="404040" w:themeColor="text1" w:themeTint="BF"/>
    </w:rPr>
  </w:style>
  <w:style w:type="paragraph" w:styleId="ListParagraph">
    <w:name w:val="List Paragraph"/>
    <w:basedOn w:val="Normal"/>
    <w:uiPriority w:val="34"/>
    <w:qFormat/>
    <w:rsid w:val="009154C5"/>
    <w:pPr>
      <w:spacing w:after="160" w:line="259" w:lineRule="auto"/>
      <w:ind w:left="720"/>
      <w:contextualSpacing/>
    </w:pPr>
    <w:rPr>
      <w:rFonts w:asciiTheme="minorHAnsi" w:eastAsiaTheme="minorHAnsi" w:hAnsiTheme="minorHAnsi"/>
      <w:kern w:val="2"/>
      <w14:ligatures w14:val="standardContextual"/>
    </w:rPr>
  </w:style>
  <w:style w:type="character" w:styleId="IntenseEmphasis">
    <w:name w:val="Intense Emphasis"/>
    <w:basedOn w:val="DefaultParagraphFont"/>
    <w:uiPriority w:val="21"/>
    <w:qFormat/>
    <w:rsid w:val="009154C5"/>
    <w:rPr>
      <w:i/>
      <w:iCs/>
      <w:color w:val="0F4761" w:themeColor="accent1" w:themeShade="BF"/>
    </w:rPr>
  </w:style>
  <w:style w:type="paragraph" w:styleId="IntenseQuote">
    <w:name w:val="Intense Quote"/>
    <w:basedOn w:val="Normal"/>
    <w:next w:val="Normal"/>
    <w:link w:val="IntenseQuoteChar"/>
    <w:uiPriority w:val="30"/>
    <w:qFormat/>
    <w:rsid w:val="009154C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154C5"/>
    <w:rPr>
      <w:i/>
      <w:iCs/>
      <w:color w:val="0F4761" w:themeColor="accent1" w:themeShade="BF"/>
    </w:rPr>
  </w:style>
  <w:style w:type="character" w:styleId="IntenseReference">
    <w:name w:val="Intense Reference"/>
    <w:basedOn w:val="DefaultParagraphFont"/>
    <w:uiPriority w:val="32"/>
    <w:qFormat/>
    <w:rsid w:val="009154C5"/>
    <w:rPr>
      <w:b/>
      <w:bCs/>
      <w:smallCaps/>
      <w:color w:val="0F4761" w:themeColor="accent1" w:themeShade="BF"/>
      <w:spacing w:val="5"/>
    </w:rPr>
  </w:style>
  <w:style w:type="paragraph" w:styleId="Footer">
    <w:name w:val="footer"/>
    <w:basedOn w:val="Normal"/>
    <w:link w:val="FooterChar"/>
    <w:uiPriority w:val="99"/>
    <w:unhideWhenUsed/>
    <w:rsid w:val="00915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4C5"/>
    <w:rPr>
      <w:rFonts w:ascii="Times New Roman" w:eastAsiaTheme="minorEastAsia" w:hAnsi="Times New Roman"/>
      <w:kern w:val="0"/>
      <w14:ligatures w14:val="none"/>
    </w:rPr>
  </w:style>
  <w:style w:type="character" w:styleId="LineNumber">
    <w:name w:val="line number"/>
    <w:basedOn w:val="DefaultParagraphFont"/>
    <w:uiPriority w:val="99"/>
    <w:semiHidden/>
    <w:unhideWhenUsed/>
    <w:rsid w:val="009154C5"/>
  </w:style>
  <w:style w:type="paragraph" w:customStyle="1" w:styleId="EndNoteBibliographyTitle">
    <w:name w:val="EndNote Bibliography Title"/>
    <w:basedOn w:val="Normal"/>
    <w:link w:val="EndNoteBibliographyTitleChar"/>
    <w:rsid w:val="009154C5"/>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9154C5"/>
    <w:rPr>
      <w:rFonts w:ascii="Times New Roman" w:eastAsiaTheme="minorEastAsia" w:hAnsi="Times New Roman" w:cs="Times New Roman"/>
      <w:noProof/>
      <w:kern w:val="0"/>
      <w:lang w:val="en-US"/>
      <w14:ligatures w14:val="none"/>
    </w:rPr>
  </w:style>
  <w:style w:type="paragraph" w:customStyle="1" w:styleId="EndNoteBibliography">
    <w:name w:val="EndNote Bibliography"/>
    <w:basedOn w:val="Normal"/>
    <w:link w:val="EndNoteBibliographyChar"/>
    <w:rsid w:val="009154C5"/>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9154C5"/>
    <w:rPr>
      <w:rFonts w:ascii="Times New Roman" w:eastAsiaTheme="minorEastAsia" w:hAnsi="Times New Roman" w:cs="Times New Roman"/>
      <w:noProof/>
      <w:kern w:val="0"/>
      <w:lang w:val="en-US"/>
      <w14:ligatures w14:val="none"/>
    </w:rPr>
  </w:style>
  <w:style w:type="character" w:styleId="CommentReference">
    <w:name w:val="annotation reference"/>
    <w:basedOn w:val="DefaultParagraphFont"/>
    <w:uiPriority w:val="99"/>
    <w:semiHidden/>
    <w:unhideWhenUsed/>
    <w:rsid w:val="0048029B"/>
    <w:rPr>
      <w:sz w:val="16"/>
      <w:szCs w:val="16"/>
    </w:rPr>
  </w:style>
  <w:style w:type="paragraph" w:styleId="CommentText">
    <w:name w:val="annotation text"/>
    <w:basedOn w:val="Normal"/>
    <w:link w:val="CommentTextChar"/>
    <w:uiPriority w:val="99"/>
    <w:unhideWhenUsed/>
    <w:rsid w:val="0048029B"/>
    <w:pPr>
      <w:spacing w:line="240" w:lineRule="auto"/>
    </w:pPr>
    <w:rPr>
      <w:sz w:val="20"/>
      <w:szCs w:val="20"/>
    </w:rPr>
  </w:style>
  <w:style w:type="character" w:customStyle="1" w:styleId="CommentTextChar">
    <w:name w:val="Comment Text Char"/>
    <w:basedOn w:val="DefaultParagraphFont"/>
    <w:link w:val="CommentText"/>
    <w:uiPriority w:val="99"/>
    <w:rsid w:val="0048029B"/>
    <w:rPr>
      <w:rFonts w:ascii="Times New Roman" w:eastAsiaTheme="minorEastAsia"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8029B"/>
    <w:rPr>
      <w:b/>
      <w:bCs/>
    </w:rPr>
  </w:style>
  <w:style w:type="character" w:customStyle="1" w:styleId="CommentSubjectChar">
    <w:name w:val="Comment Subject Char"/>
    <w:basedOn w:val="CommentTextChar"/>
    <w:link w:val="CommentSubject"/>
    <w:uiPriority w:val="99"/>
    <w:semiHidden/>
    <w:rsid w:val="0048029B"/>
    <w:rPr>
      <w:rFonts w:ascii="Times New Roman" w:eastAsiaTheme="minorEastAsia" w:hAnsi="Times New Roman"/>
      <w:b/>
      <w:bCs/>
      <w:kern w:val="0"/>
      <w:sz w:val="20"/>
      <w:szCs w:val="20"/>
      <w14:ligatures w14:val="none"/>
    </w:rPr>
  </w:style>
  <w:style w:type="paragraph" w:styleId="Revision">
    <w:name w:val="Revision"/>
    <w:hidden/>
    <w:uiPriority w:val="99"/>
    <w:semiHidden/>
    <w:rsid w:val="00112E34"/>
    <w:pPr>
      <w:spacing w:after="0" w:line="240" w:lineRule="auto"/>
    </w:pPr>
    <w:rPr>
      <w:rFonts w:ascii="Times New Roman" w:eastAsiaTheme="minorEastAsia" w:hAnsi="Times New Roman"/>
      <w:kern w:val="0"/>
      <w14:ligatures w14:val="none"/>
    </w:rPr>
  </w:style>
  <w:style w:type="paragraph" w:styleId="Header">
    <w:name w:val="header"/>
    <w:basedOn w:val="Normal"/>
    <w:link w:val="HeaderChar"/>
    <w:uiPriority w:val="99"/>
    <w:unhideWhenUsed/>
    <w:rsid w:val="00EF20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0D1"/>
    <w:rPr>
      <w:rFonts w:ascii="Times New Roman" w:eastAsiaTheme="minorEastAsia" w:hAnsi="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2044</Words>
  <Characters>11652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Lawford</dc:creator>
  <cp:keywords/>
  <dc:description/>
  <cp:lastModifiedBy>Harriet Lawford</cp:lastModifiedBy>
  <cp:revision>33</cp:revision>
  <dcterms:created xsi:type="dcterms:W3CDTF">2026-08-26T12:37:00Z</dcterms:created>
  <dcterms:modified xsi:type="dcterms:W3CDTF">2026-09-15T16:06:00Z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2026-03-17T11:58:00Z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b6ca4e1e-a53d-420b-a5d4-edc20dd746db</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