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79EEA">
      <w:pPr>
        <w:tabs>
          <w:tab w:val="left" w:pos="3492"/>
        </w:tabs>
        <w:spacing w:line="360" w:lineRule="auto"/>
        <w:jc w:val="center"/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 xml:space="preserve">Prevalence and associated factors of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32"/>
          <w:szCs w:val="40"/>
          <w:shd w:val="clear" w:fill="auto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asic activities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 xml:space="preserve"> of 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 xml:space="preserve">aily 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>iving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32"/>
          <w:szCs w:val="40"/>
          <w:shd w:val="clear" w:fill="auto"/>
          <w:lang w:val="en-US" w:eastAsia="zh-CN"/>
        </w:rPr>
        <w:t>i</w:t>
      </w: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caps w:val="0"/>
          <w:color w:val="auto"/>
          <w:spacing w:val="0"/>
          <w:sz w:val="32"/>
          <w:szCs w:val="40"/>
          <w:shd w:val="clear" w:fill="auto"/>
        </w:rPr>
        <w:t>mpairment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32"/>
          <w:szCs w:val="40"/>
          <w:shd w:val="clear" w:fill="auto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>in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 xml:space="preserve"> Chinese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 xml:space="preserve"> patients with comorbid 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T2DM</w:t>
      </w: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 xml:space="preserve"> and hypertension</w:t>
      </w:r>
    </w:p>
    <w:p w14:paraId="430D693F">
      <w:pPr>
        <w:pStyle w:val="13"/>
        <w:bidi w:val="0"/>
        <w:spacing w:line="480" w:lineRule="auto"/>
        <w:rPr>
          <w:rFonts w:hint="default"/>
          <w:lang w:val="en-US" w:eastAsia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>Ziling Feng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eastAsia"/>
          <w:vertAlign w:val="superscript"/>
          <w:lang w:val="en-US" w:eastAsia="zh-CN"/>
        </w:rPr>
        <w:t>†</w:t>
      </w:r>
      <w:r>
        <w:rPr>
          <w:rFonts w:hint="eastAsia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lang w:val="en-US" w:eastAsia="zh-CN"/>
        </w:rPr>
        <w:t>Wenduo Yu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1</w:t>
      </w:r>
      <w:r>
        <w:rPr>
          <w:rFonts w:hint="eastAsia"/>
          <w:vertAlign w:val="superscript"/>
          <w:lang w:val="en-US" w:eastAsia="zh-CN"/>
        </w:rPr>
        <w:t>†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Hongying Liu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>Wenyan Zhang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>Ni Xiong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Leyao Tang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Hua Zhong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*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en-US"/>
        </w:rPr>
        <w:t>, Wenjie Dai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vertAlign w:val="superscript"/>
        </w:rPr>
        <w:t>*</w:t>
      </w:r>
    </w:p>
    <w:p w14:paraId="4251B84D">
      <w:pPr>
        <w:spacing w:line="480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Department of Epidemiology and Health Statistics, Xiangya School of Public Health, Central South University, Changsha, Hunan, China</w:t>
      </w:r>
    </w:p>
    <w:p w14:paraId="205702B9">
      <w:pPr>
        <w:spacing w:line="48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>Case Room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>Medical Department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Hunan Prevention and Treatment Institute for Occupational Diseases, Affiliated Prevention and Treatment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Institute for Occupational Diseases of University of South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China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en-US"/>
        </w:rPr>
        <w:t>Changsha, Hunan, China</w:t>
      </w:r>
    </w:p>
    <w:p w14:paraId="246449DE">
      <w:pPr>
        <w:spacing w:line="480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Department of Cardiology, National Clinical Research Center for Geriatric Disorders, Xiangya Hospital, Central South University, Changsha,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Hunan,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China</w:t>
      </w:r>
    </w:p>
    <w:p w14:paraId="0733DAA0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/>
          <w:vertAlign w:val="superscript"/>
          <w:lang w:val="en-US" w:eastAsia="zh-CN"/>
        </w:rPr>
        <w:t>†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These authors contributed equally to the work.</w:t>
      </w:r>
    </w:p>
    <w:p w14:paraId="62355545">
      <w:pPr>
        <w:spacing w:line="360" w:lineRule="auto"/>
        <w:rPr>
          <w:rFonts w:hint="default" w:ascii="Times New Roman" w:hAnsi="Times New Roman" w:cs="Times New Roman"/>
          <w:b/>
          <w:bCs/>
          <w:sz w:val="28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*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Corresponding author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s: Hua Zhong, </w:t>
      </w:r>
      <w:r>
        <w:rPr>
          <w:rFonts w:ascii="Times New Roman" w:hAnsi="Times New Roman" w:cs="Times New Roman"/>
          <w:sz w:val="24"/>
          <w:szCs w:val="28"/>
        </w:rPr>
        <w:t>Email: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8"/>
          <w:u w:val="none"/>
        </w:rPr>
        <w:t>zhonghua960@163.com</w:t>
      </w:r>
      <w:r>
        <w:rPr>
          <w:rFonts w:hint="eastAsia" w:ascii="Times New Roman" w:hAnsi="Times New Roman" w:cs="Times New Roman"/>
          <w:color w:val="auto"/>
          <w:sz w:val="24"/>
          <w:szCs w:val="28"/>
          <w:u w:val="none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Wenjie Dai, </w:t>
      </w:r>
      <w:r>
        <w:rPr>
          <w:rFonts w:ascii="Times New Roman" w:hAnsi="Times New Roman" w:cs="Times New Roman"/>
          <w:sz w:val="24"/>
          <w:szCs w:val="28"/>
        </w:rPr>
        <w:t xml:space="preserve">Email: </w:t>
      </w:r>
      <w:r>
        <w:rPr>
          <w:rFonts w:ascii="Times New Roman" w:hAnsi="Times New Roman" w:cs="Times New Roman"/>
          <w:color w:val="auto"/>
          <w:sz w:val="24"/>
          <w:szCs w:val="28"/>
          <w:u w:val="none"/>
        </w:rPr>
        <w:t>m18673965791@163.com</w:t>
      </w:r>
      <w:r>
        <w:rPr>
          <w:rFonts w:hint="eastAsia" w:ascii="Times New Roman" w:hAnsi="Times New Roman" w:cs="Times New Roman"/>
          <w:color w:val="auto"/>
          <w:sz w:val="24"/>
          <w:szCs w:val="28"/>
          <w:u w:val="none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Address: </w:t>
      </w:r>
      <w:r>
        <w:rPr>
          <w:rFonts w:ascii="Times New Roman" w:hAnsi="Times New Roman" w:cs="Times New Roman"/>
          <w:sz w:val="24"/>
          <w:szCs w:val="28"/>
        </w:rPr>
        <w:t>No. 172 Tongzipo Road, Yuelu District, Changsha, Hunan, China</w:t>
      </w:r>
    </w:p>
    <w:p w14:paraId="16E98829">
      <w:pPr>
        <w:rPr>
          <w:rFonts w:hint="default" w:ascii="Times New Roman" w:hAnsi="Times New Roman" w:cs="Times New Roman"/>
          <w:b/>
          <w:bCs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2"/>
          <w:lang w:val="en-US" w:eastAsia="zh-CN"/>
        </w:rPr>
        <w:br w:type="page"/>
      </w:r>
    </w:p>
    <w:p w14:paraId="7C690AB0">
      <w:pPr>
        <w:pStyle w:val="3"/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2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8"/>
          <w:szCs w:val="22"/>
          <w:lang w:val="en-US" w:eastAsia="zh-CN"/>
        </w:rPr>
        <w:t>Information</w:t>
      </w:r>
    </w:p>
    <w:p w14:paraId="27C41CBE">
      <w:pPr>
        <w:bidi w:val="0"/>
        <w:spacing w:line="360" w:lineRule="auto"/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1 Prevalence of individual T2DM-related complications among participants</w:t>
      </w:r>
    </w:p>
    <w:tbl>
      <w:tblPr>
        <w:tblStyle w:val="7"/>
        <w:tblW w:w="5000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0"/>
        <w:gridCol w:w="1408"/>
        <w:gridCol w:w="1823"/>
        <w:gridCol w:w="1740"/>
        <w:gridCol w:w="845"/>
      </w:tblGrid>
      <w:tr w14:paraId="158CA5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1EB04B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  <w:t>T2DM-related complications</w:t>
            </w:r>
          </w:p>
        </w:tc>
        <w:tc>
          <w:tcPr>
            <w:tcW w:w="831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F3D57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Total (N=475)</w:t>
            </w:r>
          </w:p>
        </w:tc>
        <w:tc>
          <w:tcPr>
            <w:tcW w:w="1076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1A38C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BADL impairment (n=83)</w:t>
            </w:r>
          </w:p>
        </w:tc>
        <w:tc>
          <w:tcPr>
            <w:tcW w:w="1027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3F742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No BADL impairment (n=392)</w:t>
            </w:r>
          </w:p>
        </w:tc>
        <w:tc>
          <w:tcPr>
            <w:tcW w:w="499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E31D3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/>
                <w:iCs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</w:tr>
      <w:tr w14:paraId="0434CA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B0B1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nephropathy</w:t>
            </w:r>
          </w:p>
        </w:tc>
        <w:tc>
          <w:tcPr>
            <w:tcW w:w="831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9691F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138 (29.1%)</w:t>
            </w:r>
          </w:p>
        </w:tc>
        <w:tc>
          <w:tcPr>
            <w:tcW w:w="1076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40EFA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29 (34.9%)</w:t>
            </w:r>
          </w:p>
        </w:tc>
        <w:tc>
          <w:tcPr>
            <w:tcW w:w="1027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DEEEF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109 (27.8%)</w:t>
            </w:r>
          </w:p>
        </w:tc>
        <w:tc>
          <w:tcPr>
            <w:tcW w:w="499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72B15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/>
                <w:iCs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0.193</w:t>
            </w:r>
          </w:p>
        </w:tc>
      </w:tr>
      <w:tr w14:paraId="6B937D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C31E3A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retinopathy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81896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233 (49.1%)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953AB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 (43.4%)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7C324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197 (50.3%)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BC9C1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0.255</w:t>
            </w:r>
          </w:p>
        </w:tc>
      </w:tr>
      <w:tr w14:paraId="5BA392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F0A704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foot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FE334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15 (3.2%)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8E48A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6 (7.2%)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D1052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9 (2.3%)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2BE89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0.020</w:t>
            </w:r>
          </w:p>
        </w:tc>
      </w:tr>
      <w:tr w14:paraId="338F4B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7E008E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ketosis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065AAE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30 (6.3%)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46371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 (4.8%)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FC761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26 (6.6%)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087A5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0.537</w:t>
            </w:r>
          </w:p>
        </w:tc>
      </w:tr>
      <w:tr w14:paraId="00FB11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65360C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peripheral neuropathy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23108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321 (67.6%)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628A7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58 (69.9%)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5E63F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263 (67.1%)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98EF0D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0.622</w:t>
            </w:r>
          </w:p>
        </w:tc>
      </w:tr>
      <w:tr w14:paraId="1E67FA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BDDC7A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iabetic peripheral vasculopathy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7892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22 (4.6%)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AC9D6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8 (9.6%)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B0923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14 (3.6%)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83DDBF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0.017</w:t>
            </w:r>
          </w:p>
        </w:tc>
      </w:tr>
      <w:tr w14:paraId="428E6C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65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BC8F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Number of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  <w:t>T2DM-related complications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, median (IQR)</w:t>
            </w:r>
          </w:p>
        </w:tc>
        <w:tc>
          <w:tcPr>
            <w:tcW w:w="831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D30E5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(0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2)</w:t>
            </w:r>
          </w:p>
        </w:tc>
        <w:tc>
          <w:tcPr>
            <w:tcW w:w="1076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19A75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3)</w:t>
            </w:r>
          </w:p>
        </w:tc>
        <w:tc>
          <w:tcPr>
            <w:tcW w:w="1027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DB10B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(0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2)</w:t>
            </w:r>
          </w:p>
        </w:tc>
        <w:tc>
          <w:tcPr>
            <w:tcW w:w="49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92B5E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0.403</w:t>
            </w:r>
          </w:p>
        </w:tc>
      </w:tr>
    </w:tbl>
    <w:p w14:paraId="0469B23C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685F1848">
      <w:pPr>
        <w:bidi w:val="0"/>
        <w:spacing w:line="360" w:lineRule="auto"/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S2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 xml:space="preserve"> Prevalence of other chronic conditions among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the study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 xml:space="preserve"> participants</w:t>
      </w:r>
    </w:p>
    <w:tbl>
      <w:tblPr>
        <w:tblStyle w:val="7"/>
        <w:tblW w:w="5000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0"/>
        <w:gridCol w:w="1408"/>
        <w:gridCol w:w="1823"/>
        <w:gridCol w:w="1740"/>
        <w:gridCol w:w="845"/>
      </w:tblGrid>
      <w:tr w14:paraId="356864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90BE8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  <w:t>ther chronic conditions</w:t>
            </w:r>
          </w:p>
        </w:tc>
        <w:tc>
          <w:tcPr>
            <w:tcW w:w="831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6E402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Total (N=475)</w:t>
            </w:r>
          </w:p>
        </w:tc>
        <w:tc>
          <w:tcPr>
            <w:tcW w:w="1076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0A681D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BADL impairment (n=83)</w:t>
            </w:r>
          </w:p>
        </w:tc>
        <w:tc>
          <w:tcPr>
            <w:tcW w:w="1027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74342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No BADL impairment (n=392)</w:t>
            </w:r>
          </w:p>
        </w:tc>
        <w:tc>
          <w:tcPr>
            <w:tcW w:w="499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95010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/>
                <w:iCs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</w:tr>
      <w:tr w14:paraId="4EECF2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0BAC9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Stroke</w:t>
            </w:r>
          </w:p>
        </w:tc>
        <w:tc>
          <w:tcPr>
            <w:tcW w:w="831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C3AFF1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81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17.1%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076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59C72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 xml:space="preserve"> (42.2%)</w:t>
            </w:r>
          </w:p>
        </w:tc>
        <w:tc>
          <w:tcPr>
            <w:tcW w:w="1027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82537A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46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 xml:space="preserve"> (11.7%)</w:t>
            </w:r>
          </w:p>
        </w:tc>
        <w:tc>
          <w:tcPr>
            <w:tcW w:w="499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E9DEFA9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0.001</w:t>
            </w:r>
          </w:p>
        </w:tc>
      </w:tr>
      <w:tr w14:paraId="48C6A5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D55F8A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Hyperlipidemia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5A3E4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161 (33.9%)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FF3977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15 (18.1%)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9220F11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146 (37.2%)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DA6A5A0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0.001</w:t>
            </w:r>
          </w:p>
        </w:tc>
      </w:tr>
      <w:tr w14:paraId="0995A7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F9593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Coronary heart disease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0D426D5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221 (46.5%)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C66F5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51 (61.4%)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398462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170 (43.4%)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1CF693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0.003</w:t>
            </w:r>
          </w:p>
        </w:tc>
      </w:tr>
      <w:tr w14:paraId="791293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5032D5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Chronic kidney disease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CB11D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48 (10.1%)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A2F796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14 (16.9%)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6D6E125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34 (8.7%)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6C86F2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0.024</w:t>
            </w:r>
          </w:p>
        </w:tc>
      </w:tr>
      <w:tr w14:paraId="2D94E1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FE3A5C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Fatty liver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F0FAC5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99 (20.8%)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131891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8 (9.6%)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DA0EAE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91 (23.2%)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4918B20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0.006</w:t>
            </w:r>
          </w:p>
        </w:tc>
      </w:tr>
      <w:tr w14:paraId="27F111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3DE9E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Carotid atherosclerosis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544AE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136 (28.6%)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2920A8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18 (21.7%)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81AF993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118 (30.1%)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106EAB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0.123</w:t>
            </w:r>
          </w:p>
        </w:tc>
      </w:tr>
      <w:tr w14:paraId="6D343D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53D0D3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Carotid plaque formation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3A1C4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108 (22.7%)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80ABC3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17 (20.5%)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ED953C2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91 (23.2%)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000EA1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0.590</w:t>
            </w:r>
          </w:p>
        </w:tc>
      </w:tr>
      <w:tr w14:paraId="4DA607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5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F36718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Number of 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chronic conditions</w:t>
            </w: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, median (IQR)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003ED5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3)</w:t>
            </w:r>
          </w:p>
        </w:tc>
        <w:tc>
          <w:tcPr>
            <w:tcW w:w="107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7C9EC3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3)</w:t>
            </w:r>
          </w:p>
        </w:tc>
        <w:tc>
          <w:tcPr>
            <w:tcW w:w="1027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FBCECE3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2 (1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3)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028EE6E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lang w:val="en-US" w:eastAsia="zh-CN"/>
              </w:rPr>
              <w:t>0.265</w:t>
            </w:r>
          </w:p>
        </w:tc>
      </w:tr>
    </w:tbl>
    <w:p w14:paraId="2A4FF1C7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0EECF913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3 Distribution of responses for each BADL item</w:t>
      </w:r>
    </w:p>
    <w:tbl>
      <w:tblPr>
        <w:tblStyle w:val="7"/>
        <w:tblW w:w="499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6"/>
        <w:gridCol w:w="2453"/>
        <w:gridCol w:w="1766"/>
        <w:gridCol w:w="2828"/>
      </w:tblGrid>
      <w:tr w14:paraId="483061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36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F7B447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ADL item</w:t>
            </w:r>
          </w:p>
        </w:tc>
        <w:tc>
          <w:tcPr>
            <w:tcW w:w="1449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3DFA2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o difficulty at all</w:t>
            </w:r>
          </w:p>
        </w:tc>
        <w:tc>
          <w:tcPr>
            <w:tcW w:w="1043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DB240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eed help</w:t>
            </w:r>
          </w:p>
        </w:tc>
        <w:tc>
          <w:tcPr>
            <w:tcW w:w="1670" w:type="pct"/>
            <w:tcBorders>
              <w:bottom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553A2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nable to perform at all</w:t>
            </w:r>
          </w:p>
        </w:tc>
      </w:tr>
      <w:tr w14:paraId="618949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E26AE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Bathing</w:t>
            </w:r>
          </w:p>
        </w:tc>
        <w:tc>
          <w:tcPr>
            <w:tcW w:w="1449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638CE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392 (82.5%)</w:t>
            </w:r>
          </w:p>
        </w:tc>
        <w:tc>
          <w:tcPr>
            <w:tcW w:w="1043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9053D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45 (9.5%)</w:t>
            </w:r>
          </w:p>
        </w:tc>
        <w:tc>
          <w:tcPr>
            <w:tcW w:w="1670" w:type="pct"/>
            <w:tcBorders>
              <w:top w:val="single" w:color="auto" w:sz="6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206D0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38 (8.0%)</w:t>
            </w:r>
          </w:p>
        </w:tc>
      </w:tr>
      <w:tr w14:paraId="2143C4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306071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Dressing</w:t>
            </w:r>
          </w:p>
        </w:tc>
        <w:tc>
          <w:tcPr>
            <w:tcW w:w="144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379CD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398 (83.8%)</w:t>
            </w:r>
          </w:p>
        </w:tc>
        <w:tc>
          <w:tcPr>
            <w:tcW w:w="1043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F07CF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 (8.6%)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C7F79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 (7.6%)</w:t>
            </w:r>
          </w:p>
        </w:tc>
      </w:tr>
      <w:tr w14:paraId="211D41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ED05F5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Toileting</w:t>
            </w:r>
          </w:p>
        </w:tc>
        <w:tc>
          <w:tcPr>
            <w:tcW w:w="144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66138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418 (88.0%)</w:t>
            </w:r>
          </w:p>
        </w:tc>
        <w:tc>
          <w:tcPr>
            <w:tcW w:w="1043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EF433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 (7.6%)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4FF8B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21 (4.4%)</w:t>
            </w:r>
          </w:p>
        </w:tc>
      </w:tr>
      <w:tr w14:paraId="463C39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FC2702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Transferring</w:t>
            </w:r>
          </w:p>
        </w:tc>
        <w:tc>
          <w:tcPr>
            <w:tcW w:w="144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C2FBF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444 (93.5%)</w:t>
            </w:r>
          </w:p>
        </w:tc>
        <w:tc>
          <w:tcPr>
            <w:tcW w:w="1043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570AD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28 (5.9%)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7046D9">
            <w:pPr>
              <w:keepNext w:val="0"/>
              <w:keepLines w:val="0"/>
              <w:widowControl/>
              <w:suppressLineNumbers w:val="0"/>
              <w:tabs>
                <w:tab w:val="center" w:pos="1254"/>
              </w:tabs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 (0.6%)</w:t>
            </w:r>
          </w:p>
        </w:tc>
      </w:tr>
      <w:tr w14:paraId="4BB2F3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5BAC6C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Continence</w:t>
            </w:r>
          </w:p>
        </w:tc>
        <w:tc>
          <w:tcPr>
            <w:tcW w:w="144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75A14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465 (97.9%)</w:t>
            </w:r>
          </w:p>
        </w:tc>
        <w:tc>
          <w:tcPr>
            <w:tcW w:w="1043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3114C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7 (1.5%)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60C04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 (0.6%)</w:t>
            </w:r>
          </w:p>
        </w:tc>
      </w:tr>
      <w:tr w14:paraId="7451E6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EEDE9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Feeding</w:t>
            </w:r>
          </w:p>
        </w:tc>
        <w:tc>
          <w:tcPr>
            <w:tcW w:w="1449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56DAB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468 (98.5%)</w:t>
            </w:r>
          </w:p>
        </w:tc>
        <w:tc>
          <w:tcPr>
            <w:tcW w:w="1043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1C8AE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 (0.8%)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AC1B4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 (0.6%)</w:t>
            </w:r>
          </w:p>
        </w:tc>
      </w:tr>
    </w:tbl>
    <w:p w14:paraId="15A6467C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page"/>
      </w:r>
    </w:p>
    <w:p w14:paraId="385D6233">
      <w:pPr>
        <w:pStyle w:val="6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Variance inflation factor (VIF) values for covariates in the multivariable model</w:t>
      </w:r>
    </w:p>
    <w:tbl>
      <w:tblPr>
        <w:tblStyle w:val="7"/>
        <w:tblW w:w="4999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53"/>
        <w:gridCol w:w="1211"/>
      </w:tblGrid>
      <w:tr w14:paraId="0189E8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284" w:type="pct"/>
            <w:tcBorders>
              <w:bottom w:val="single" w:color="auto" w:sz="6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2A0FD4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715" w:type="pct"/>
            <w:tcBorders>
              <w:bottom w:val="single" w:color="auto" w:sz="6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38DB1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VIF</w:t>
            </w:r>
          </w:p>
        </w:tc>
      </w:tr>
      <w:tr w14:paraId="73DC81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op w:val="single" w:color="auto" w:sz="6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676427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 xml:space="preserve"> (years)</w:t>
            </w:r>
          </w:p>
        </w:tc>
        <w:tc>
          <w:tcPr>
            <w:tcW w:w="715" w:type="pct"/>
            <w:tcBorders>
              <w:top w:val="single" w:color="auto" w:sz="6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7B3E89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1.28</w:t>
            </w:r>
          </w:p>
        </w:tc>
      </w:tr>
      <w:tr w14:paraId="38D5A7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B0A2C4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81F7B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2.7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6E64F9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A4FE45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al level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35F0B1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1.9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</w:tr>
      <w:tr w14:paraId="7DFFDF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7FE02E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Monthly per capita household income (yuan)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52E4F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1.81</w:t>
            </w:r>
          </w:p>
        </w:tc>
      </w:tr>
      <w:tr w14:paraId="2958F7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E50DE3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Living arrangement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6F6767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1.02</w:t>
            </w:r>
          </w:p>
        </w:tc>
      </w:tr>
      <w:tr w14:paraId="1D075C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A6637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Current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mokin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25613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2.6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025477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19D8B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Course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of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hypertension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(year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3E25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1.08</w:t>
            </w:r>
          </w:p>
        </w:tc>
      </w:tr>
      <w:tr w14:paraId="3455B59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2B109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T2DM-related complications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FA64D6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</w:tr>
      <w:tr w14:paraId="5A5B48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84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8A3B3F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Segoe UI" w:cs="Times New Roman"/>
                <w:sz w:val="21"/>
                <w:szCs w:val="21"/>
              </w:rPr>
              <w:t>resence of other chronic conditions</w:t>
            </w:r>
          </w:p>
        </w:tc>
        <w:tc>
          <w:tcPr>
            <w:tcW w:w="715" w:type="pct"/>
            <w:tcBorders>
              <w:tl2br w:val="nil"/>
              <w:tr2bl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679B9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</w:tr>
    </w:tbl>
    <w:p w14:paraId="272B4B89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6C640FBB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5 Sensitivity analysis using Firth's penalized logistic regression for factors associated with BADL impairment</w:t>
      </w:r>
    </w:p>
    <w:tbl>
      <w:tblPr>
        <w:tblStyle w:val="8"/>
        <w:tblW w:w="5000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5"/>
        <w:gridCol w:w="1645"/>
        <w:gridCol w:w="844"/>
        <w:gridCol w:w="1734"/>
        <w:gridCol w:w="844"/>
      </w:tblGrid>
      <w:tr w14:paraId="4D31CE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027" w:type="pct"/>
            <w:vMerge w:val="restart"/>
            <w:vAlign w:val="center"/>
          </w:tcPr>
          <w:p w14:paraId="10E114BC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Variables</w:t>
            </w:r>
          </w:p>
        </w:tc>
        <w:tc>
          <w:tcPr>
            <w:tcW w:w="1460" w:type="pct"/>
            <w:gridSpan w:val="2"/>
            <w:tcBorders>
              <w:bottom w:val="single" w:color="auto" w:sz="8" w:space="0"/>
            </w:tcBorders>
            <w:vAlign w:val="center"/>
          </w:tcPr>
          <w:p w14:paraId="262B8941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Main analysis</w:t>
            </w:r>
          </w:p>
        </w:tc>
        <w:tc>
          <w:tcPr>
            <w:tcW w:w="1512" w:type="pct"/>
            <w:gridSpan w:val="2"/>
            <w:tcBorders>
              <w:bottom w:val="single" w:color="auto" w:sz="8" w:space="0"/>
            </w:tcBorders>
            <w:vAlign w:val="center"/>
          </w:tcPr>
          <w:p w14:paraId="7AB2545D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Firth-corrected</w:t>
            </w:r>
          </w:p>
        </w:tc>
      </w:tr>
      <w:tr w14:paraId="59DF5D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027" w:type="pct"/>
            <w:vMerge w:val="continue"/>
            <w:tcBorders>
              <w:bottom w:val="single" w:color="auto" w:sz="8" w:space="0"/>
            </w:tcBorders>
            <w:vAlign w:val="center"/>
          </w:tcPr>
          <w:p w14:paraId="1B01BC88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5" w:type="pct"/>
            <w:tcBorders>
              <w:bottom w:val="single" w:color="auto" w:sz="8" w:space="0"/>
            </w:tcBorders>
            <w:vAlign w:val="center"/>
          </w:tcPr>
          <w:p w14:paraId="2635C72B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OR (95% CI)</w:t>
            </w:r>
          </w:p>
        </w:tc>
        <w:tc>
          <w:tcPr>
            <w:tcW w:w="495" w:type="pct"/>
            <w:tcBorders>
              <w:bottom w:val="single" w:color="auto" w:sz="8" w:space="0"/>
            </w:tcBorders>
            <w:vAlign w:val="center"/>
          </w:tcPr>
          <w:p w14:paraId="10AE26B5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P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value</w:t>
            </w:r>
          </w:p>
        </w:tc>
        <w:tc>
          <w:tcPr>
            <w:tcW w:w="1017" w:type="pct"/>
            <w:tcBorders>
              <w:bottom w:val="single" w:color="auto" w:sz="8" w:space="0"/>
            </w:tcBorders>
            <w:vAlign w:val="center"/>
          </w:tcPr>
          <w:p w14:paraId="345B54ED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OR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(95% CI)</w:t>
            </w:r>
          </w:p>
        </w:tc>
        <w:tc>
          <w:tcPr>
            <w:tcW w:w="495" w:type="pct"/>
            <w:tcBorders>
              <w:bottom w:val="single" w:color="auto" w:sz="8" w:space="0"/>
            </w:tcBorders>
            <w:vAlign w:val="center"/>
          </w:tcPr>
          <w:p w14:paraId="5FFA045B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P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value</w:t>
            </w:r>
          </w:p>
        </w:tc>
      </w:tr>
      <w:tr w14:paraId="0BA8C5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7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27A929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Age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(year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96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BC3A31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5A07B66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8020BA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77D400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3FD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vAlign w:val="center"/>
          </w:tcPr>
          <w:p w14:paraId="652FCFFA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50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69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0D1FE9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8948CF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5DB00AB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BE80C8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DBE4D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vAlign w:val="center"/>
          </w:tcPr>
          <w:p w14:paraId="72A4F23D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≥70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25373DA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3.49 (1.83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6.66)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48BE0E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38159F6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3.32 (1.80–6.42)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A11A8A3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62A774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9970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2C1F0E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FA5FC0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3884445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FAAE5E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9B15E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7DE65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Male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ECF9DC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0EAFF2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782AFD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673AC5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51976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E1F82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Female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E1F4DA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1.36 (0.54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3.45)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54577D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0.519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A04B8BA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1.32 (0.54–3.39)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6459B3E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0.550</w:t>
            </w:r>
          </w:p>
        </w:tc>
      </w:tr>
      <w:tr w14:paraId="42BAB7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8770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Educational level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2009342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78ED76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4177EC1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D64AFC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91864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91367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Primary School or below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59AFFA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C567DE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3508BBA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9667A4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7CA5A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9E208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Middle school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DDF395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0.56 (0.27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–1.17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ECA9A8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0.124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49601D7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0.58 (0.28–1.17)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EF86AD1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0.127</w:t>
            </w:r>
          </w:p>
        </w:tc>
      </w:tr>
      <w:tr w14:paraId="5F1964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C9840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High school or above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31319B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0.16 (0.04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–0.62)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4E12F3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0.008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18AF39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0.18 (0.05–0.61)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66FEEE2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0.005</w:t>
            </w:r>
          </w:p>
        </w:tc>
      </w:tr>
      <w:tr w14:paraId="68E610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C5AE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Monthly per capita household income (yuan)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5D8800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7E3E5B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51AC6D4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416D2A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FFA5C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3C0B3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≤3,000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6E95BF1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D587B6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0CF6FC7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5CFC88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4F990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F44D3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&gt;3,000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D5DC5C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1.32 (0.61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–2.84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E89498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0.476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04FC8EA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1.32 (0.62–2.79)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643B0A9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0.471</w:t>
            </w:r>
          </w:p>
        </w:tc>
      </w:tr>
      <w:tr w14:paraId="4DA369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3889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arrangement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AE309C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72FA50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7860D3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D345B3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9A90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D5191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with others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A79FB4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A72C59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63EF35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320B78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7A390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0CB63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alone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AD2563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0.10 (0.01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–0.75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5421DC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0.025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AD958C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0.15 (0.02–0.59)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B5C34F9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0.004</w:t>
            </w:r>
          </w:p>
        </w:tc>
      </w:tr>
      <w:tr w14:paraId="624DAE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01F5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Current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smoking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89A443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9A176D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5D7EB8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004963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9C359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9AA9E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765F65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1343B9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DDD6A1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5DBD5F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B5569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4EF06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3C4430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0.76 (0.29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–1</w:t>
            </w:r>
            <w:r>
              <w:rPr>
                <w:rFonts w:hint="eastAsia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95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80874C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0.565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80AA279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0.75 (0.30–1.94)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15B8C95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0.554</w:t>
            </w:r>
          </w:p>
        </w:tc>
      </w:tr>
      <w:tr w14:paraId="37B077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4EC43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Course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of hypertension (year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906EC8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362BE1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1C8270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AE8A1D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32565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66B37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&lt;10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0C016C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4F7A95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5F33976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4E2303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F7DEC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CD8DA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≥10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779E4E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1.80 (0.97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3.34)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ADC60C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0.061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91AF7C4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1.75 (0.97–3.28)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45EE335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0.062</w:t>
            </w:r>
          </w:p>
        </w:tc>
      </w:tr>
      <w:tr w14:paraId="346B8C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2550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T2DM-related complications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02FAC6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1DC97F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D242BB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A34DF6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F0BD6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850CA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CC8025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9937B5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B64DA3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8ABFF3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2EF53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C9560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B3F6DB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1.23 (0.67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–2.25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DF89DD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0.501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FA756EB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1.21 (0.68–2.22)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4B3E56C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0.527</w:t>
            </w:r>
          </w:p>
        </w:tc>
      </w:tr>
      <w:tr w14:paraId="2CE2E7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FDD6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resence of other chronic conditions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D25091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9B3D8D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C947A1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9701FC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F55DF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8EF3D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226883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B6006C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9B737C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9E8B7F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AF0F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D6C97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270F2E0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3.00 (1.12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8.03)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8750DC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0.029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DCD2832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2.72 (1.14–7.79)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83ED05D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0.022</w:t>
            </w:r>
          </w:p>
        </w:tc>
      </w:tr>
    </w:tbl>
    <w:p w14:paraId="6FCB2F1A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773CA7F8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6 Sensitivity analysis by treating age as a continuous variable</w:t>
      </w:r>
    </w:p>
    <w:tbl>
      <w:tblPr>
        <w:tblStyle w:val="8"/>
        <w:tblW w:w="5000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5"/>
        <w:gridCol w:w="1645"/>
        <w:gridCol w:w="844"/>
        <w:gridCol w:w="1734"/>
        <w:gridCol w:w="844"/>
      </w:tblGrid>
      <w:tr w14:paraId="75DB9A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9" w:hRule="atLeast"/>
          <w:jc w:val="center"/>
        </w:trPr>
        <w:tc>
          <w:tcPr>
            <w:tcW w:w="2027" w:type="pct"/>
            <w:vMerge w:val="restart"/>
            <w:vAlign w:val="center"/>
          </w:tcPr>
          <w:p w14:paraId="548912C7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Variables</w:t>
            </w:r>
          </w:p>
        </w:tc>
        <w:tc>
          <w:tcPr>
            <w:tcW w:w="1460" w:type="pct"/>
            <w:gridSpan w:val="2"/>
            <w:tcBorders>
              <w:bottom w:val="single" w:color="auto" w:sz="8" w:space="0"/>
            </w:tcBorders>
            <w:vAlign w:val="center"/>
          </w:tcPr>
          <w:p w14:paraId="2E253136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Main analysis</w:t>
            </w:r>
          </w:p>
          <w:p w14:paraId="1C1F128F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(categorical age)</w:t>
            </w:r>
          </w:p>
        </w:tc>
        <w:tc>
          <w:tcPr>
            <w:tcW w:w="1512" w:type="pct"/>
            <w:gridSpan w:val="2"/>
            <w:tcBorders>
              <w:bottom w:val="single" w:color="auto" w:sz="8" w:space="0"/>
            </w:tcBorders>
            <w:vAlign w:val="center"/>
          </w:tcPr>
          <w:p w14:paraId="367F9261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Sensitivity analysis</w:t>
            </w:r>
          </w:p>
          <w:p w14:paraId="417869CC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(age as continuous)</w:t>
            </w:r>
          </w:p>
        </w:tc>
      </w:tr>
      <w:tr w14:paraId="62FACA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027" w:type="pct"/>
            <w:vMerge w:val="continue"/>
            <w:tcBorders>
              <w:bottom w:val="single" w:color="auto" w:sz="8" w:space="0"/>
            </w:tcBorders>
            <w:vAlign w:val="center"/>
          </w:tcPr>
          <w:p w14:paraId="31BB67E6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5" w:type="pct"/>
            <w:tcBorders>
              <w:bottom w:val="single" w:color="auto" w:sz="8" w:space="0"/>
            </w:tcBorders>
            <w:vAlign w:val="center"/>
          </w:tcPr>
          <w:p w14:paraId="402C9EEB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OR (95% CI)</w:t>
            </w:r>
          </w:p>
        </w:tc>
        <w:tc>
          <w:tcPr>
            <w:tcW w:w="495" w:type="pct"/>
            <w:tcBorders>
              <w:bottom w:val="single" w:color="auto" w:sz="8" w:space="0"/>
            </w:tcBorders>
            <w:vAlign w:val="center"/>
          </w:tcPr>
          <w:p w14:paraId="50D4F602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P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value</w:t>
            </w:r>
          </w:p>
        </w:tc>
        <w:tc>
          <w:tcPr>
            <w:tcW w:w="1017" w:type="pct"/>
            <w:tcBorders>
              <w:bottom w:val="single" w:color="auto" w:sz="8" w:space="0"/>
            </w:tcBorders>
            <w:vAlign w:val="center"/>
          </w:tcPr>
          <w:p w14:paraId="07F23835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OR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(95% CI)</w:t>
            </w:r>
          </w:p>
        </w:tc>
        <w:tc>
          <w:tcPr>
            <w:tcW w:w="495" w:type="pct"/>
            <w:tcBorders>
              <w:bottom w:val="single" w:color="auto" w:sz="8" w:space="0"/>
            </w:tcBorders>
            <w:vAlign w:val="center"/>
          </w:tcPr>
          <w:p w14:paraId="5819235E">
            <w:pPr>
              <w:tabs>
                <w:tab w:val="left" w:pos="2328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P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value</w:t>
            </w:r>
          </w:p>
        </w:tc>
      </w:tr>
      <w:tr w14:paraId="5C86C7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7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FF5393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Age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(year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96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FA1E77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C876DC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F6129C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27CCE7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5FC9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vAlign w:val="center"/>
          </w:tcPr>
          <w:p w14:paraId="0399721B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50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69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B9CD47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AC7364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36CFBAE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2341A2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12AFC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vAlign w:val="center"/>
          </w:tcPr>
          <w:p w14:paraId="7D135793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≥70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DA69BE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3.49 (1.83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6.66)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10485A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33F3E586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41C9918">
            <w:pPr>
              <w:keepNext w:val="0"/>
              <w:keepLines w:val="0"/>
              <w:widowControl/>
              <w:suppressLineNumbers w:val="0"/>
              <w:spacing w:line="25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BDED0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vAlign w:val="center"/>
          </w:tcPr>
          <w:p w14:paraId="26BA95E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Age (per year increase)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646C463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9B5F2F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164025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1.13 (1.09–1.18)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72634E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</w:tr>
      <w:tr w14:paraId="4899A8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FF66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E99955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8FF6B2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180FDE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75C06E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A8B65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EB510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Male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8F085D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17570E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B2CC05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6B0367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8E6A9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8DCCE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Female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431465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1.36 (0.54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3.45)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E218EF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0.519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3F75D22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1.64 (0.61–4.39)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7FD80BB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0.326</w:t>
            </w:r>
          </w:p>
        </w:tc>
      </w:tr>
      <w:tr w14:paraId="6C6D5D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218C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Educational level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1A4643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0473FF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6DE9EF3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FF8651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AC25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189A5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Primary School or below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ACE225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9E3DDF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A220FA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C9F646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EF861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AE047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Middle school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87E4E0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0.56 (0.27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–1.17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CA0A56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0.124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01F9E89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0.88 (0.40–1.91)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13C025A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0.742</w:t>
            </w:r>
          </w:p>
        </w:tc>
      </w:tr>
      <w:tr w14:paraId="1FB4BF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982AD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High school or above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F22F9A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0.16 (0.04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–0.62)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EC5999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0.008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1742D04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0.30 (0.07–1.23)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158A530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0.093</w:t>
            </w:r>
          </w:p>
        </w:tc>
      </w:tr>
      <w:tr w14:paraId="7E108B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6860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Monthly per capita household income (yuan)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4FD78F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EFB6A1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4DE0EA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E9770F0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F60B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815E5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≤3,000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BB110A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834CD3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5891CC8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B7F4EB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1C5EB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791D1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&gt;3,000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0091A81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1.32 (0.61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–2.84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25D5C6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0.476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677903B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0.90 (0.40–2.03)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1DC69FD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0.791</w:t>
            </w:r>
          </w:p>
        </w:tc>
      </w:tr>
      <w:tr w14:paraId="1F91B7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8403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arrangement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13FDD38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34735D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033E0EA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78C24D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C5BA3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53BD2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with others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2EFEF1F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7A7B96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ECD366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D78865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E5EE9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48591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Living alone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4956CC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0.10 (0.01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–0.75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5B1312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0.025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6A0A57B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0.10 (0.01–0.76)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69345AE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0.026</w:t>
            </w:r>
          </w:p>
        </w:tc>
      </w:tr>
      <w:tr w14:paraId="3AD836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EF80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Current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smoking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CB6951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CAE0B7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9E2C04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B6D394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D55D2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FE877A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48F676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62F5C1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D89ACD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CAAFA9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B5ACF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5A400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8EDF7E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0.76 (0.29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–1</w:t>
            </w:r>
            <w:r>
              <w:rPr>
                <w:rFonts w:hint="eastAsia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95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F58A83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0.565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7DFAEBF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0.97 (0.35–2.66)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7633FDA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0.953</w:t>
            </w:r>
          </w:p>
        </w:tc>
      </w:tr>
      <w:tr w14:paraId="1E682F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D96D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Course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of hypertension (year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2EFD3F3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6D9F18E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0B2B79F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44400E7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5276B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B8F33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&lt;10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F2AC1DA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6F7DDA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35F94F2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537661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48D46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39B25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≥10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40E397D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1.80 (0.97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3.34)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84400E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0.061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70F64AA4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1.39 (0.73–2.66)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1676D29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0.316</w:t>
            </w:r>
          </w:p>
        </w:tc>
      </w:tr>
      <w:tr w14:paraId="798126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F79A3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T2DM-related complications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4B3BDA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994C6CE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158EA70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3FB2FB0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8719B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19635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70D7B1FF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19AB679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35DA8AB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9DD963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1C2E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E589B9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56B829A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1.23 (0.67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–2.25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F5CABC5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0.501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2EAAAA9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1.50 (0.79–2.83)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14EEAE7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0.215</w:t>
            </w:r>
          </w:p>
        </w:tc>
      </w:tr>
      <w:tr w14:paraId="057A9B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72FE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resence of other chronic conditions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38F3439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7E83566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2131B2A7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515F5C5C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651CF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F11F7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No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674A252D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7EB6E8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vAlign w:val="center"/>
          </w:tcPr>
          <w:p w14:paraId="7C4ADF0B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0798DEB1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DA140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0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A0CB4">
            <w:pPr>
              <w:tabs>
                <w:tab w:val="left" w:pos="2328"/>
              </w:tabs>
              <w:bidi w:val="0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965" w:type="pct"/>
            <w:tcBorders>
              <w:tl2br w:val="nil"/>
              <w:tr2bl w:val="nil"/>
            </w:tcBorders>
            <w:vAlign w:val="center"/>
          </w:tcPr>
          <w:p w14:paraId="68D3F908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3.00 (1.12</w:t>
            </w:r>
            <w:r>
              <w:rPr>
                <w:rFonts w:hint="default" w:ascii="Times New Roman" w:hAnsi="Times New Roman" w:eastAsia="STIX-Regular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8.03)</w:t>
            </w:r>
          </w:p>
        </w:tc>
        <w:tc>
          <w:tcPr>
            <w:tcW w:w="495" w:type="pct"/>
            <w:tcBorders>
              <w:tl2br w:val="nil"/>
              <w:tr2bl w:val="nil"/>
            </w:tcBorders>
            <w:vAlign w:val="center"/>
          </w:tcPr>
          <w:p w14:paraId="2468F4D6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0.029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398A4A9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2.94 (1.06–8.13)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vAlign w:val="center"/>
          </w:tcPr>
          <w:p w14:paraId="5D1DBE19">
            <w:pPr>
              <w:tabs>
                <w:tab w:val="left" w:pos="2328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0.038</w:t>
            </w:r>
          </w:p>
        </w:tc>
      </w:tr>
    </w:tbl>
    <w:p w14:paraId="5385C88C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28FB3052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 xml:space="preserve"> Sensitivity analyses</w:t>
      </w:r>
      <w:r>
        <w:rPr>
          <w:rFonts w:hint="eastAsia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 xml:space="preserve"> by including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each of other chronic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222222"/>
          <w:spacing w:val="2"/>
          <w:sz w:val="24"/>
          <w:szCs w:val="24"/>
          <w:highlight w:val="none"/>
          <w:lang w:val="en-US" w:eastAsia="zh-CN"/>
        </w:rPr>
        <w:t xml:space="preserve">conditions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separately</w:t>
      </w:r>
    </w:p>
    <w:tbl>
      <w:tblPr>
        <w:tblStyle w:val="8"/>
        <w:tblW w:w="8544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7"/>
        <w:gridCol w:w="2612"/>
        <w:gridCol w:w="1535"/>
      </w:tblGrid>
      <w:tr w14:paraId="061FF3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8497F7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Model</w:t>
            </w:r>
          </w:p>
        </w:tc>
        <w:tc>
          <w:tcPr>
            <w:tcW w:w="261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EBA8ED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OR (95% CI)</w:t>
            </w:r>
          </w:p>
        </w:tc>
        <w:tc>
          <w:tcPr>
            <w:tcW w:w="153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CDF4AB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P value</w:t>
            </w:r>
          </w:p>
        </w:tc>
      </w:tr>
      <w:tr w14:paraId="1DC42D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D047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Stroke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440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5.43 (3.00–9.85)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178B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1ADA11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537A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Hyperlipidaemia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E7A9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0.43 (0.23–0.82)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5B8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0.010</w:t>
            </w:r>
          </w:p>
        </w:tc>
      </w:tr>
      <w:tr w14:paraId="057A83B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46EF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Coronary heart disease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7245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1.49 (0.87–2.56)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99E5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0.147</w:t>
            </w:r>
          </w:p>
        </w:tc>
      </w:tr>
      <w:tr w14:paraId="575094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0C0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Chronic kidney disease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CAA4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2.34 (1.10–4.97)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D5BC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0.027</w:t>
            </w:r>
          </w:p>
        </w:tc>
      </w:tr>
      <w:tr w14:paraId="7502F7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DDBF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Fatty liver disease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75EE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0.40 (0.18–0.50)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92B1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609CF7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B10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Carotid atherosclerosis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61AA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0.69 (0.38–1.27)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800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0.230</w:t>
            </w:r>
          </w:p>
        </w:tc>
      </w:tr>
      <w:tr w14:paraId="51D3D5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5836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Carotid plaque formation</w:t>
            </w:r>
          </w:p>
        </w:tc>
        <w:tc>
          <w:tcPr>
            <w:tcW w:w="2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8210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0.95 (0.51–1.77)</w:t>
            </w:r>
          </w:p>
        </w:tc>
        <w:tc>
          <w:tcPr>
            <w:tcW w:w="15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35C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0.865</w:t>
            </w:r>
          </w:p>
        </w:tc>
      </w:tr>
    </w:tbl>
    <w:p w14:paraId="56AE706A">
      <w:pP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49B2F442"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color w:val="auto"/>
          <w:sz w:val="21"/>
          <w:szCs w:val="21"/>
          <w:highlight w:val="none"/>
          <w:lang w:val="en-US" w:eastAsia="zh-CN"/>
        </w:rPr>
      </w:pPr>
      <w:r>
        <w:rPr>
          <w:b w:val="0"/>
          <w:bCs w:val="0"/>
        </w:rPr>
        <w:drawing>
          <wp:inline distT="0" distB="0" distL="114300" distR="114300">
            <wp:extent cx="4527550" cy="45847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755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0CA4B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olor w:val="auto"/>
          <w:sz w:val="24"/>
          <w:szCs w:val="24"/>
          <w:highlight w:val="none"/>
          <w:lang w:val="en-US" w:eastAsia="zh-CN"/>
        </w:rPr>
        <w:t>Supplementary Figure S1. Calibration plot of the multivariable logistic regression model</w:t>
      </w:r>
    </w:p>
    <w:p w14:paraId="5054F1F9">
      <w:pPr>
        <w:spacing w:line="360" w:lineRule="auto"/>
        <w:ind w:firstLine="420" w:firstLineChars="200"/>
        <w:rPr>
          <w:rFonts w:hint="default" w:ascii="Times New Roman" w:hAnsi="Times New Roman" w:eastAsia="宋体" w:cs="Times New Roman"/>
          <w:b w:val="0"/>
          <w:bCs w:val="0"/>
          <w:i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olor w:val="auto"/>
          <w:sz w:val="21"/>
          <w:szCs w:val="21"/>
          <w:highlight w:val="none"/>
          <w:lang w:eastAsia="zh-CN"/>
        </w:rPr>
        <w:t xml:space="preserve">Note: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color w:val="auto"/>
          <w:sz w:val="21"/>
          <w:szCs w:val="21"/>
          <w:highlight w:val="none"/>
          <w:lang w:val="en-US" w:eastAsia="zh-CN"/>
        </w:rPr>
        <w:t>The plot shows the agreement between predicted probabilities and observed outcomes. The dashed diagonal line represents perfect calibration. The apparent curve (dashed line) and bias-corrected curve (solid line) were estimated using 1000 bootstrap resamples. The mean absolute error was 0.015, indicating good calibration.</w:t>
      </w:r>
    </w:p>
    <w:p w14:paraId="7420426E">
      <w:pPr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4ECF7C50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Supplementary File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Structured questionnaire for the assessment of socio-demographic and clinical characteristics</w:t>
      </w:r>
    </w:p>
    <w:p w14:paraId="18D98B14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p w14:paraId="2A50E83C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Part One: Socio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demographic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haracteristics</w:t>
      </w:r>
    </w:p>
    <w:p w14:paraId="68371F4C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1. Age: ______ years</w:t>
      </w:r>
    </w:p>
    <w:p w14:paraId="05B008CA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2. Sex:</w:t>
      </w:r>
    </w:p>
    <w:p w14:paraId="44BCB512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Male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Female</w:t>
      </w:r>
    </w:p>
    <w:p w14:paraId="3228E286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3. Marital status:</w:t>
      </w:r>
    </w:p>
    <w:p w14:paraId="2853A818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Married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Unmarried / Divorced / Widowed</w:t>
      </w:r>
    </w:p>
    <w:p w14:paraId="7378D6EB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4. Educational level:</w:t>
      </w:r>
    </w:p>
    <w:p w14:paraId="5A84D17A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Primary school or below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Middle school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High school or above</w:t>
      </w:r>
    </w:p>
    <w:p w14:paraId="58C1934C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5. Monthly per capita household income:</w:t>
      </w:r>
    </w:p>
    <w:p w14:paraId="24D74AEF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≤3,000 yuan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&gt;3,000 yuan</w:t>
      </w:r>
    </w:p>
    <w:p w14:paraId="13148490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6. Living arrangement:</w:t>
      </w:r>
    </w:p>
    <w:p w14:paraId="5E9DE67E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Living with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other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Living alone</w:t>
      </w:r>
    </w:p>
    <w:p w14:paraId="6048CA26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7. Current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moking (smoking &gt;6 months or ≥1 cigarette per day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MyriadPro-Semibold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in the past year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):</w:t>
      </w:r>
    </w:p>
    <w:p w14:paraId="09DB883C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Yes</w:t>
      </w:r>
    </w:p>
    <w:p w14:paraId="442BDC93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8. Current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lcohol consumption (alcohol consumption &gt;1 time per month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MyriadPro-Semibold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in the past year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):</w:t>
      </w:r>
    </w:p>
    <w:p w14:paraId="2EC1CCBC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Yes</w:t>
      </w:r>
    </w:p>
    <w:p w14:paraId="5F98DC5B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p w14:paraId="3B421B39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Part Two: Clinical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haracteristics</w:t>
      </w:r>
    </w:p>
    <w:p w14:paraId="1B90B4EE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9.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Course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of type 2 diabetes mellitus (T2DM): ______ years</w:t>
      </w:r>
    </w:p>
    <w:p w14:paraId="0301A368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10.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Course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of hypertension: ______ years</w:t>
      </w:r>
    </w:p>
    <w:p w14:paraId="400442D5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11. Family history of T2DM:</w:t>
      </w:r>
    </w:p>
    <w:p w14:paraId="400BF50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Yes</w:t>
      </w:r>
    </w:p>
    <w:p w14:paraId="0FDDD39A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. Family history of hypertension:</w:t>
      </w:r>
    </w:p>
    <w:p w14:paraId="2D7B969D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Yes</w:t>
      </w:r>
    </w:p>
    <w:p w14:paraId="31C39F64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. T2DM-related complications (multiple choices allowed):</w:t>
      </w:r>
    </w:p>
    <w:p w14:paraId="4FBCAFA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nephropathy</w:t>
      </w:r>
    </w:p>
    <w:p w14:paraId="08619487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retinopathy</w:t>
      </w:r>
    </w:p>
    <w:p w14:paraId="346C64A7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foot</w:t>
      </w:r>
    </w:p>
    <w:p w14:paraId="3311CB8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ketosis</w:t>
      </w:r>
    </w:p>
    <w:p w14:paraId="53A378C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peripheral neuropathy</w:t>
      </w:r>
    </w:p>
    <w:p w14:paraId="14AC122F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Diabetic peripheral vasculopathy</w:t>
      </w:r>
    </w:p>
    <w:p w14:paraId="0430C579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None of the above</w:t>
      </w:r>
    </w:p>
    <w:p w14:paraId="38AA0FE6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Other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chronic conditions (multiple choices allowed):</w:t>
      </w:r>
    </w:p>
    <w:p w14:paraId="68E18CFF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Stroke</w:t>
      </w:r>
    </w:p>
    <w:p w14:paraId="6611BB8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Hyperlipidemia</w:t>
      </w:r>
    </w:p>
    <w:p w14:paraId="44F2642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Coronary heart disease</w:t>
      </w:r>
    </w:p>
    <w:p w14:paraId="3070091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Chronic kidney disease</w:t>
      </w:r>
    </w:p>
    <w:p w14:paraId="1C72B76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Fatty liver</w:t>
      </w:r>
    </w:p>
    <w:p w14:paraId="6B9A35FC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Carotid atherosclerosis</w:t>
      </w:r>
    </w:p>
    <w:p w14:paraId="0508B39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Carotid plaque formation</w:t>
      </w:r>
    </w:p>
    <w:p w14:paraId="10CF5825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None of the above</w:t>
      </w:r>
    </w:p>
    <w:p w14:paraId="40421C28">
      <w:pPr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735F84E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Part Three: Katz Activities of Daily Living (ADL) Scale</w:t>
      </w:r>
    </w:p>
    <w:p w14:paraId="39E1909D">
      <w:pPr>
        <w:spacing w:line="360" w:lineRule="auto"/>
        <w:ind w:firstLine="440" w:firstLineChars="200"/>
        <w:rPr>
          <w:rFonts w:hint="default" w:ascii="Times New Roman" w:hAnsi="Times New Roman" w:eastAsia="宋体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</w:rPr>
        <w:t>Instructions: Please select the option that best describes your actual situation for each of the following activities.</w:t>
      </w:r>
    </w:p>
    <w:p w14:paraId="0BB422BC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1. Bathing (sponge, shower, or tub bath)</w:t>
      </w:r>
    </w:p>
    <w:p w14:paraId="5261BA88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75A5468C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5EDD20C5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p w14:paraId="055BBFD2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2. Dressing (getting clothes from closets and drawers, putting on clothes, managing fasteners)</w:t>
      </w:r>
    </w:p>
    <w:p w14:paraId="343244A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7CCCCBCB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4DB03CC3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p w14:paraId="5B524939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3. Toileting (going to the toilet, managing clothes, cleaning self after elimination)</w:t>
      </w:r>
    </w:p>
    <w:p w14:paraId="72A98A95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7348C659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4FB360E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p w14:paraId="2E777BF2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4. Transferring (moving in and out of bed, moving in and out of a chair)</w:t>
      </w:r>
    </w:p>
    <w:p w14:paraId="2C9DDAF8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1FC33D13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44B4733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p w14:paraId="64A0A204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5. Continence (urination and defecation control)</w:t>
      </w:r>
    </w:p>
    <w:p w14:paraId="62B7685A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60C86D45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79C68AD6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p w14:paraId="19103A6E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6. Feeding (getting food from plate into mouth)</w:t>
      </w:r>
    </w:p>
    <w:p w14:paraId="5C02375A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No difficulty at all</w:t>
      </w:r>
    </w:p>
    <w:p w14:paraId="37B0AA16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eed help</w:t>
      </w:r>
    </w:p>
    <w:p w14:paraId="3A4825CF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U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  <w:t>nable to perform at all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TIX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A62291"/>
    <w:rsid w:val="032A2EC2"/>
    <w:rsid w:val="03AD764F"/>
    <w:rsid w:val="08AB6853"/>
    <w:rsid w:val="0A2D14EA"/>
    <w:rsid w:val="0A372765"/>
    <w:rsid w:val="0AE778EA"/>
    <w:rsid w:val="0F0F5662"/>
    <w:rsid w:val="0F4470B9"/>
    <w:rsid w:val="150712B5"/>
    <w:rsid w:val="15634011"/>
    <w:rsid w:val="1F301408"/>
    <w:rsid w:val="24F5317C"/>
    <w:rsid w:val="2567676E"/>
    <w:rsid w:val="2886390B"/>
    <w:rsid w:val="2917534F"/>
    <w:rsid w:val="294A30C6"/>
    <w:rsid w:val="29506CD8"/>
    <w:rsid w:val="29B906C4"/>
    <w:rsid w:val="2CF8116C"/>
    <w:rsid w:val="2E494294"/>
    <w:rsid w:val="2EA66686"/>
    <w:rsid w:val="32E1517E"/>
    <w:rsid w:val="35AC4EA4"/>
    <w:rsid w:val="3DA610D4"/>
    <w:rsid w:val="4AFE510E"/>
    <w:rsid w:val="4D4F213D"/>
    <w:rsid w:val="4F986747"/>
    <w:rsid w:val="508D584D"/>
    <w:rsid w:val="565D3B8A"/>
    <w:rsid w:val="59295427"/>
    <w:rsid w:val="5A987886"/>
    <w:rsid w:val="5B9B7009"/>
    <w:rsid w:val="650B3EAC"/>
    <w:rsid w:val="66831ED9"/>
    <w:rsid w:val="66BB6DD6"/>
    <w:rsid w:val="66DB569F"/>
    <w:rsid w:val="6AAD2EDA"/>
    <w:rsid w:val="6B9314D8"/>
    <w:rsid w:val="6C500D69"/>
    <w:rsid w:val="6E8E3753"/>
    <w:rsid w:val="740374D9"/>
    <w:rsid w:val="74BA691F"/>
    <w:rsid w:val="78973EFE"/>
    <w:rsid w:val="79227BA4"/>
    <w:rsid w:val="7BF1074D"/>
    <w:rsid w:val="7DDB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next w:val="1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EndNote Bibliography Title"/>
    <w:basedOn w:val="6"/>
    <w:link w:val="12"/>
    <w:qFormat/>
    <w:uiPriority w:val="0"/>
    <w:pPr>
      <w:autoSpaceDE w:val="0"/>
      <w:autoSpaceDN w:val="0"/>
      <w:adjustRightInd w:val="0"/>
      <w:spacing w:before="0" w:after="0" w:line="360" w:lineRule="auto"/>
      <w:ind w:firstLine="0" w:firstLineChars="0"/>
      <w:jc w:val="left"/>
    </w:pPr>
    <w:rPr>
      <w:rFonts w:ascii="Times New Roman" w:hAnsi="Times New Roman" w:eastAsia="宋体" w:cs="Times New Roman"/>
      <w:kern w:val="2"/>
      <w:sz w:val="20"/>
    </w:rPr>
  </w:style>
  <w:style w:type="character" w:customStyle="1" w:styleId="12">
    <w:name w:val="EndNote Bibliography Title Char"/>
    <w:link w:val="11"/>
    <w:qFormat/>
    <w:uiPriority w:val="0"/>
    <w:rPr>
      <w:rFonts w:ascii="Times New Roman" w:hAnsi="Times New Roman" w:eastAsia="宋体" w:cs="Times New Roman"/>
      <w:kern w:val="2"/>
      <w:sz w:val="20"/>
      <w:szCs w:val="24"/>
      <w:lang w:val="en-US" w:eastAsia="zh-CN" w:bidi="ar-SA"/>
    </w:rPr>
  </w:style>
  <w:style w:type="paragraph" w:customStyle="1" w:styleId="13">
    <w:name w:val="Author List"/>
    <w:basedOn w:val="5"/>
    <w:next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185</Words>
  <Characters>1194</Characters>
  <Lines>0</Lines>
  <Paragraphs>0</Paragraphs>
  <TotalTime>0</TotalTime>
  <ScaleCrop>false</ScaleCrop>
  <LinksUpToDate>false</LinksUpToDate>
  <CharactersWithSpaces>1346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2024-11-27T02:49:00Z</dcterms:created>
  <dc:creator>h</dc:creator>
  <cp:lastModifiedBy>Ziling Feng</cp:lastModifiedBy>
  <dcterms:modified xsi:type="dcterms:W3CDTF">2026-09-02T07:10:45Z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7A95F21DD7F54652BF70BF97D247B634_12</vt:lpwstr>
  </property>
  <property fmtid="{D5CDD505-2E9C-101B-9397-08002B2CF9AE}" pid="4" name="KSOTemplateDocerSaveRecord">
    <vt:lpwstr>eyJoZGlkIjoiYzhmNDM2NDljNDVlZjFhNWRlNDlkYTM1Y2E5OGNhOGYiLCJ1c2VySWQiOiIxNTc2NjIxMzM5In0=</vt:lpwstr>
  </property>
</Properties>
</file>