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FB1" w:rsidRPr="00570F86" w:rsidRDefault="002B2FB1" w:rsidP="002B2FB1">
      <w:pPr>
        <w:spacing w:before="120" w:after="120"/>
      </w:pPr>
    </w:p>
    <w:p w:rsidR="002B2FB1" w:rsidRPr="00570F86" w:rsidRDefault="002B2FB1" w:rsidP="002B2FB1">
      <w:pPr>
        <w:spacing w:before="120" w:after="120"/>
        <w:rPr>
          <w:rFonts w:ascii="Times New Roman" w:hAnsi="Times New Roman"/>
          <w:b/>
          <w:bCs/>
          <w:sz w:val="20"/>
        </w:rPr>
      </w:pPr>
      <w:r w:rsidRPr="00570F86">
        <w:rPr>
          <w:rFonts w:ascii="Times New Roman" w:hAnsi="Times New Roman"/>
          <w:b/>
          <w:bCs/>
          <w:noProof/>
          <w:sz w:val="20"/>
          <w:lang w:eastAsia="en-IN"/>
        </w:rPr>
        <w:drawing>
          <wp:inline distT="0" distB="0" distL="0" distR="0" wp14:anchorId="2C9EEF77" wp14:editId="68556AEA">
            <wp:extent cx="6097270" cy="2933700"/>
            <wp:effectExtent l="0" t="0" r="0" b="0"/>
            <wp:docPr id="60063068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630681" name="图片 60063068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FB1" w:rsidRPr="00570F86" w:rsidRDefault="002B2FB1" w:rsidP="002B2FB1">
      <w:pPr>
        <w:spacing w:before="120" w:after="120"/>
      </w:pPr>
      <w:r w:rsidRPr="00570F86">
        <w:rPr>
          <w:rFonts w:ascii="Times New Roman" w:eastAsia="Times New Roman" w:hAnsi="Times New Roman"/>
          <w:b/>
          <w:bCs/>
          <w:sz w:val="20"/>
        </w:rPr>
        <w:t>Supplementary Figure S1. Time-specific calibration of the locked postdiagnostic pretreatment OS model in the 2016–2021 temporal validation cohort.</w:t>
      </w:r>
      <w:r w:rsidRPr="00570F86">
        <w:rPr>
          <w:rFonts w:ascii="Times New Roman" w:eastAsia="Times New Roman" w:hAnsi="Times New Roman"/>
          <w:sz w:val="20"/>
        </w:rPr>
        <w:t xml:space="preserve"> Calibration is shown at (A) 1 year and (B) 3 years after diagnosis. The diagonal line represents perfect calibration. Calibration-in-the-large and the time-specific calibration slope are reported within each panel. Because the proportional-hazards assumption for the Cox calibration layer was not supported, absolute-risk calibration was interpreted at the prespecified 1- and 3-year horizons.</w:t>
      </w:r>
    </w:p>
    <w:p w:rsidR="002B2FB1" w:rsidRPr="00570F86" w:rsidRDefault="002B2FB1" w:rsidP="002B2FB1">
      <w:pPr>
        <w:spacing w:before="120" w:after="120"/>
        <w:rPr>
          <w:rFonts w:ascii="Times New Roman" w:hAnsi="Times New Roman"/>
          <w:b/>
          <w:bCs/>
          <w:sz w:val="20"/>
        </w:rPr>
      </w:pPr>
      <w:r w:rsidRPr="00570F86">
        <w:rPr>
          <w:rFonts w:ascii="Times New Roman" w:hAnsi="Times New Roman"/>
          <w:b/>
          <w:bCs/>
          <w:noProof/>
          <w:sz w:val="20"/>
          <w:lang w:eastAsia="en-IN"/>
        </w:rPr>
        <w:lastRenderedPageBreak/>
        <w:drawing>
          <wp:inline distT="0" distB="0" distL="0" distR="0" wp14:anchorId="2FF3862D" wp14:editId="2C6F26CB">
            <wp:extent cx="6097270" cy="5253355"/>
            <wp:effectExtent l="0" t="0" r="0" b="4445"/>
            <wp:docPr id="4697312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731254" name="图片 4697312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525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FB1" w:rsidRPr="00570F86" w:rsidRDefault="002B2FB1" w:rsidP="002B2FB1">
      <w:pPr>
        <w:spacing w:before="120" w:after="120"/>
      </w:pPr>
      <w:r w:rsidRPr="00570F86">
        <w:rPr>
          <w:rFonts w:ascii="Times New Roman" w:eastAsia="Times New Roman" w:hAnsi="Times New Roman"/>
          <w:b/>
          <w:bCs/>
          <w:sz w:val="20"/>
        </w:rPr>
        <w:t>Supplementary Figure S2. Supporting cause-specific chondrosarcoma survival analyses.</w:t>
      </w:r>
      <w:r w:rsidRPr="00570F86">
        <w:rPr>
          <w:rFonts w:ascii="Times New Roman" w:eastAsia="Times New Roman" w:hAnsi="Times New Roman"/>
          <w:sz w:val="20"/>
        </w:rPr>
        <w:t xml:space="preserve"> (A) Cause-specific chondrosarcoma survival within the OS-model-derived low-, intermediate-, and high-risk groups. (B) Cause-specific chondrosarcoma survival according to risk groups derived from the separately fitted CSS-specific model. In panels A and B, deaths from causes other than chondrosarcoma were treated as censored observations; shaded bands indicate 95% confidence intervals. Panels C and D show calibration of the CSS-specific model at 1 and 3 years, respectively. The diagonal line represents perfect calibration.</w:t>
      </w:r>
    </w:p>
    <w:p w:rsidR="002B2FB1" w:rsidRPr="00570F86" w:rsidRDefault="002B2FB1" w:rsidP="002B2FB1">
      <w:pPr>
        <w:spacing w:before="120" w:after="120"/>
        <w:rPr>
          <w:rFonts w:ascii="Times New Roman" w:hAnsi="Times New Roman"/>
          <w:b/>
          <w:bCs/>
          <w:sz w:val="20"/>
        </w:rPr>
      </w:pPr>
      <w:r w:rsidRPr="00570F86">
        <w:rPr>
          <w:rFonts w:ascii="Times New Roman" w:hAnsi="Times New Roman"/>
          <w:b/>
          <w:bCs/>
          <w:noProof/>
          <w:sz w:val="20"/>
          <w:lang w:eastAsia="en-IN"/>
        </w:rPr>
        <w:lastRenderedPageBreak/>
        <w:drawing>
          <wp:inline distT="0" distB="0" distL="0" distR="0" wp14:anchorId="3F30074C" wp14:editId="3094C860">
            <wp:extent cx="6097270" cy="3730625"/>
            <wp:effectExtent l="0" t="0" r="0" b="3175"/>
            <wp:docPr id="208223086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230864" name="图片 20822308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FB1" w:rsidRPr="00570F86" w:rsidRDefault="002B2FB1" w:rsidP="002B2FB1">
      <w:pPr>
        <w:spacing w:before="120" w:after="120"/>
      </w:pPr>
      <w:r w:rsidRPr="00570F86">
        <w:rPr>
          <w:rFonts w:ascii="Times New Roman" w:eastAsia="Times New Roman" w:hAnsi="Times New Roman"/>
          <w:b/>
          <w:bCs/>
          <w:sz w:val="20"/>
        </w:rPr>
        <w:t xml:space="preserve">Supplementary Figure S3. Development-only repeated cross-validation assessment of postdiagnostic pretreatment model-configuration stability. </w:t>
      </w:r>
      <w:r w:rsidRPr="00570F86">
        <w:rPr>
          <w:rFonts w:ascii="Times New Roman" w:eastAsia="Times New Roman" w:hAnsi="Times New Roman"/>
          <w:sz w:val="20"/>
        </w:rPr>
        <w:t>Thirty-one postdiagnostic pretreatment configurations were evaluated using fivefold cross-validation repeated five times, yielding 25 development-only resampling splits. (A) Distribution of model ranks across the 25 resampling splits for the ten configurations with the highest mean cross-validated C-index, displayed in order of mean rank. Each point represents the rank observed in one split, and boxplots summarize the median and interquartile range; lower ranks indicate better performance. (B) Percentage of resampling splits in which each configuration ranked among the five highest-performing models. The independent 2016–2021 temporal validation cohort was not used for model reselection.</w:t>
      </w:r>
    </w:p>
    <w:p w:rsidR="002B2FB1" w:rsidRPr="00570F86" w:rsidRDefault="002B2FB1" w:rsidP="002B2FB1">
      <w:pPr>
        <w:spacing w:before="120" w:after="120"/>
        <w:jc w:val="center"/>
        <w:rPr>
          <w:rFonts w:ascii="Times New Roman" w:hAnsi="Times New Roman"/>
          <w:b/>
          <w:bCs/>
          <w:sz w:val="20"/>
        </w:rPr>
      </w:pPr>
      <w:r w:rsidRPr="00570F86">
        <w:rPr>
          <w:rFonts w:ascii="Times New Roman" w:hAnsi="Times New Roman"/>
          <w:b/>
          <w:bCs/>
          <w:noProof/>
          <w:sz w:val="20"/>
          <w:lang w:eastAsia="en-IN"/>
        </w:rPr>
        <w:lastRenderedPageBreak/>
        <w:drawing>
          <wp:inline distT="0" distB="0" distL="0" distR="0" wp14:anchorId="56D7D594" wp14:editId="31296C47">
            <wp:extent cx="5471770" cy="4371376"/>
            <wp:effectExtent l="0" t="0" r="0" b="0"/>
            <wp:docPr id="1686206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20656" name="图片 1686206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5809" cy="437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FB1" w:rsidRPr="00570F86" w:rsidRDefault="002B2FB1" w:rsidP="002B2FB1">
      <w:pPr>
        <w:spacing w:before="120" w:after="120"/>
      </w:pPr>
      <w:r w:rsidRPr="00570F86">
        <w:rPr>
          <w:rFonts w:ascii="Times New Roman" w:eastAsia="Times New Roman" w:hAnsi="Times New Roman"/>
          <w:b/>
          <w:bCs/>
          <w:sz w:val="20"/>
        </w:rPr>
        <w:t>Supplementary Figure S4. Recent-period temporal-split sensitivity analysis using patients diagnosed during 2018–2021 as the validation cohort.</w:t>
      </w:r>
      <w:r w:rsidRPr="00570F86">
        <w:rPr>
          <w:rFonts w:ascii="Times New Roman" w:eastAsia="Times New Roman" w:hAnsi="Times New Roman"/>
          <w:sz w:val="20"/>
        </w:rPr>
        <w:t xml:space="preserve"> (A) Kaplan–Meier estimates of overall survival according to the model-derived low-, intermediate-, and high-risk groups through 36 months after diagnosis; shaded bands indicate 95% confidence intervals. Panels B and C show calibration at 1 and 3 years, respectively. The 36-month display was chosen because no patients remained at risk at 48 months in this recent-period validation subset.</w:t>
      </w:r>
    </w:p>
    <w:p w:rsidR="002B2FB1" w:rsidRPr="00CF6C63" w:rsidRDefault="002B2FB1" w:rsidP="002B2FB1">
      <w:pPr>
        <w:spacing w:before="120" w:after="120"/>
        <w:rPr>
          <w:rFonts w:ascii="Times New Roman" w:hAnsi="Times New Roman"/>
          <w:sz w:val="20"/>
        </w:rPr>
      </w:pPr>
      <w:r w:rsidRPr="00570F86">
        <w:rPr>
          <w:rFonts w:ascii="Times New Roman" w:hAnsi="Times New Roman"/>
          <w:sz w:val="20"/>
        </w:rPr>
        <w:fldChar w:fldCharType="begin"/>
      </w:r>
      <w:r w:rsidRPr="00570F86">
        <w:rPr>
          <w:rFonts w:ascii="Times New Roman" w:hAnsi="Times New Roman"/>
          <w:sz w:val="20"/>
        </w:rPr>
        <w:instrText xml:space="preserve"> ADDIN </w:instrText>
      </w:r>
      <w:r w:rsidRPr="00570F86">
        <w:rPr>
          <w:rFonts w:ascii="Times New Roman" w:hAnsi="Times New Roman"/>
          <w:sz w:val="20"/>
        </w:rPr>
        <w:fldChar w:fldCharType="end"/>
      </w:r>
    </w:p>
    <w:p w:rsidR="0088179D" w:rsidRDefault="0088179D">
      <w:bookmarkStart w:id="0" w:name="_GoBack"/>
      <w:bookmarkEnd w:id="0"/>
    </w:p>
    <w:sectPr w:rsidR="0088179D" w:rsidSect="00751E0F">
      <w:pgSz w:w="11906" w:h="16838"/>
      <w:pgMar w:top="1152" w:right="1152" w:bottom="1152" w:left="1152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FB1"/>
    <w:rsid w:val="000222C5"/>
    <w:rsid w:val="00081EC0"/>
    <w:rsid w:val="00090D50"/>
    <w:rsid w:val="000F588E"/>
    <w:rsid w:val="000F7D7A"/>
    <w:rsid w:val="0010699D"/>
    <w:rsid w:val="001156CB"/>
    <w:rsid w:val="00175DBA"/>
    <w:rsid w:val="00180454"/>
    <w:rsid w:val="001E6979"/>
    <w:rsid w:val="0023386F"/>
    <w:rsid w:val="00283F14"/>
    <w:rsid w:val="002B2FB1"/>
    <w:rsid w:val="002F1A77"/>
    <w:rsid w:val="00313051"/>
    <w:rsid w:val="00333C0E"/>
    <w:rsid w:val="00370D62"/>
    <w:rsid w:val="003A05A9"/>
    <w:rsid w:val="003C4883"/>
    <w:rsid w:val="00410226"/>
    <w:rsid w:val="0046296F"/>
    <w:rsid w:val="004A4865"/>
    <w:rsid w:val="004B5306"/>
    <w:rsid w:val="004C74CD"/>
    <w:rsid w:val="004D10F2"/>
    <w:rsid w:val="00522159"/>
    <w:rsid w:val="00527F25"/>
    <w:rsid w:val="005A280A"/>
    <w:rsid w:val="005E0836"/>
    <w:rsid w:val="005E3EF4"/>
    <w:rsid w:val="006503D1"/>
    <w:rsid w:val="006B7C1E"/>
    <w:rsid w:val="007020FF"/>
    <w:rsid w:val="00776AEA"/>
    <w:rsid w:val="00867D1E"/>
    <w:rsid w:val="0088179D"/>
    <w:rsid w:val="009511C4"/>
    <w:rsid w:val="00977E8F"/>
    <w:rsid w:val="009D4882"/>
    <w:rsid w:val="00A549CA"/>
    <w:rsid w:val="00A97003"/>
    <w:rsid w:val="00B1259D"/>
    <w:rsid w:val="00B91BFD"/>
    <w:rsid w:val="00BD5689"/>
    <w:rsid w:val="00C2406F"/>
    <w:rsid w:val="00C318B5"/>
    <w:rsid w:val="00C42AF0"/>
    <w:rsid w:val="00C45A97"/>
    <w:rsid w:val="00C6542A"/>
    <w:rsid w:val="00CE2E96"/>
    <w:rsid w:val="00D21752"/>
    <w:rsid w:val="00D45BC6"/>
    <w:rsid w:val="00D803B0"/>
    <w:rsid w:val="00D93C4B"/>
    <w:rsid w:val="00E5224A"/>
    <w:rsid w:val="00E76C20"/>
    <w:rsid w:val="00E96AEE"/>
    <w:rsid w:val="00F278A4"/>
    <w:rsid w:val="00F34871"/>
    <w:rsid w:val="00FC0DEC"/>
    <w:rsid w:val="00FC379B"/>
    <w:rsid w:val="00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DE2E12-635B-4D83-9C98-7E73E71A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Sakuber</dc:creator>
  <cp:keywords/>
  <dc:description/>
  <cp:lastModifiedBy>Abdul Sakuber</cp:lastModifiedBy>
  <cp:revision>1</cp:revision>
  <dcterms:created xsi:type="dcterms:W3CDTF">2026-09-29T04:42:00Z</dcterms:created>
  <dcterms:modified xsi:type="dcterms:W3CDTF">2026-09-29T04:43:00Z</dcterms:modified>
</cp:coreProperties>
</file>