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3C9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Supplement</w:t>
      </w:r>
    </w:p>
    <w:p w14:paraId="798A24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Supplementary Table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 Breakdown of “Others” metastatic sites.</w:t>
      </w:r>
    </w:p>
    <w:p w14:paraId="1F118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5219E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2"/>
        <w:tblW w:w="98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9"/>
        <w:gridCol w:w="1949"/>
        <w:gridCol w:w="2257"/>
        <w:gridCol w:w="2874"/>
      </w:tblGrid>
      <w:tr w14:paraId="67331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74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AB3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Metastatic Site</w:t>
            </w:r>
          </w:p>
        </w:tc>
        <w:tc>
          <w:tcPr>
            <w:tcW w:w="194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6F1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298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% of “Others”</w:t>
            </w:r>
          </w:p>
        </w:tc>
        <w:tc>
          <w:tcPr>
            <w:tcW w:w="2874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AFB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% of Total Cohort</w:t>
            </w:r>
          </w:p>
        </w:tc>
      </w:tr>
      <w:tr w14:paraId="0AB4D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749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04F18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Adrenal gland</w:t>
            </w:r>
          </w:p>
        </w:tc>
        <w:tc>
          <w:tcPr>
            <w:tcW w:w="1949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0DA83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57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67E96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6.00%</w:t>
            </w:r>
          </w:p>
        </w:tc>
        <w:tc>
          <w:tcPr>
            <w:tcW w:w="2874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660E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1.20%</w:t>
            </w:r>
          </w:p>
        </w:tc>
      </w:tr>
      <w:tr w14:paraId="1AF16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749" w:type="dxa"/>
            <w:shd w:val="clear" w:color="auto" w:fill="FFFFFF"/>
            <w:vAlign w:val="center"/>
          </w:tcPr>
          <w:p w14:paraId="57C5E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Distant lymph nodes</w:t>
            </w:r>
          </w:p>
        </w:tc>
        <w:tc>
          <w:tcPr>
            <w:tcW w:w="1949" w:type="dxa"/>
            <w:shd w:val="clear" w:color="auto" w:fill="FFFFFF"/>
            <w:vAlign w:val="center"/>
          </w:tcPr>
          <w:p w14:paraId="091F7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257" w:type="dxa"/>
            <w:shd w:val="clear" w:color="auto" w:fill="FFFFFF"/>
            <w:vAlign w:val="center"/>
          </w:tcPr>
          <w:p w14:paraId="3E2BF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30.30%</w:t>
            </w:r>
          </w:p>
        </w:tc>
        <w:tc>
          <w:tcPr>
            <w:tcW w:w="2874" w:type="dxa"/>
            <w:shd w:val="clear" w:color="auto" w:fill="FFFFFF"/>
            <w:vAlign w:val="center"/>
          </w:tcPr>
          <w:p w14:paraId="70341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5.80%</w:t>
            </w:r>
          </w:p>
        </w:tc>
      </w:tr>
      <w:tr w14:paraId="6DC63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749" w:type="dxa"/>
            <w:shd w:val="clear" w:color="auto" w:fill="FFFFFF"/>
            <w:vAlign w:val="center"/>
          </w:tcPr>
          <w:p w14:paraId="2FBA0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Pleura</w:t>
            </w:r>
          </w:p>
        </w:tc>
        <w:tc>
          <w:tcPr>
            <w:tcW w:w="1949" w:type="dxa"/>
            <w:shd w:val="clear" w:color="auto" w:fill="FFFFFF"/>
            <w:vAlign w:val="center"/>
          </w:tcPr>
          <w:p w14:paraId="5DF98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257" w:type="dxa"/>
            <w:shd w:val="clear" w:color="auto" w:fill="FFFFFF"/>
            <w:vAlign w:val="center"/>
          </w:tcPr>
          <w:p w14:paraId="01B47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17.70%</w:t>
            </w:r>
          </w:p>
        </w:tc>
        <w:tc>
          <w:tcPr>
            <w:tcW w:w="2874" w:type="dxa"/>
            <w:shd w:val="clear" w:color="auto" w:fill="FFFFFF"/>
            <w:vAlign w:val="center"/>
          </w:tcPr>
          <w:p w14:paraId="776C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3.40%</w:t>
            </w:r>
          </w:p>
        </w:tc>
      </w:tr>
      <w:tr w14:paraId="00AB8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2749" w:type="dxa"/>
            <w:shd w:val="clear" w:color="auto" w:fill="FFFFFF"/>
            <w:vAlign w:val="center"/>
          </w:tcPr>
          <w:p w14:paraId="2D400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Malignant pleural/pericardial effusion</w:t>
            </w:r>
          </w:p>
        </w:tc>
        <w:tc>
          <w:tcPr>
            <w:tcW w:w="1949" w:type="dxa"/>
            <w:shd w:val="clear" w:color="auto" w:fill="FFFFFF"/>
            <w:vAlign w:val="center"/>
          </w:tcPr>
          <w:p w14:paraId="7F5BF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257" w:type="dxa"/>
            <w:shd w:val="clear" w:color="auto" w:fill="FFFFFF"/>
            <w:vAlign w:val="center"/>
          </w:tcPr>
          <w:p w14:paraId="19FF5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12.30%</w:t>
            </w:r>
          </w:p>
        </w:tc>
        <w:tc>
          <w:tcPr>
            <w:tcW w:w="2874" w:type="dxa"/>
            <w:shd w:val="clear" w:color="auto" w:fill="FFFFFF"/>
            <w:vAlign w:val="center"/>
          </w:tcPr>
          <w:p w14:paraId="5AAF1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2.40%</w:t>
            </w:r>
          </w:p>
        </w:tc>
      </w:tr>
      <w:tr w14:paraId="52928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749" w:type="dxa"/>
            <w:shd w:val="clear" w:color="auto" w:fill="FFFFFF"/>
            <w:vAlign w:val="center"/>
          </w:tcPr>
          <w:p w14:paraId="303E7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Skin</w:t>
            </w:r>
          </w:p>
        </w:tc>
        <w:tc>
          <w:tcPr>
            <w:tcW w:w="1949" w:type="dxa"/>
            <w:shd w:val="clear" w:color="auto" w:fill="FFFFFF"/>
            <w:vAlign w:val="center"/>
          </w:tcPr>
          <w:p w14:paraId="21780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57" w:type="dxa"/>
            <w:shd w:val="clear" w:color="auto" w:fill="FFFFFF"/>
            <w:vAlign w:val="center"/>
          </w:tcPr>
          <w:p w14:paraId="01993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3.40%</w:t>
            </w:r>
          </w:p>
        </w:tc>
        <w:tc>
          <w:tcPr>
            <w:tcW w:w="2874" w:type="dxa"/>
            <w:shd w:val="clear" w:color="auto" w:fill="FFFFFF"/>
            <w:vAlign w:val="center"/>
          </w:tcPr>
          <w:p w14:paraId="43607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0.70%</w:t>
            </w:r>
          </w:p>
        </w:tc>
      </w:tr>
      <w:tr w14:paraId="2E8D1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749" w:type="dxa"/>
            <w:shd w:val="clear" w:color="auto" w:fill="FFFFFF"/>
            <w:vAlign w:val="center"/>
          </w:tcPr>
          <w:p w14:paraId="70075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Kidney/Spleen/Other specified sites</w:t>
            </w:r>
          </w:p>
        </w:tc>
        <w:tc>
          <w:tcPr>
            <w:tcW w:w="1949" w:type="dxa"/>
            <w:shd w:val="clear" w:color="auto" w:fill="FFFFFF"/>
            <w:vAlign w:val="center"/>
          </w:tcPr>
          <w:p w14:paraId="51D20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257" w:type="dxa"/>
            <w:shd w:val="clear" w:color="auto" w:fill="FFFFFF"/>
            <w:vAlign w:val="center"/>
          </w:tcPr>
          <w:p w14:paraId="315C6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10.60%</w:t>
            </w:r>
          </w:p>
        </w:tc>
        <w:tc>
          <w:tcPr>
            <w:tcW w:w="2874" w:type="dxa"/>
            <w:shd w:val="clear" w:color="auto" w:fill="FFFFFF"/>
            <w:vAlign w:val="center"/>
          </w:tcPr>
          <w:p w14:paraId="2D71E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2.00%</w:t>
            </w:r>
          </w:p>
        </w:tc>
      </w:tr>
      <w:tr w14:paraId="1CB5C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2749" w:type="dxa"/>
            <w:shd w:val="clear" w:color="auto" w:fill="FFFFFF"/>
            <w:vAlign w:val="center"/>
          </w:tcPr>
          <w:p w14:paraId="68BA2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Unspecified widespread metastasis</w:t>
            </w:r>
          </w:p>
        </w:tc>
        <w:tc>
          <w:tcPr>
            <w:tcW w:w="1949" w:type="dxa"/>
            <w:shd w:val="clear" w:color="auto" w:fill="FFFFFF"/>
            <w:vAlign w:val="center"/>
          </w:tcPr>
          <w:p w14:paraId="6D715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257" w:type="dxa"/>
            <w:shd w:val="clear" w:color="auto" w:fill="FFFFFF"/>
            <w:vAlign w:val="center"/>
          </w:tcPr>
          <w:p w14:paraId="54C99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19.70%</w:t>
            </w:r>
          </w:p>
        </w:tc>
        <w:tc>
          <w:tcPr>
            <w:tcW w:w="2874" w:type="dxa"/>
            <w:shd w:val="clear" w:color="auto" w:fill="FFFFFF"/>
            <w:vAlign w:val="center"/>
          </w:tcPr>
          <w:p w14:paraId="6AFF6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3.80%</w:t>
            </w:r>
          </w:p>
        </w:tc>
      </w:tr>
      <w:tr w14:paraId="07562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749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53C98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Total (“Others” category)</w:t>
            </w:r>
          </w:p>
        </w:tc>
        <w:tc>
          <w:tcPr>
            <w:tcW w:w="1949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36E44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257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0C6FC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2874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27D12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19.20%</w:t>
            </w:r>
          </w:p>
        </w:tc>
      </w:tr>
    </w:tbl>
    <w:p w14:paraId="4D1268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015A3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Supplementary Table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S2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 Treatment effects before and after PSM.</w:t>
      </w:r>
    </w:p>
    <w:p w14:paraId="4F7CA5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2"/>
        <w:tblW w:w="10524" w:type="dxa"/>
        <w:tblInd w:w="-3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2571"/>
        <w:gridCol w:w="2189"/>
        <w:gridCol w:w="2440"/>
        <w:gridCol w:w="1200"/>
      </w:tblGrid>
      <w:tr w14:paraId="71974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393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Treatment</w:t>
            </w:r>
          </w:p>
        </w:tc>
        <w:tc>
          <w:tcPr>
            <w:tcW w:w="2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9B5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Analysis</w:t>
            </w:r>
          </w:p>
        </w:tc>
        <w:tc>
          <w:tcPr>
            <w:tcW w:w="2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17A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N (treatment/control)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39D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5BD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 w14:paraId="64AAF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763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Surgery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D4E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Unmatched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B4C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189 / 1,633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EB3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0.38 (0.31–0.47)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30C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EB9B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D49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E81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PSM-matched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FB4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189 / 189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B64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0.52 (0.41–0.66)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8F3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6FE2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7F5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3C0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Time-dependent Cox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763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189 / 1,633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876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0.55 (0.43–0.70)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799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284A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B73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Chemotherapy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D19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Unmatched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5E1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946 / 876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41C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0.67 (0.60–0.74)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47C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0CAF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8AF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4E6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PSM-matched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E0B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876 / 876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F92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0.74 (0.65–0.84)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15A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38A5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3C3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803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Time-dependent Cox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47B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876 / 876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78D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0.76 (0.66–0.87)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914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C432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D70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Radiotherapy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08C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Unmatched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8F0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285 / 1,537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78D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0.70 (0.60–0.81)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789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800A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700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FB7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PSM-matched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B8F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285 / 285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276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0.79 (0.66–0.94)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F98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 w14:paraId="4BE2B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255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2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CB1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Time-dependent Cox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CE6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285 / 1,537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255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0.81 (0.67–0.98)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5B0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0.03</w:t>
            </w:r>
          </w:p>
        </w:tc>
      </w:tr>
    </w:tbl>
    <w:p w14:paraId="7C1B7F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4B557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br w:type="page"/>
      </w:r>
    </w:p>
    <w:p w14:paraId="46931F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Supplementary Table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S3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 Calibration metrics of the nomogram in the training and validation cohorts.</w:t>
      </w:r>
    </w:p>
    <w:p w14:paraId="3264D7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tbl>
      <w:tblPr>
        <w:tblStyle w:val="2"/>
        <w:tblW w:w="144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208"/>
        <w:gridCol w:w="2292"/>
        <w:gridCol w:w="1800"/>
        <w:gridCol w:w="2712"/>
        <w:gridCol w:w="1968"/>
        <w:gridCol w:w="1729"/>
      </w:tblGrid>
      <w:tr w14:paraId="261DF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64F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0AD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FD0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train cohort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CD7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F76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1D5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validation cohort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923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5F1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A2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Time</w:t>
            </w:r>
          </w:p>
        </w:tc>
        <w:tc>
          <w:tcPr>
            <w:tcW w:w="22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23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Calibration slope</w:t>
            </w:r>
          </w:p>
        </w:tc>
        <w:tc>
          <w:tcPr>
            <w:tcW w:w="22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C9D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Calibration intercept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EA6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Brier score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6B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Calibration slope</w:t>
            </w:r>
          </w:p>
        </w:tc>
        <w:tc>
          <w:tcPr>
            <w:tcW w:w="19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F3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Calibration intercept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EB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Brier score</w:t>
            </w:r>
          </w:p>
        </w:tc>
      </w:tr>
      <w:tr w14:paraId="77ACF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74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6 months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0B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8A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97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0.16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8C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0.98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AE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−0.01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0D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0.18</w:t>
            </w:r>
          </w:p>
        </w:tc>
      </w:tr>
      <w:tr w14:paraId="06BED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F9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12 months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00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0.98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AB5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21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0.18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DC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0.96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E2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66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0.21</w:t>
            </w:r>
          </w:p>
        </w:tc>
      </w:tr>
      <w:tr w14:paraId="254EE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306E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24 months</w:t>
            </w:r>
          </w:p>
        </w:tc>
        <w:tc>
          <w:tcPr>
            <w:tcW w:w="22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BD6F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0.96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5074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EA10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7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8A3C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0.95</w:t>
            </w:r>
          </w:p>
        </w:tc>
        <w:tc>
          <w:tcPr>
            <w:tcW w:w="19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41A2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0.03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41A3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0.23</w:t>
            </w:r>
          </w:p>
        </w:tc>
      </w:tr>
    </w:tbl>
    <w:p w14:paraId="2551A2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br w:type="page"/>
      </w:r>
    </w:p>
    <w:p w14:paraId="52FFC5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69EB8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Supplementary Table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S4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 Risk stratification results based on total nomogram scores.</w:t>
      </w:r>
    </w:p>
    <w:tbl>
      <w:tblPr>
        <w:tblW w:w="134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1680"/>
        <w:gridCol w:w="1851"/>
        <w:gridCol w:w="1389"/>
        <w:gridCol w:w="1576"/>
        <w:gridCol w:w="1898"/>
        <w:gridCol w:w="1104"/>
        <w:gridCol w:w="1576"/>
      </w:tblGrid>
      <w:tr w14:paraId="174CB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3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982E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Risk Group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7558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Cut-off Points</w:t>
            </w:r>
          </w:p>
        </w:tc>
        <w:tc>
          <w:tcPr>
            <w:tcW w:w="186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7573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Training Cohort (n=1,275)</w:t>
            </w:r>
          </w:p>
        </w:tc>
        <w:tc>
          <w:tcPr>
            <w:tcW w:w="13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ED15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EB3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9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03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Validation Cohort (n=547)</w:t>
            </w:r>
          </w:p>
        </w:tc>
        <w:tc>
          <w:tcPr>
            <w:tcW w:w="11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FF49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5732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03EA9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07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86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57E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 (%)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B7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Median OS (months)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B9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HR (95% CI)*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49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 (%)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B6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Median OS (months)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28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HR (95% CI)*</w:t>
            </w:r>
          </w:p>
        </w:tc>
      </w:tr>
      <w:tr w14:paraId="49D3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53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 risk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FB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≤82 points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16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436 (34.2)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D6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A5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 (Reference)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D1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 (32.2)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3DF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D2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 (Reference)</w:t>
            </w:r>
          </w:p>
        </w:tc>
      </w:tr>
      <w:tr w14:paraId="09DCF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7E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Intermediate risk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C7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82–103 points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2F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469 (36.8)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59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8B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1.807 (1.550–2.107)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88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 (38.0)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01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B0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1.581 (1.257–1.989)</w:t>
            </w:r>
          </w:p>
        </w:tc>
      </w:tr>
      <w:tr w14:paraId="4B4E6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48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 risk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28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&gt;103 points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BC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 (29.0)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DC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F4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2.921 (2.491–3.427)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8D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 (29.8)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E4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59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2.170 (1.706–2.761)</w:t>
            </w:r>
          </w:p>
        </w:tc>
      </w:tr>
      <w:tr w14:paraId="6BDB1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3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10F9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F103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38C7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8CC7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809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EC16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AC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50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9093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</w:tbl>
    <w:p w14:paraId="77853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*HRs were calculated using univariate Cox regression with the low-risk group as the reference. OS, overall survival; HR, hazard ratio; CI, confidence interval.</w:t>
      </w:r>
    </w:p>
    <w:p w14:paraId="0F6E1E20">
      <w:pP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br w:type="page"/>
      </w:r>
    </w:p>
    <w:p w14:paraId="2DB90D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figure S1</w:t>
      </w:r>
    </w:p>
    <w:p w14:paraId="05EAF8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7197725" cy="3602355"/>
            <wp:effectExtent l="0" t="0" r="10795" b="9525"/>
            <wp:docPr id="1" name="图片 1" descr="Figure S1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7725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F9A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79647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Figure S1.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Kaplan-Meier survival curves for T1N0M1 lung cancer patients stratified by nomogram-derived risk groups in the training cohort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(A) and validation cohort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(B)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 </w:t>
      </w: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01D62"/>
    <w:rsid w:val="03FA3C27"/>
    <w:rsid w:val="09D26061"/>
    <w:rsid w:val="18550589"/>
    <w:rsid w:val="206E238A"/>
    <w:rsid w:val="24540840"/>
    <w:rsid w:val="2B59624A"/>
    <w:rsid w:val="31FB42D0"/>
    <w:rsid w:val="380631C0"/>
    <w:rsid w:val="4102318A"/>
    <w:rsid w:val="42B200D3"/>
    <w:rsid w:val="4B46773A"/>
    <w:rsid w:val="4EAE1F59"/>
    <w:rsid w:val="52573B56"/>
    <w:rsid w:val="568A7075"/>
    <w:rsid w:val="5F501D62"/>
    <w:rsid w:val="6BCC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203</Words>
  <Characters>1168</Characters>
  <Lines>0</Lines>
  <Paragraphs>0</Paragraphs>
  <TotalTime>305</TotalTime>
  <ScaleCrop>false</ScaleCrop>
  <LinksUpToDate>false</LinksUpToDate>
  <CharactersWithSpaces>1263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2026-08-27T05:32:00Z</dcterms:created>
  <dc:creator>Lemon</dc:creator>
  <cp:lastModifiedBy>Lemon</cp:lastModifiedBy>
  <dcterms:modified xsi:type="dcterms:W3CDTF">2026-09-05T08:54:31Z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F1A590825B18481A8A7C739A499C237C_11</vt:lpwstr>
  </property>
  <property fmtid="{D5CDD505-2E9C-101B-9397-08002B2CF9AE}" pid="4" name="KSOTemplateDocerSaveRecord">
    <vt:lpwstr>eyJoZGlkIjoiODViY2JkMjU3NGYzZTEwMzZmMGFkZWViYmNkYWU3NDIiLCJ1c2VySWQiOiIzNzQ2MjgzMDcifQ==</vt:lpwstr>
  </property>
</Properties>
</file>