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E3C9C" w14:textId="77777777" w:rsidR="00361A1F" w:rsidRDefault="00361A1F" w:rsidP="004527D7">
      <w:pPr>
        <w:jc w:val="both"/>
        <w:rPr>
          <w:rFonts w:ascii="Times New Roman" w:hAnsi="Times New Roman" w:cs="Times New Roman"/>
          <w:lang w:val="en-GB"/>
        </w:rPr>
      </w:pPr>
    </w:p>
    <w:p w14:paraId="43C9C56E" w14:textId="4431B6D4" w:rsidR="00361A1F" w:rsidRPr="00BA40AB" w:rsidRDefault="00361A1F" w:rsidP="004527D7">
      <w:pPr>
        <w:jc w:val="both"/>
        <w:rPr>
          <w:rFonts w:ascii="Times New Roman" w:hAnsi="Times New Roman" w:cs="Times New Roman"/>
          <w:lang w:val="en-GB"/>
        </w:rPr>
      </w:pPr>
      <w:r w:rsidRPr="00BA40AB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2E4A3BE8" wp14:editId="44ED6C2F">
            <wp:extent cx="5927881" cy="4338084"/>
            <wp:effectExtent l="0" t="0" r="0" b="0"/>
            <wp:docPr id="1321887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96" cy="434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7792C" w14:textId="23AC5483" w:rsidR="00361A1F" w:rsidRPr="00BA40AB" w:rsidRDefault="00361A1F" w:rsidP="004527D7">
      <w:pPr>
        <w:jc w:val="both"/>
        <w:rPr>
          <w:rFonts w:ascii="Times New Roman" w:hAnsi="Times New Roman" w:cs="Times New Roman"/>
          <w:lang w:val="en-GB"/>
        </w:rPr>
      </w:pPr>
      <w:r w:rsidRPr="00BA40AB">
        <w:rPr>
          <w:rFonts w:ascii="Times New Roman" w:hAnsi="Times New Roman" w:cs="Times New Roman"/>
          <w:lang w:val="en-GB"/>
        </w:rPr>
        <w:t xml:space="preserve">Figure S1. </w:t>
      </w:r>
      <w:r w:rsidR="004F408B" w:rsidRPr="00BA40AB">
        <w:rPr>
          <w:rFonts w:ascii="Times New Roman" w:hAnsi="Times New Roman" w:cs="Times New Roman"/>
          <w:lang w:val="en-GB"/>
        </w:rPr>
        <w:t xml:space="preserve">Distribution of intraindividual changes in hair cortisol concentration from T1 to T2. Change was calculated using raw, untransformed HCC values as T2 minus T1; positive values indicate increases over time. Panel A presents all observations in the analytic sample. Panel B presents the same sample after </w:t>
      </w:r>
      <w:proofErr w:type="spellStart"/>
      <w:r w:rsidR="004F408B" w:rsidRPr="00BA40AB">
        <w:rPr>
          <w:rFonts w:ascii="Times New Roman" w:hAnsi="Times New Roman" w:cs="Times New Roman"/>
          <w:lang w:val="en-GB"/>
        </w:rPr>
        <w:t>winsorizing</w:t>
      </w:r>
      <w:proofErr w:type="spellEnd"/>
      <w:r w:rsidR="004F408B" w:rsidRPr="00BA40AB">
        <w:rPr>
          <w:rFonts w:ascii="Times New Roman" w:hAnsi="Times New Roman" w:cs="Times New Roman"/>
          <w:lang w:val="en-GB"/>
        </w:rPr>
        <w:t xml:space="preserve"> change values at the 1st and 99th percentiles.</w:t>
      </w:r>
      <w:r w:rsidR="00D16333" w:rsidRPr="00BA40AB">
        <w:rPr>
          <w:rFonts w:ascii="Times New Roman" w:hAnsi="Times New Roman" w:cs="Times New Roman"/>
          <w:lang w:val="en-GB"/>
        </w:rPr>
        <w:t xml:space="preserve"> Panel B presents change scores </w:t>
      </w:r>
      <w:proofErr w:type="spellStart"/>
      <w:r w:rsidR="00D16333" w:rsidRPr="00BA40AB">
        <w:rPr>
          <w:rFonts w:ascii="Times New Roman" w:hAnsi="Times New Roman" w:cs="Times New Roman"/>
          <w:lang w:val="en-GB"/>
        </w:rPr>
        <w:t>winsorized</w:t>
      </w:r>
      <w:proofErr w:type="spellEnd"/>
      <w:r w:rsidR="00D16333" w:rsidRPr="00BA40AB">
        <w:rPr>
          <w:rFonts w:ascii="Times New Roman" w:hAnsi="Times New Roman" w:cs="Times New Roman"/>
          <w:lang w:val="en-GB"/>
        </w:rPr>
        <w:t xml:space="preserve"> at the 1st (−7.10 </w:t>
      </w:r>
      <w:proofErr w:type="spellStart"/>
      <w:r w:rsidR="00D16333" w:rsidRPr="00BA40AB">
        <w:rPr>
          <w:rFonts w:ascii="Times New Roman" w:hAnsi="Times New Roman" w:cs="Times New Roman"/>
          <w:lang w:val="en-GB"/>
        </w:rPr>
        <w:t>pg</w:t>
      </w:r>
      <w:proofErr w:type="spellEnd"/>
      <w:r w:rsidR="00D16333" w:rsidRPr="00BA40AB">
        <w:rPr>
          <w:rFonts w:ascii="Times New Roman" w:hAnsi="Times New Roman" w:cs="Times New Roman"/>
          <w:lang w:val="en-GB"/>
        </w:rPr>
        <w:t xml:space="preserve">/mg) and 99th (15.75 </w:t>
      </w:r>
      <w:proofErr w:type="spellStart"/>
      <w:r w:rsidR="00D16333" w:rsidRPr="00BA40AB">
        <w:rPr>
          <w:rFonts w:ascii="Times New Roman" w:hAnsi="Times New Roman" w:cs="Times New Roman"/>
          <w:lang w:val="en-GB"/>
        </w:rPr>
        <w:t>pg</w:t>
      </w:r>
      <w:proofErr w:type="spellEnd"/>
      <w:r w:rsidR="00D16333" w:rsidRPr="00BA40AB">
        <w:rPr>
          <w:rFonts w:ascii="Times New Roman" w:hAnsi="Times New Roman" w:cs="Times New Roman"/>
          <w:lang w:val="en-GB"/>
        </w:rPr>
        <w:t xml:space="preserve">/mg) percentiles; 30 values (1.99% of the analytic sample) were </w:t>
      </w:r>
      <w:proofErr w:type="spellStart"/>
      <w:r w:rsidR="00D16333" w:rsidRPr="00BA40AB">
        <w:rPr>
          <w:rFonts w:ascii="Times New Roman" w:hAnsi="Times New Roman" w:cs="Times New Roman"/>
          <w:lang w:val="en-GB"/>
        </w:rPr>
        <w:t>winsorized</w:t>
      </w:r>
      <w:proofErr w:type="spellEnd"/>
      <w:r w:rsidR="00D16333" w:rsidRPr="00BA40AB">
        <w:rPr>
          <w:rFonts w:ascii="Times New Roman" w:hAnsi="Times New Roman" w:cs="Times New Roman"/>
          <w:lang w:val="en-GB"/>
        </w:rPr>
        <w:t>, and no participants were excluded.</w:t>
      </w:r>
      <w:r w:rsidR="004F408B" w:rsidRPr="00BA40AB">
        <w:rPr>
          <w:rFonts w:ascii="Times New Roman" w:hAnsi="Times New Roman" w:cs="Times New Roman"/>
          <w:lang w:val="en-GB"/>
        </w:rPr>
        <w:t xml:space="preserve"> The vertical dashed line indicates no change.</w:t>
      </w:r>
    </w:p>
    <w:p w14:paraId="2532FBAF" w14:textId="2FEE371A" w:rsidR="00BA40AB" w:rsidRPr="00BA40AB" w:rsidRDefault="00BA40AB" w:rsidP="004527D7">
      <w:pPr>
        <w:jc w:val="both"/>
        <w:rPr>
          <w:rFonts w:ascii="Times New Roman" w:hAnsi="Times New Roman" w:cs="Times New Roman"/>
          <w:lang w:val="en-GB"/>
        </w:rPr>
      </w:pPr>
    </w:p>
    <w:p w14:paraId="60C4A1B5" w14:textId="727C7E9C" w:rsidR="00BA40AB" w:rsidRPr="00BA40AB" w:rsidRDefault="00BA40AB" w:rsidP="004527D7">
      <w:pPr>
        <w:jc w:val="both"/>
        <w:rPr>
          <w:rFonts w:ascii="Times New Roman" w:hAnsi="Times New Roman" w:cs="Times New Roman"/>
          <w:lang w:val="en-GB"/>
        </w:rPr>
      </w:pPr>
    </w:p>
    <w:tbl>
      <w:tblPr>
        <w:tblStyle w:val="TableGrid"/>
        <w:tblpPr w:leftFromText="141" w:rightFromText="141" w:vertAnchor="text" w:horzAnchor="margin" w:tblpY="125"/>
        <w:tblW w:w="140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  <w:gridCol w:w="2800"/>
        <w:gridCol w:w="2800"/>
        <w:gridCol w:w="2800"/>
        <w:gridCol w:w="2801"/>
      </w:tblGrid>
      <w:tr w:rsidR="00BA40AB" w:rsidRPr="00BA40AB" w14:paraId="0F72B224" w14:textId="77777777" w:rsidTr="00A66431">
        <w:trPr>
          <w:trHeight w:val="251"/>
        </w:trPr>
        <w:tc>
          <w:tcPr>
            <w:tcW w:w="14001" w:type="dxa"/>
            <w:gridSpan w:val="5"/>
            <w:tcBorders>
              <w:bottom w:val="single" w:sz="4" w:space="0" w:color="auto"/>
            </w:tcBorders>
          </w:tcPr>
          <w:p w14:paraId="27F22498" w14:textId="77777777" w:rsidR="00BA40AB" w:rsidRPr="00BA40AB" w:rsidRDefault="00BA40AB" w:rsidP="00A66431">
            <w:pPr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Table S1. Distribution of pandemic-related factors in the analytic sample</w:t>
            </w:r>
          </w:p>
        </w:tc>
      </w:tr>
      <w:tr w:rsidR="00BA40AB" w:rsidRPr="00BA40AB" w14:paraId="25C4A0C3" w14:textId="77777777" w:rsidTr="00A66431">
        <w:trPr>
          <w:trHeight w:val="521"/>
        </w:trPr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8B72A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A40AB">
              <w:rPr>
                <w:rFonts w:ascii="Times New Roman" w:hAnsi="Times New Roman" w:cs="Times New Roman"/>
                <w:b/>
                <w:bCs/>
                <w:lang w:val="en-GB"/>
              </w:rPr>
              <w:t>Pandemic-related factor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7A6EA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A40AB">
              <w:rPr>
                <w:rFonts w:ascii="Times New Roman" w:hAnsi="Times New Roman" w:cs="Times New Roman"/>
                <w:b/>
                <w:bCs/>
                <w:lang w:val="en-GB"/>
              </w:rPr>
              <w:t>Valid N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B44FD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A40AB">
              <w:rPr>
                <w:rFonts w:ascii="Times New Roman" w:hAnsi="Times New Roman" w:cs="Times New Roman"/>
                <w:b/>
                <w:bCs/>
                <w:lang w:val="en-GB"/>
              </w:rPr>
              <w:t>Distribution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2598D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A40AB">
              <w:rPr>
                <w:rFonts w:ascii="Times New Roman" w:hAnsi="Times New Roman" w:cs="Times New Roman"/>
                <w:b/>
                <w:bCs/>
                <w:lang w:val="en-GB"/>
              </w:rPr>
              <w:t>95% CI</w:t>
            </w:r>
          </w:p>
        </w:tc>
        <w:tc>
          <w:tcPr>
            <w:tcW w:w="28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2668A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A40AB">
              <w:rPr>
                <w:rFonts w:ascii="Times New Roman" w:hAnsi="Times New Roman" w:cs="Times New Roman"/>
                <w:b/>
                <w:bCs/>
                <w:lang w:val="en-GB"/>
              </w:rPr>
              <w:t>Missing, n (%)</w:t>
            </w:r>
          </w:p>
        </w:tc>
      </w:tr>
      <w:tr w:rsidR="00BA40AB" w:rsidRPr="00BA40AB" w14:paraId="27E913CE" w14:textId="77777777" w:rsidTr="00A66431">
        <w:trPr>
          <w:trHeight w:val="1076"/>
        </w:trPr>
        <w:tc>
          <w:tcPr>
            <w:tcW w:w="2800" w:type="dxa"/>
            <w:tcBorders>
              <w:top w:val="single" w:sz="4" w:space="0" w:color="auto"/>
            </w:tcBorders>
            <w:vAlign w:val="center"/>
          </w:tcPr>
          <w:p w14:paraId="03583083" w14:textId="77777777" w:rsidR="00BA40AB" w:rsidRPr="00BA40AB" w:rsidRDefault="00BA40AB" w:rsidP="00A66431">
            <w:pPr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Beneficiary of the pandemic-specific government cash-transfer program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vAlign w:val="center"/>
          </w:tcPr>
          <w:p w14:paraId="6949B2A2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1,505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vAlign w:val="center"/>
          </w:tcPr>
          <w:p w14:paraId="4B56CEA9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726 (48.24%)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vAlign w:val="center"/>
          </w:tcPr>
          <w:p w14:paraId="5C43131E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45.72–50.77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center"/>
          </w:tcPr>
          <w:p w14:paraId="14414B0E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4 (0.27%)</w:t>
            </w:r>
          </w:p>
        </w:tc>
      </w:tr>
      <w:tr w:rsidR="00BA40AB" w:rsidRPr="00BA40AB" w14:paraId="0FB4BA4D" w14:textId="77777777" w:rsidTr="00A66431">
        <w:trPr>
          <w:trHeight w:val="269"/>
        </w:trPr>
        <w:tc>
          <w:tcPr>
            <w:tcW w:w="2800" w:type="dxa"/>
            <w:vAlign w:val="center"/>
          </w:tcPr>
          <w:p w14:paraId="33A996C2" w14:textId="77777777" w:rsidR="00BA40AB" w:rsidRPr="00BA40AB" w:rsidRDefault="00BA40AB" w:rsidP="00A66431">
            <w:pPr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Fear of food shortage</w:t>
            </w:r>
          </w:p>
        </w:tc>
        <w:tc>
          <w:tcPr>
            <w:tcW w:w="2800" w:type="dxa"/>
            <w:vAlign w:val="center"/>
          </w:tcPr>
          <w:p w14:paraId="0C0970EA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1,279</w:t>
            </w:r>
          </w:p>
        </w:tc>
        <w:tc>
          <w:tcPr>
            <w:tcW w:w="2800" w:type="dxa"/>
            <w:vAlign w:val="center"/>
          </w:tcPr>
          <w:p w14:paraId="613D6BB7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384 (30.02%)</w:t>
            </w:r>
          </w:p>
        </w:tc>
        <w:tc>
          <w:tcPr>
            <w:tcW w:w="2800" w:type="dxa"/>
            <w:vAlign w:val="center"/>
          </w:tcPr>
          <w:p w14:paraId="0C5A39DA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27.57–32.60</w:t>
            </w:r>
          </w:p>
        </w:tc>
        <w:tc>
          <w:tcPr>
            <w:tcW w:w="2801" w:type="dxa"/>
            <w:vAlign w:val="center"/>
          </w:tcPr>
          <w:p w14:paraId="7C6A2906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230 (15.24%)</w:t>
            </w:r>
          </w:p>
        </w:tc>
      </w:tr>
      <w:tr w:rsidR="00BA40AB" w:rsidRPr="00BA40AB" w14:paraId="058FA483" w14:textId="77777777" w:rsidTr="00A66431">
        <w:trPr>
          <w:trHeight w:val="251"/>
        </w:trPr>
        <w:tc>
          <w:tcPr>
            <w:tcW w:w="2800" w:type="dxa"/>
            <w:vAlign w:val="center"/>
          </w:tcPr>
          <w:p w14:paraId="235BDDD6" w14:textId="77777777" w:rsidR="00BA40AB" w:rsidRPr="00BA40AB" w:rsidRDefault="00BA40AB" w:rsidP="00A66431">
            <w:pPr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Conflicts at home</w:t>
            </w:r>
          </w:p>
        </w:tc>
        <w:tc>
          <w:tcPr>
            <w:tcW w:w="2800" w:type="dxa"/>
            <w:vAlign w:val="center"/>
          </w:tcPr>
          <w:p w14:paraId="165A279F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1,279</w:t>
            </w:r>
          </w:p>
        </w:tc>
        <w:tc>
          <w:tcPr>
            <w:tcW w:w="2800" w:type="dxa"/>
            <w:vAlign w:val="center"/>
          </w:tcPr>
          <w:p w14:paraId="1BAEC02D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183 (14.31%)</w:t>
            </w:r>
          </w:p>
        </w:tc>
        <w:tc>
          <w:tcPr>
            <w:tcW w:w="2800" w:type="dxa"/>
            <w:vAlign w:val="center"/>
          </w:tcPr>
          <w:p w14:paraId="1A0F47C8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12.49–16.34</w:t>
            </w:r>
          </w:p>
        </w:tc>
        <w:tc>
          <w:tcPr>
            <w:tcW w:w="2801" w:type="dxa"/>
            <w:vAlign w:val="center"/>
          </w:tcPr>
          <w:p w14:paraId="5741776E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230 (15.24%)</w:t>
            </w:r>
          </w:p>
        </w:tc>
      </w:tr>
      <w:tr w:rsidR="00BA40AB" w:rsidRPr="00BA40AB" w14:paraId="6556E4B4" w14:textId="77777777" w:rsidTr="00A66431">
        <w:trPr>
          <w:trHeight w:val="538"/>
        </w:trPr>
        <w:tc>
          <w:tcPr>
            <w:tcW w:w="2800" w:type="dxa"/>
            <w:vAlign w:val="center"/>
          </w:tcPr>
          <w:p w14:paraId="72A6D821" w14:textId="77777777" w:rsidR="00BA40AB" w:rsidRPr="00BA40AB" w:rsidRDefault="00BA40AB" w:rsidP="00A66431">
            <w:pPr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Maternal job loss during the pandemic</w:t>
            </w:r>
          </w:p>
        </w:tc>
        <w:tc>
          <w:tcPr>
            <w:tcW w:w="2800" w:type="dxa"/>
            <w:vAlign w:val="center"/>
          </w:tcPr>
          <w:p w14:paraId="05BE6014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1,506</w:t>
            </w:r>
          </w:p>
        </w:tc>
        <w:tc>
          <w:tcPr>
            <w:tcW w:w="2800" w:type="dxa"/>
            <w:vAlign w:val="center"/>
          </w:tcPr>
          <w:p w14:paraId="73789CEE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307 (20.39%)</w:t>
            </w:r>
          </w:p>
        </w:tc>
        <w:tc>
          <w:tcPr>
            <w:tcW w:w="2800" w:type="dxa"/>
            <w:vAlign w:val="center"/>
          </w:tcPr>
          <w:p w14:paraId="7529431B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18.42–22.50</w:t>
            </w:r>
          </w:p>
        </w:tc>
        <w:tc>
          <w:tcPr>
            <w:tcW w:w="2801" w:type="dxa"/>
            <w:vAlign w:val="center"/>
          </w:tcPr>
          <w:p w14:paraId="4B004B55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3 (0.20%)</w:t>
            </w:r>
          </w:p>
        </w:tc>
      </w:tr>
      <w:tr w:rsidR="00BA40AB" w:rsidRPr="00BA40AB" w14:paraId="6FC19D1B" w14:textId="77777777" w:rsidTr="00A66431">
        <w:trPr>
          <w:trHeight w:val="538"/>
        </w:trPr>
        <w:tc>
          <w:tcPr>
            <w:tcW w:w="2800" w:type="dxa"/>
            <w:vAlign w:val="center"/>
          </w:tcPr>
          <w:p w14:paraId="5190ABA6" w14:textId="77777777" w:rsidR="00BA40AB" w:rsidRPr="00BA40AB" w:rsidRDefault="00BA40AB" w:rsidP="00A66431">
            <w:pPr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Self-reported stress level, mean (SD)</w:t>
            </w:r>
          </w:p>
        </w:tc>
        <w:tc>
          <w:tcPr>
            <w:tcW w:w="2800" w:type="dxa"/>
            <w:vAlign w:val="center"/>
          </w:tcPr>
          <w:p w14:paraId="3615EC7A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1,509</w:t>
            </w:r>
          </w:p>
        </w:tc>
        <w:tc>
          <w:tcPr>
            <w:tcW w:w="2800" w:type="dxa"/>
            <w:vAlign w:val="center"/>
          </w:tcPr>
          <w:p w14:paraId="021DD0C0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7.34 (5.02)</w:t>
            </w:r>
          </w:p>
        </w:tc>
        <w:tc>
          <w:tcPr>
            <w:tcW w:w="2800" w:type="dxa"/>
            <w:vAlign w:val="center"/>
          </w:tcPr>
          <w:p w14:paraId="4CDE13B7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7.09–7.59</w:t>
            </w:r>
          </w:p>
        </w:tc>
        <w:tc>
          <w:tcPr>
            <w:tcW w:w="2801" w:type="dxa"/>
            <w:vAlign w:val="center"/>
          </w:tcPr>
          <w:p w14:paraId="7EA735A3" w14:textId="77777777" w:rsidR="00BA40AB" w:rsidRPr="00BA40AB" w:rsidRDefault="00BA40AB" w:rsidP="00A6643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0 (0.00%)</w:t>
            </w:r>
          </w:p>
        </w:tc>
      </w:tr>
      <w:tr w:rsidR="00BA40AB" w14:paraId="49F6F138" w14:textId="77777777" w:rsidTr="00A66431">
        <w:trPr>
          <w:trHeight w:val="251"/>
        </w:trPr>
        <w:tc>
          <w:tcPr>
            <w:tcW w:w="14001" w:type="dxa"/>
            <w:gridSpan w:val="5"/>
            <w:tcBorders>
              <w:top w:val="single" w:sz="4" w:space="0" w:color="auto"/>
            </w:tcBorders>
          </w:tcPr>
          <w:p w14:paraId="71B50E6A" w14:textId="77777777" w:rsidR="00BA40AB" w:rsidRDefault="00BA40AB" w:rsidP="00A66431">
            <w:pPr>
              <w:rPr>
                <w:rFonts w:ascii="Times New Roman" w:hAnsi="Times New Roman" w:cs="Times New Roman"/>
                <w:lang w:val="en-GB"/>
              </w:rPr>
            </w:pPr>
            <w:r w:rsidRPr="00BA40AB">
              <w:rPr>
                <w:rFonts w:ascii="Times New Roman" w:hAnsi="Times New Roman" w:cs="Times New Roman"/>
                <w:lang w:val="en-GB"/>
              </w:rPr>
              <w:t>Note. Percentages and 95% confidence intervals for binary variables were calculated among participants with available data. Self-reported stress was measured using the seven-item Stress subscale of the Depression Anxiety Stress Scales (DASS-21), with possible scores ranging from 0 to 21; higher scores indicated greater stress.</w:t>
            </w:r>
            <w:r w:rsidRPr="00527BF3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</w:tr>
    </w:tbl>
    <w:p w14:paraId="2D12090E" w14:textId="77777777" w:rsidR="00BA40AB" w:rsidRPr="004527D7" w:rsidRDefault="00BA40AB" w:rsidP="004527D7">
      <w:pPr>
        <w:jc w:val="both"/>
        <w:rPr>
          <w:rFonts w:ascii="Times New Roman" w:hAnsi="Times New Roman" w:cs="Times New Roman"/>
          <w:lang w:val="en-GB"/>
        </w:rPr>
      </w:pPr>
    </w:p>
    <w:sectPr w:rsidR="00BA40AB" w:rsidRPr="004527D7" w:rsidSect="004527D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8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LC0MDcxMzQysjS3NDBT0lEKTi0uzszPAykwqgUAP+4MYywAAAA="/>
  </w:docVars>
  <w:rsids>
    <w:rsidRoot w:val="004527D7"/>
    <w:rsid w:val="00361A1F"/>
    <w:rsid w:val="004527D7"/>
    <w:rsid w:val="004F408B"/>
    <w:rsid w:val="00613725"/>
    <w:rsid w:val="007B537D"/>
    <w:rsid w:val="007F02DD"/>
    <w:rsid w:val="00B717BF"/>
    <w:rsid w:val="00BA40AB"/>
    <w:rsid w:val="00C13B08"/>
    <w:rsid w:val="00D16333"/>
    <w:rsid w:val="00E3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F830"/>
  <w15:chartTrackingRefBased/>
  <w15:docId w15:val="{E9A155AC-D58C-49C6-B0B3-9A6183E4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7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7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7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7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7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7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7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7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7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7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7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7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7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7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7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7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7D7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527D7"/>
    <w:rPr>
      <w:b/>
      <w:bCs/>
    </w:rPr>
  </w:style>
  <w:style w:type="table" w:styleId="TableGrid">
    <w:name w:val="Table Grid"/>
    <w:basedOn w:val="TableNormal"/>
    <w:uiPriority w:val="59"/>
    <w:rsid w:val="00452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61A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Maruyama</dc:creator>
  <cp:keywords/>
  <dc:description/>
  <cp:lastModifiedBy>Yamini</cp:lastModifiedBy>
  <cp:revision>2</cp:revision>
  <dcterms:created xsi:type="dcterms:W3CDTF">2026-10-01T09:25:00Z</dcterms:created>
  <dcterms:modified xsi:type="dcterms:W3CDTF">2026-10-01T09:25:00Z</dcterms:modified>
</cp:coreProperties>
</file>