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F4A0E2">
      <w:pPr>
        <w:spacing w:line="240" w:lineRule="auto"/>
        <w:jc w:val="left"/>
        <w:rPr>
          <w:rFonts w:hint="default" w:ascii="Times New Roman" w:hAnsi="Times New Roman" w:cs="Times New Roman"/>
          <w:sz w:val="21"/>
          <w:szCs w:val="24"/>
        </w:rPr>
      </w:pPr>
      <w:r>
        <w:rPr>
          <w:rFonts w:hint="default" w:ascii="Times New Roman" w:hAnsi="Times New Roman" w:cs="Times New Roman"/>
          <w:sz w:val="21"/>
          <w:szCs w:val="24"/>
        </w:rPr>
        <w:t>Supplementary Material</w:t>
      </w:r>
    </w:p>
    <w:p w14:paraId="7B02563E">
      <w:pPr>
        <w:spacing w:line="240" w:lineRule="auto"/>
        <w:jc w:val="left"/>
        <w:rPr>
          <w:rFonts w:hint="eastAsia" w:ascii="Times New Roman" w:hAnsi="Times New Roman" w:cs="Times New Roman" w:eastAsiaTheme="minorEastAsia"/>
          <w:sz w:val="21"/>
          <w:szCs w:val="24"/>
          <w:lang w:eastAsia="zh-CN"/>
        </w:rPr>
      </w:pPr>
      <w:r>
        <w:rPr>
          <w:rFonts w:hint="eastAsia" w:ascii="Times New Roman" w:hAnsi="Times New Roman" w:cs="Times New Roman" w:eastAsiaTheme="minorEastAsia"/>
          <w:sz w:val="21"/>
          <w:szCs w:val="24"/>
          <w:lang w:eastAsia="zh-CN"/>
        </w:rPr>
        <w:drawing>
          <wp:inline distT="0" distB="0" distL="114300" distR="114300">
            <wp:extent cx="5273675" cy="3806190"/>
            <wp:effectExtent l="0" t="0" r="3175" b="3810"/>
            <wp:docPr id="2" name="图片 2" descr="Figure_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_S1"/>
                    <pic:cNvPicPr>
                      <a:picLocks noChangeAspect="1"/>
                    </pic:cNvPicPr>
                  </pic:nvPicPr>
                  <pic:blipFill>
                    <a:blip r:embed="rId4"/>
                    <a:stretch>
                      <a:fillRect/>
                    </a:stretch>
                  </pic:blipFill>
                  <pic:spPr>
                    <a:xfrm>
                      <a:off x="0" y="0"/>
                      <a:ext cx="5273675" cy="3806190"/>
                    </a:xfrm>
                    <a:prstGeom prst="rect">
                      <a:avLst/>
                    </a:prstGeom>
                  </pic:spPr>
                </pic:pic>
              </a:graphicData>
            </a:graphic>
          </wp:inline>
        </w:drawing>
      </w:r>
    </w:p>
    <w:p w14:paraId="25CAB53D">
      <w:pPr>
        <w:spacing w:line="240" w:lineRule="auto"/>
        <w:jc w:val="left"/>
        <w:rPr>
          <w:rFonts w:hint="default" w:ascii="Times New Roman" w:hAnsi="Times New Roman" w:cs="Times New Roman"/>
          <w:sz w:val="21"/>
          <w:szCs w:val="24"/>
        </w:rPr>
      </w:pPr>
      <w:r>
        <w:rPr>
          <w:rFonts w:hint="default" w:ascii="Times New Roman" w:hAnsi="Times New Roman" w:cs="Times New Roman"/>
          <w:b/>
          <w:bCs/>
          <w:sz w:val="21"/>
        </w:rPr>
        <w:t>Fig</w:t>
      </w:r>
      <w:r>
        <w:rPr>
          <w:rFonts w:hint="eastAsia" w:ascii="Times New Roman" w:hAnsi="Times New Roman" w:cs="Times New Roman"/>
          <w:b/>
          <w:bCs/>
          <w:sz w:val="21"/>
          <w:lang w:val="en-US" w:eastAsia="zh-CN"/>
        </w:rPr>
        <w:t>.</w:t>
      </w:r>
      <w:r>
        <w:rPr>
          <w:rFonts w:hint="default" w:ascii="Times New Roman" w:hAnsi="Times New Roman" w:cs="Times New Roman"/>
          <w:b/>
          <w:bCs/>
          <w:sz w:val="21"/>
        </w:rPr>
        <w:t xml:space="preserve"> </w:t>
      </w:r>
      <w:r>
        <w:rPr>
          <w:rFonts w:hint="eastAsia" w:ascii="Times New Roman" w:hAnsi="Times New Roman" w:cs="Times New Roman"/>
          <w:b/>
          <w:bCs/>
          <w:sz w:val="21"/>
          <w:lang w:val="en-US" w:eastAsia="zh-CN"/>
        </w:rPr>
        <w:t>S1</w:t>
      </w:r>
      <w:r>
        <w:rPr>
          <w:rFonts w:hint="default" w:ascii="Times New Roman" w:hAnsi="Times New Roman" w:cs="Times New Roman"/>
          <w:color w:val="auto"/>
          <w:sz w:val="24"/>
        </w:rPr>
        <w:t xml:space="preserve"> </w:t>
      </w:r>
      <w:r>
        <w:rPr>
          <w:rFonts w:hint="default" w:ascii="Times New Roman" w:hAnsi="Times New Roman" w:cs="Times New Roman"/>
          <w:color w:val="auto"/>
          <w:sz w:val="21"/>
          <w:szCs w:val="21"/>
        </w:rPr>
        <w:t xml:space="preserve">The calibration </w:t>
      </w:r>
      <w:r>
        <w:rPr>
          <w:rFonts w:hint="eastAsia" w:ascii="Times New Roman" w:hAnsi="Times New Roman" w:cs="Times New Roman"/>
          <w:color w:val="auto"/>
          <w:sz w:val="21"/>
          <w:szCs w:val="21"/>
          <w:lang w:val="en-US" w:eastAsia="zh-CN"/>
        </w:rPr>
        <w:t xml:space="preserve">and </w:t>
      </w:r>
      <w:r>
        <w:rPr>
          <w:rFonts w:hint="default" w:ascii="Times New Roman" w:hAnsi="Times New Roman" w:cs="Times New Roman"/>
          <w:color w:val="auto"/>
          <w:sz w:val="21"/>
          <w:szCs w:val="21"/>
        </w:rPr>
        <w:t>decision</w:t>
      </w:r>
      <w:r>
        <w:rPr>
          <w:rFonts w:hint="eastAsia"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curve analysis for pan-urinary cancer detection (PUCD) model</w:t>
      </w:r>
      <w:r>
        <w:rPr>
          <w:rFonts w:hint="eastAsia"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A</w:t>
      </w:r>
      <w:r>
        <w:rPr>
          <w:rFonts w:hint="default" w:ascii="Times New Roman" w:hAnsi="Times New Roman" w:cs="Times New Roman"/>
          <w:color w:val="auto"/>
          <w:sz w:val="21"/>
          <w:szCs w:val="21"/>
        </w:rPr>
        <w:t xml:space="preserve">) The calibration curve analysis for </w:t>
      </w:r>
      <w:r>
        <w:rPr>
          <w:rFonts w:hint="eastAsia" w:ascii="Times New Roman" w:hAnsi="Times New Roman" w:cs="Times New Roman"/>
          <w:color w:val="auto"/>
          <w:sz w:val="21"/>
          <w:szCs w:val="21"/>
          <w:lang w:eastAsia="zh-CN"/>
        </w:rPr>
        <w:t>PUCD</w:t>
      </w:r>
      <w:r>
        <w:rPr>
          <w:rFonts w:hint="default" w:ascii="Times New Roman" w:hAnsi="Times New Roman" w:cs="Times New Roman"/>
          <w:color w:val="auto"/>
          <w:sz w:val="21"/>
          <w:szCs w:val="21"/>
        </w:rPr>
        <w:t xml:space="preserve"> model</w:t>
      </w:r>
      <w:r>
        <w:rPr>
          <w:rFonts w:hint="eastAsia" w:ascii="Times New Roman" w:hAnsi="Times New Roman" w:cs="Times New Roman"/>
          <w:color w:val="auto"/>
          <w:sz w:val="21"/>
          <w:szCs w:val="21"/>
          <w:lang w:val="en-US" w:eastAsia="zh-CN"/>
        </w:rPr>
        <w:t xml:space="preserve"> in training set.</w:t>
      </w:r>
      <w:r>
        <w:rPr>
          <w:rFonts w:hint="default" w:ascii="Times New Roman" w:hAnsi="Times New Roman" w:cs="Times New Roman"/>
          <w:color w:val="auto"/>
          <w:sz w:val="21"/>
          <w:szCs w:val="21"/>
        </w:rPr>
        <w:t xml:space="preserve"> (</w:t>
      </w:r>
      <w:r>
        <w:rPr>
          <w:rFonts w:hint="eastAsia" w:ascii="Times New Roman" w:hAnsi="Times New Roman" w:cs="Times New Roman"/>
          <w:color w:val="auto"/>
          <w:sz w:val="21"/>
          <w:szCs w:val="21"/>
          <w:lang w:val="en-US" w:eastAsia="zh-CN"/>
        </w:rPr>
        <w:t>B</w:t>
      </w:r>
      <w:r>
        <w:rPr>
          <w:rFonts w:hint="default" w:ascii="Times New Roman" w:hAnsi="Times New Roman" w:cs="Times New Roman"/>
          <w:color w:val="auto"/>
          <w:sz w:val="21"/>
          <w:szCs w:val="21"/>
        </w:rPr>
        <w:t xml:space="preserve">) The calibration curve analysis for </w:t>
      </w:r>
      <w:r>
        <w:rPr>
          <w:rFonts w:hint="eastAsia" w:ascii="Times New Roman" w:hAnsi="Times New Roman" w:cs="Times New Roman"/>
          <w:color w:val="auto"/>
          <w:sz w:val="21"/>
          <w:szCs w:val="21"/>
          <w:lang w:eastAsia="zh-CN"/>
        </w:rPr>
        <w:t>PUCD</w:t>
      </w:r>
      <w:r>
        <w:rPr>
          <w:rFonts w:hint="default" w:ascii="Times New Roman" w:hAnsi="Times New Roman" w:cs="Times New Roman"/>
          <w:color w:val="auto"/>
          <w:sz w:val="21"/>
          <w:szCs w:val="21"/>
        </w:rPr>
        <w:t xml:space="preserve"> model</w:t>
      </w:r>
      <w:r>
        <w:rPr>
          <w:rFonts w:hint="eastAsia" w:ascii="Times New Roman" w:hAnsi="Times New Roman" w:cs="Times New Roman"/>
          <w:color w:val="auto"/>
          <w:sz w:val="21"/>
          <w:szCs w:val="21"/>
          <w:lang w:val="en-US" w:eastAsia="zh-CN"/>
        </w:rPr>
        <w:t xml:space="preserve"> in </w:t>
      </w:r>
      <w:r>
        <w:rPr>
          <w:rFonts w:hint="default" w:ascii="Times New Roman" w:hAnsi="Times New Roman" w:cs="Times New Roman"/>
          <w:color w:val="auto"/>
          <w:sz w:val="21"/>
          <w:szCs w:val="21"/>
        </w:rPr>
        <w:t>validation</w:t>
      </w:r>
      <w:r>
        <w:rPr>
          <w:rFonts w:hint="eastAsia" w:ascii="Times New Roman" w:hAnsi="Times New Roman" w:cs="Times New Roman"/>
          <w:color w:val="auto"/>
          <w:sz w:val="21"/>
          <w:szCs w:val="21"/>
          <w:lang w:val="en-US" w:eastAsia="zh-CN"/>
        </w:rPr>
        <w:t xml:space="preserve"> set.</w:t>
      </w:r>
      <w:r>
        <w:rPr>
          <w:rFonts w:hint="default" w:ascii="Times New Roman" w:hAnsi="Times New Roman" w:cs="Times New Roman"/>
          <w:color w:val="auto"/>
          <w:sz w:val="21"/>
          <w:szCs w:val="21"/>
        </w:rPr>
        <w:t xml:space="preserve"> (</w:t>
      </w:r>
      <w:r>
        <w:rPr>
          <w:rFonts w:hint="eastAsia" w:ascii="Times New Roman" w:hAnsi="Times New Roman" w:cs="Times New Roman"/>
          <w:color w:val="auto"/>
          <w:sz w:val="21"/>
          <w:szCs w:val="21"/>
          <w:lang w:val="en-US" w:eastAsia="zh-CN"/>
        </w:rPr>
        <w:t>C</w:t>
      </w:r>
      <w:r>
        <w:rPr>
          <w:rFonts w:hint="default" w:ascii="Times New Roman" w:hAnsi="Times New Roman" w:cs="Times New Roman"/>
          <w:color w:val="auto"/>
          <w:sz w:val="21"/>
          <w:szCs w:val="21"/>
        </w:rPr>
        <w:t xml:space="preserve">) The decision curve analysis for </w:t>
      </w:r>
      <w:r>
        <w:rPr>
          <w:rFonts w:hint="eastAsia" w:ascii="Times New Roman" w:hAnsi="Times New Roman" w:cs="Times New Roman"/>
          <w:color w:val="auto"/>
          <w:sz w:val="21"/>
          <w:szCs w:val="21"/>
          <w:lang w:eastAsia="zh-CN"/>
        </w:rPr>
        <w:t>PUCD</w:t>
      </w:r>
      <w:r>
        <w:rPr>
          <w:rFonts w:hint="default" w:ascii="Times New Roman" w:hAnsi="Times New Roman" w:cs="Times New Roman"/>
          <w:color w:val="auto"/>
          <w:sz w:val="21"/>
          <w:szCs w:val="21"/>
        </w:rPr>
        <w:t xml:space="preserve"> model</w:t>
      </w:r>
      <w:r>
        <w:rPr>
          <w:rFonts w:hint="eastAsia" w:ascii="Times New Roman" w:hAnsi="Times New Roman" w:cs="Times New Roman"/>
          <w:color w:val="auto"/>
          <w:sz w:val="21"/>
          <w:szCs w:val="21"/>
          <w:lang w:val="en-US" w:eastAsia="zh-CN"/>
        </w:rPr>
        <w:t xml:space="preserve"> in training set.</w:t>
      </w:r>
      <w:r>
        <w:rPr>
          <w:rFonts w:hint="default" w:ascii="Times New Roman" w:hAnsi="Times New Roman" w:cs="Times New Roman"/>
          <w:color w:val="auto"/>
          <w:sz w:val="21"/>
          <w:szCs w:val="21"/>
        </w:rPr>
        <w:t xml:space="preserve"> (</w:t>
      </w:r>
      <w:r>
        <w:rPr>
          <w:rFonts w:hint="eastAsia" w:ascii="Times New Roman" w:hAnsi="Times New Roman" w:cs="Times New Roman"/>
          <w:color w:val="auto"/>
          <w:sz w:val="21"/>
          <w:szCs w:val="21"/>
          <w:lang w:val="en-US" w:eastAsia="zh-CN"/>
        </w:rPr>
        <w:t>D</w:t>
      </w:r>
      <w:r>
        <w:rPr>
          <w:rFonts w:hint="default" w:ascii="Times New Roman" w:hAnsi="Times New Roman" w:cs="Times New Roman"/>
          <w:color w:val="auto"/>
          <w:sz w:val="21"/>
          <w:szCs w:val="21"/>
        </w:rPr>
        <w:t xml:space="preserve">) The decision curve analysis for </w:t>
      </w:r>
      <w:r>
        <w:rPr>
          <w:rFonts w:hint="eastAsia" w:ascii="Times New Roman" w:hAnsi="Times New Roman" w:cs="Times New Roman"/>
          <w:color w:val="auto"/>
          <w:sz w:val="21"/>
          <w:szCs w:val="21"/>
          <w:lang w:eastAsia="zh-CN"/>
        </w:rPr>
        <w:t>PUCD</w:t>
      </w:r>
      <w:r>
        <w:rPr>
          <w:rFonts w:hint="default" w:ascii="Times New Roman" w:hAnsi="Times New Roman" w:cs="Times New Roman"/>
          <w:color w:val="auto"/>
          <w:sz w:val="21"/>
          <w:szCs w:val="21"/>
        </w:rPr>
        <w:t xml:space="preserve"> model</w:t>
      </w:r>
      <w:r>
        <w:rPr>
          <w:rFonts w:hint="eastAsia" w:ascii="Times New Roman" w:hAnsi="Times New Roman" w:cs="Times New Roman"/>
          <w:color w:val="auto"/>
          <w:sz w:val="21"/>
          <w:szCs w:val="21"/>
          <w:lang w:val="en-US" w:eastAsia="zh-CN"/>
        </w:rPr>
        <w:t xml:space="preserve"> in </w:t>
      </w:r>
      <w:r>
        <w:rPr>
          <w:rFonts w:hint="default" w:ascii="Times New Roman" w:hAnsi="Times New Roman" w:cs="Times New Roman"/>
          <w:color w:val="auto"/>
          <w:sz w:val="21"/>
          <w:szCs w:val="21"/>
        </w:rPr>
        <w:t>validation</w:t>
      </w:r>
      <w:r>
        <w:rPr>
          <w:rFonts w:hint="eastAsia" w:ascii="Times New Roman" w:hAnsi="Times New Roman" w:cs="Times New Roman"/>
          <w:color w:val="auto"/>
          <w:sz w:val="21"/>
          <w:szCs w:val="21"/>
          <w:lang w:val="en-US" w:eastAsia="zh-CN"/>
        </w:rPr>
        <w:t xml:space="preserve"> set.</w:t>
      </w:r>
    </w:p>
    <w:p w14:paraId="207A6895">
      <w:pPr>
        <w:spacing w:line="240" w:lineRule="auto"/>
        <w:jc w:val="left"/>
        <w:rPr>
          <w:rFonts w:hint="eastAsia" w:eastAsiaTheme="minorEastAsia"/>
          <w:lang w:eastAsia="zh-CN"/>
        </w:rPr>
      </w:pPr>
      <w:r>
        <w:rPr>
          <w:rFonts w:hint="eastAsia" w:ascii="Times New Roman" w:hAnsi="Times New Roman" w:eastAsiaTheme="minorEastAsia"/>
          <w:sz w:val="21"/>
          <w:lang w:eastAsia="zh-CN"/>
        </w:rPr>
        <w:drawing>
          <wp:inline distT="0" distB="0" distL="114300" distR="114300">
            <wp:extent cx="5266690" cy="4389120"/>
            <wp:effectExtent l="0" t="0" r="10160" b="11430"/>
            <wp:docPr id="5" name="图片 5"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4"/>
                    <pic:cNvPicPr>
                      <a:picLocks noChangeAspect="1"/>
                    </pic:cNvPicPr>
                  </pic:nvPicPr>
                  <pic:blipFill>
                    <a:blip r:embed="rId5"/>
                    <a:stretch>
                      <a:fillRect/>
                    </a:stretch>
                  </pic:blipFill>
                  <pic:spPr>
                    <a:xfrm>
                      <a:off x="0" y="0"/>
                      <a:ext cx="5266690" cy="4389120"/>
                    </a:xfrm>
                    <a:prstGeom prst="rect">
                      <a:avLst/>
                    </a:prstGeom>
                  </pic:spPr>
                </pic:pic>
              </a:graphicData>
            </a:graphic>
          </wp:inline>
        </w:drawing>
      </w:r>
    </w:p>
    <w:p w14:paraId="6E511CB0">
      <w:pPr>
        <w:spacing w:line="240" w:lineRule="auto"/>
        <w:jc w:val="both"/>
        <w:rPr>
          <w:rFonts w:hint="default" w:ascii="Times New Roman" w:hAnsi="Times New Roman" w:cs="Times New Roman"/>
        </w:rPr>
      </w:pPr>
      <w:r>
        <w:rPr>
          <w:rFonts w:hint="default" w:ascii="Times New Roman" w:hAnsi="Times New Roman" w:cs="Times New Roman"/>
          <w:b/>
          <w:bCs/>
          <w:sz w:val="21"/>
        </w:rPr>
        <w:t xml:space="preserve">Fig. S2 </w:t>
      </w:r>
      <w:r>
        <w:rPr>
          <w:rFonts w:hint="default" w:ascii="Times New Roman" w:hAnsi="Times New Roman" w:cs="Times New Roman"/>
          <w:b w:val="0"/>
          <w:bCs w:val="0"/>
          <w:sz w:val="21"/>
        </w:rPr>
        <w:t>Performance of pan-urinary cancer detection (PUCD) model across different cancer types and stages. (A) The sensitivity of the panel for all cancers in the training (blue) and validation (yellow) sets. (B) The sensitivity of the panel for bladder cancer. (C) The sensitivity of the panel for ureteral cancer. (D) The sensitivity of the panel for renal pelvis cancer. (E) The sensitivity of the panel for kidney cancer. (F) The sensitivity of the panel for prostate cancer. Within each cancer type, sensitivity is further broken down by pathological stage (I, II, III, IV). The number of patients in each subgroup is indicated at the base of the corresponding bar. Error bars represent 95% confidence intervals.</w:t>
      </w:r>
    </w:p>
    <w:p w14:paraId="6161AD82">
      <w:pPr>
        <w:spacing w:line="240" w:lineRule="auto"/>
        <w:jc w:val="left"/>
        <w:rPr>
          <w:rFonts w:hint="default" w:ascii="Times New Roman" w:hAnsi="Times New Roman" w:eastAsia="宋体" w:cs="Times New Roman"/>
          <w:b w:val="0"/>
          <w:bCs w:val="0"/>
          <w:color w:val="FF0000"/>
          <w:sz w:val="24"/>
          <w:szCs w:val="24"/>
          <w:lang w:val="en-US" w:eastAsia="zh-CN"/>
        </w:rPr>
      </w:pPr>
    </w:p>
    <w:p w14:paraId="2F8F4063">
      <w:pPr>
        <w:spacing w:line="240" w:lineRule="auto"/>
        <w:jc w:val="left"/>
        <w:rPr>
          <w:rFonts w:hint="eastAsia" w:eastAsiaTheme="minorEastAsia"/>
          <w:lang w:eastAsia="zh-CN"/>
        </w:rPr>
      </w:pPr>
      <w:r>
        <w:rPr>
          <w:rFonts w:hint="eastAsia" w:ascii="Times New Roman" w:hAnsi="Times New Roman" w:eastAsiaTheme="minorEastAsia"/>
          <w:sz w:val="21"/>
          <w:lang w:eastAsia="zh-CN"/>
        </w:rPr>
        <w:drawing>
          <wp:inline distT="0" distB="0" distL="114300" distR="114300">
            <wp:extent cx="5266690" cy="3162935"/>
            <wp:effectExtent l="0" t="0" r="10160" b="18415"/>
            <wp:docPr id="10" name="图片 10" descr="Figure S1. Diagnostic performance for urothelial carcinoma of the biomarker panel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 S1. Diagnostic performance for urothelial carcinoma of the biomarker panel_01(1)"/>
                    <pic:cNvPicPr>
                      <a:picLocks noChangeAspect="1"/>
                    </pic:cNvPicPr>
                  </pic:nvPicPr>
                  <pic:blipFill>
                    <a:blip r:embed="rId6"/>
                    <a:stretch>
                      <a:fillRect/>
                    </a:stretch>
                  </pic:blipFill>
                  <pic:spPr>
                    <a:xfrm>
                      <a:off x="0" y="0"/>
                      <a:ext cx="5266690" cy="3162935"/>
                    </a:xfrm>
                    <a:prstGeom prst="rect">
                      <a:avLst/>
                    </a:prstGeom>
                  </pic:spPr>
                </pic:pic>
              </a:graphicData>
            </a:graphic>
          </wp:inline>
        </w:drawing>
      </w:r>
    </w:p>
    <w:p w14:paraId="538B8648">
      <w:pPr>
        <w:spacing w:line="240" w:lineRule="auto"/>
        <w:jc w:val="both"/>
        <w:rPr>
          <w:rFonts w:hint="default" w:ascii="Times New Roman" w:hAnsi="Times New Roman" w:cs="Times New Roman"/>
        </w:rPr>
      </w:pPr>
      <w:r>
        <w:rPr>
          <w:rFonts w:hint="eastAsia" w:ascii="Times New Roman" w:hAnsi="Times New Roman" w:eastAsia="Times New Roman" w:cs="Times New Roman"/>
          <w:b/>
          <w:bCs/>
          <w:color w:val="auto"/>
          <w:sz w:val="21"/>
          <w:szCs w:val="21"/>
        </w:rPr>
        <w:t>Fig</w:t>
      </w:r>
      <w:r>
        <w:rPr>
          <w:rFonts w:hint="eastAsia" w:ascii="Times New Roman" w:hAnsi="Times New Roman" w:eastAsia="宋体" w:cs="Times New Roman"/>
          <w:b/>
          <w:bCs/>
          <w:color w:val="auto"/>
          <w:sz w:val="21"/>
          <w:szCs w:val="21"/>
          <w:lang w:val="en-US" w:eastAsia="zh-CN"/>
        </w:rPr>
        <w:t>.</w:t>
      </w:r>
      <w:r>
        <w:rPr>
          <w:rFonts w:hint="eastAsia" w:ascii="Times New Roman" w:hAnsi="Times New Roman" w:eastAsia="Times New Roman" w:cs="Times New Roman"/>
          <w:b/>
          <w:bCs/>
          <w:color w:val="auto"/>
          <w:sz w:val="21"/>
          <w:szCs w:val="21"/>
        </w:rPr>
        <w:t xml:space="preserve"> </w:t>
      </w:r>
      <w:r>
        <w:rPr>
          <w:rFonts w:hint="eastAsia" w:ascii="Times New Roman" w:hAnsi="Times New Roman" w:eastAsia="宋体" w:cs="Times New Roman"/>
          <w:b/>
          <w:bCs/>
          <w:color w:val="auto"/>
          <w:sz w:val="21"/>
          <w:szCs w:val="21"/>
          <w:lang w:val="en-US" w:eastAsia="zh-CN"/>
        </w:rPr>
        <w:t>S3</w:t>
      </w:r>
      <w:r>
        <w:rPr>
          <w:rFonts w:hint="eastAsia" w:ascii="Times New Roman" w:hAnsi="Times New Roman" w:eastAsia="宋体" w:cs="Times New Roman"/>
          <w:b w:val="0"/>
          <w:bCs w:val="0"/>
          <w:color w:val="auto"/>
          <w:sz w:val="21"/>
          <w:szCs w:val="21"/>
          <w:lang w:val="en-US" w:eastAsia="zh-CN"/>
        </w:rPr>
        <w:t xml:space="preserve"> </w:t>
      </w:r>
      <w:r>
        <w:rPr>
          <w:rFonts w:hint="eastAsia" w:ascii="Times New Roman" w:hAnsi="Times New Roman" w:eastAsia="Times New Roman" w:cs="Times New Roman"/>
          <w:b w:val="0"/>
          <w:bCs w:val="0"/>
          <w:color w:val="auto"/>
          <w:sz w:val="21"/>
          <w:szCs w:val="21"/>
        </w:rPr>
        <w:t xml:space="preserve"> Diagnostic performance for urothelial carcinoma</w:t>
      </w:r>
      <w:r>
        <w:rPr>
          <w:rFonts w:hint="eastAsia" w:ascii="Times New Roman" w:hAnsi="Times New Roman" w:eastAsia="宋体" w:cs="Times New Roman"/>
          <w:b w:val="0"/>
          <w:bCs w:val="0"/>
          <w:color w:val="auto"/>
          <w:sz w:val="21"/>
          <w:szCs w:val="21"/>
          <w:lang w:val="en-US" w:eastAsia="zh-CN"/>
        </w:rPr>
        <w:t xml:space="preserve"> </w:t>
      </w:r>
      <w:r>
        <w:rPr>
          <w:rFonts w:hint="eastAsia" w:ascii="Times New Roman" w:hAnsi="Times New Roman" w:eastAsia="Times New Roman" w:cs="Times New Roman"/>
          <w:b w:val="0"/>
          <w:bCs w:val="0"/>
          <w:color w:val="auto"/>
          <w:sz w:val="21"/>
          <w:szCs w:val="21"/>
        </w:rPr>
        <w:t xml:space="preserve">of the </w:t>
      </w:r>
      <w:r>
        <w:rPr>
          <w:rFonts w:hint="default" w:ascii="Times New Roman" w:hAnsi="Times New Roman" w:cs="Times New Roman"/>
          <w:sz w:val="21"/>
        </w:rPr>
        <w:t>methylation</w:t>
      </w:r>
      <w:r>
        <w:rPr>
          <w:rFonts w:hint="eastAsia" w:ascii="Times New Roman" w:hAnsi="Times New Roman" w:eastAsia="Times New Roman" w:cs="Times New Roman"/>
          <w:b w:val="0"/>
          <w:bCs w:val="0"/>
          <w:color w:val="auto"/>
          <w:sz w:val="21"/>
          <w:szCs w:val="21"/>
        </w:rPr>
        <w:t xml:space="preserve"> panel.</w:t>
      </w:r>
      <w:r>
        <w:rPr>
          <w:rFonts w:hint="eastAsia" w:ascii="Times New Roman" w:hAnsi="Times New Roman" w:eastAsia="宋体" w:cs="Times New Roman"/>
          <w:b w:val="0"/>
          <w:bCs w:val="0"/>
          <w:color w:val="auto"/>
          <w:sz w:val="21"/>
          <w:szCs w:val="21"/>
          <w:lang w:val="en-US" w:eastAsia="zh-CN"/>
        </w:rPr>
        <w:t xml:space="preserve"> </w:t>
      </w:r>
      <w:r>
        <w:rPr>
          <w:rFonts w:hint="default" w:ascii="Times New Roman" w:hAnsi="Times New Roman" w:cs="Times New Roman"/>
          <w:sz w:val="21"/>
        </w:rPr>
        <w:t>(A) Receiver operating characteristic (ROC) curves for pan-urinary cancer detection (PUCD) model</w:t>
      </w:r>
      <w:r>
        <w:rPr>
          <w:rFonts w:hint="eastAsia" w:ascii="Times New Roman" w:hAnsi="Times New Roman" w:cs="Times New Roman"/>
          <w:sz w:val="21"/>
          <w:lang w:val="en-US" w:eastAsia="zh-CN"/>
        </w:rPr>
        <w:t xml:space="preserve"> and four</w:t>
      </w:r>
      <w:r>
        <w:rPr>
          <w:rFonts w:hint="default" w:ascii="Times New Roman" w:hAnsi="Times New Roman" w:cs="Times New Roman"/>
          <w:sz w:val="21"/>
        </w:rPr>
        <w:t xml:space="preserve"> </w:t>
      </w:r>
      <w:r>
        <w:rPr>
          <w:rFonts w:hint="eastAsia" w:ascii="Times New Roman" w:hAnsi="Times New Roman" w:cs="Times New Roman"/>
          <w:sz w:val="21"/>
          <w:lang w:val="en-US" w:eastAsia="zh-CN"/>
        </w:rPr>
        <w:t>genes</w:t>
      </w:r>
      <w:r>
        <w:rPr>
          <w:rFonts w:hint="default" w:ascii="Times New Roman" w:hAnsi="Times New Roman" w:cs="Times New Roman"/>
          <w:sz w:val="21"/>
        </w:rPr>
        <w:t xml:space="preserve"> in the training set</w:t>
      </w:r>
      <w:r>
        <w:rPr>
          <w:rFonts w:hint="eastAsia" w:ascii="Times New Roman" w:hAnsi="Times New Roman" w:cs="Times New Roman"/>
          <w:sz w:val="21"/>
          <w:lang w:val="en-US" w:eastAsia="zh-CN"/>
        </w:rPr>
        <w:t>.</w:t>
      </w:r>
      <w:r>
        <w:rPr>
          <w:rFonts w:hint="default" w:ascii="Times New Roman" w:hAnsi="Times New Roman" w:cs="Times New Roman"/>
          <w:sz w:val="21"/>
        </w:rPr>
        <w:t xml:space="preserve"> (B) ROC curves for </w:t>
      </w:r>
      <w:r>
        <w:rPr>
          <w:rFonts w:hint="eastAsia" w:ascii="Times New Roman" w:hAnsi="Times New Roman" w:cs="Times New Roman"/>
          <w:sz w:val="21"/>
          <w:lang w:val="en-US" w:eastAsia="zh-CN"/>
        </w:rPr>
        <w:t>PUCD</w:t>
      </w:r>
      <w:r>
        <w:rPr>
          <w:rFonts w:hint="default" w:ascii="Times New Roman" w:hAnsi="Times New Roman" w:cs="Times New Roman"/>
          <w:sz w:val="21"/>
        </w:rPr>
        <w:t xml:space="preserve"> model</w:t>
      </w:r>
      <w:r>
        <w:rPr>
          <w:rFonts w:hint="eastAsia" w:ascii="Times New Roman" w:hAnsi="Times New Roman" w:cs="Times New Roman"/>
          <w:sz w:val="21"/>
          <w:lang w:val="en-US" w:eastAsia="zh-CN"/>
        </w:rPr>
        <w:t xml:space="preserve"> and four</w:t>
      </w:r>
      <w:r>
        <w:rPr>
          <w:rFonts w:hint="default" w:ascii="Times New Roman" w:hAnsi="Times New Roman" w:cs="Times New Roman"/>
          <w:sz w:val="21"/>
        </w:rPr>
        <w:t xml:space="preserve"> </w:t>
      </w:r>
      <w:r>
        <w:rPr>
          <w:rFonts w:hint="eastAsia" w:ascii="Times New Roman" w:hAnsi="Times New Roman" w:cs="Times New Roman"/>
          <w:sz w:val="21"/>
          <w:lang w:val="en-US" w:eastAsia="zh-CN"/>
        </w:rPr>
        <w:t>genes in</w:t>
      </w:r>
      <w:r>
        <w:rPr>
          <w:rFonts w:hint="default" w:ascii="Times New Roman" w:hAnsi="Times New Roman" w:cs="Times New Roman"/>
          <w:sz w:val="21"/>
        </w:rPr>
        <w:t xml:space="preserve"> validation set.</w:t>
      </w:r>
      <w:r>
        <w:rPr>
          <w:rFonts w:hint="eastAsia" w:ascii="Times New Roman" w:hAnsi="Times New Roman" w:cs="Times New Roman"/>
          <w:sz w:val="21"/>
          <w:lang w:val="en-US" w:eastAsia="zh-CN"/>
        </w:rPr>
        <w:t xml:space="preserve"> </w:t>
      </w:r>
      <w:r>
        <w:rPr>
          <w:rFonts w:hint="default" w:ascii="Times New Roman" w:hAnsi="Times New Roman" w:cs="Times New Roman"/>
          <w:sz w:val="21"/>
        </w:rPr>
        <w:t xml:space="preserve">(C) </w:t>
      </w:r>
      <w:r>
        <w:rPr>
          <w:rFonts w:hint="eastAsia" w:ascii="Times New Roman" w:hAnsi="Times New Roman" w:cs="Times New Roman"/>
          <w:sz w:val="21"/>
          <w:lang w:val="en-US" w:eastAsia="zh-CN"/>
        </w:rPr>
        <w:t>T</w:t>
      </w:r>
      <w:r>
        <w:rPr>
          <w:rFonts w:hint="default" w:ascii="Times New Roman" w:hAnsi="Times New Roman" w:cs="Times New Roman"/>
          <w:sz w:val="21"/>
        </w:rPr>
        <w:t xml:space="preserve">he distribution of the </w:t>
      </w:r>
      <w:r>
        <w:rPr>
          <w:rFonts w:hint="eastAsia" w:ascii="Times New Roman" w:hAnsi="Times New Roman" w:cs="Times New Roman"/>
          <w:sz w:val="21"/>
          <w:lang w:eastAsia="zh-CN"/>
        </w:rPr>
        <w:t>PUCD</w:t>
      </w:r>
      <w:r>
        <w:rPr>
          <w:rFonts w:hint="default" w:ascii="Times New Roman" w:hAnsi="Times New Roman" w:cs="Times New Roman"/>
          <w:sz w:val="21"/>
        </w:rPr>
        <w:t xml:space="preserve"> score for cancer </w:t>
      </w:r>
      <w:r>
        <w:rPr>
          <w:rFonts w:hint="eastAsia" w:ascii="Times New Roman" w:hAnsi="Times New Roman" w:eastAsia="Times New Roman" w:cs="Times New Roman"/>
          <w:b w:val="0"/>
          <w:bCs w:val="0"/>
          <w:color w:val="auto"/>
          <w:sz w:val="21"/>
          <w:szCs w:val="21"/>
        </w:rPr>
        <w:t>stages</w:t>
      </w:r>
      <w:r>
        <w:rPr>
          <w:rFonts w:hint="default" w:ascii="Times New Roman" w:hAnsi="Times New Roman" w:cs="Times New Roman"/>
          <w:sz w:val="21"/>
        </w:rPr>
        <w:t xml:space="preserve"> in the training</w:t>
      </w:r>
      <w:r>
        <w:rPr>
          <w:rFonts w:hint="eastAsia" w:ascii="Times New Roman" w:hAnsi="Times New Roman" w:cs="Times New Roman"/>
          <w:sz w:val="21"/>
          <w:lang w:val="en-US" w:eastAsia="zh-CN"/>
        </w:rPr>
        <w:t xml:space="preserve"> set.</w:t>
      </w:r>
      <w:r>
        <w:rPr>
          <w:rFonts w:hint="default" w:ascii="Times New Roman" w:hAnsi="Times New Roman" w:cs="Times New Roman"/>
          <w:sz w:val="21"/>
        </w:rPr>
        <w:t xml:space="preserve"> (D) </w:t>
      </w:r>
      <w:r>
        <w:rPr>
          <w:rFonts w:hint="eastAsia" w:ascii="Times New Roman" w:hAnsi="Times New Roman" w:cs="Times New Roman"/>
          <w:sz w:val="21"/>
          <w:lang w:val="en-US" w:eastAsia="zh-CN"/>
        </w:rPr>
        <w:t>T</w:t>
      </w:r>
      <w:r>
        <w:rPr>
          <w:rFonts w:hint="default" w:ascii="Times New Roman" w:hAnsi="Times New Roman" w:cs="Times New Roman"/>
          <w:sz w:val="21"/>
        </w:rPr>
        <w:t xml:space="preserve">he distribution of the </w:t>
      </w:r>
      <w:r>
        <w:rPr>
          <w:rFonts w:hint="eastAsia" w:ascii="Times New Roman" w:hAnsi="Times New Roman" w:cs="Times New Roman"/>
          <w:sz w:val="21"/>
          <w:lang w:eastAsia="zh-CN"/>
        </w:rPr>
        <w:t>PUCD</w:t>
      </w:r>
      <w:r>
        <w:rPr>
          <w:rFonts w:hint="default" w:ascii="Times New Roman" w:hAnsi="Times New Roman" w:cs="Times New Roman"/>
          <w:sz w:val="21"/>
        </w:rPr>
        <w:t xml:space="preserve"> score for cancer </w:t>
      </w:r>
      <w:r>
        <w:rPr>
          <w:rFonts w:hint="eastAsia" w:ascii="Times New Roman" w:hAnsi="Times New Roman" w:eastAsia="Times New Roman" w:cs="Times New Roman"/>
          <w:b w:val="0"/>
          <w:bCs w:val="0"/>
          <w:color w:val="auto"/>
          <w:sz w:val="21"/>
          <w:szCs w:val="21"/>
        </w:rPr>
        <w:t>stages</w:t>
      </w:r>
      <w:r>
        <w:rPr>
          <w:rFonts w:hint="default" w:ascii="Times New Roman" w:hAnsi="Times New Roman" w:cs="Times New Roman"/>
          <w:sz w:val="21"/>
        </w:rPr>
        <w:t xml:space="preserve"> in validation set.</w:t>
      </w:r>
      <w:r>
        <w:rPr>
          <w:rFonts w:hint="eastAsia" w:ascii="Times New Roman" w:hAnsi="Times New Roman" w:cs="Times New Roman"/>
          <w:sz w:val="21"/>
          <w:lang w:val="en-US" w:eastAsia="zh-CN"/>
        </w:rPr>
        <w:t xml:space="preserve"> </w:t>
      </w:r>
      <w:r>
        <w:rPr>
          <w:rFonts w:hint="default" w:ascii="Times New Roman" w:hAnsi="Times New Roman" w:cs="Times New Roman"/>
          <w:sz w:val="21"/>
        </w:rPr>
        <w:t xml:space="preserve">(E) </w:t>
      </w:r>
      <w:r>
        <w:rPr>
          <w:rFonts w:hint="eastAsia" w:ascii="Times New Roman" w:hAnsi="Times New Roman" w:eastAsia="宋体" w:cs="Times New Roman"/>
          <w:sz w:val="21"/>
          <w:szCs w:val="21"/>
        </w:rPr>
        <w:t xml:space="preserve">Sensitivity and specificity of </w:t>
      </w:r>
      <w:r>
        <w:rPr>
          <w:rFonts w:hint="eastAsia" w:ascii="Times New Roman" w:hAnsi="Times New Roman" w:cs="Times New Roman"/>
          <w:sz w:val="21"/>
          <w:lang w:eastAsia="zh-CN"/>
        </w:rPr>
        <w:t>PUCD</w:t>
      </w:r>
      <w:r>
        <w:rPr>
          <w:rFonts w:hint="eastAsia" w:ascii="Times New Roman" w:hAnsi="Times New Roman" w:eastAsia="宋体" w:cs="Times New Roman"/>
          <w:sz w:val="21"/>
          <w:szCs w:val="21"/>
        </w:rPr>
        <w:t xml:space="preserve"> model </w:t>
      </w:r>
      <w:r>
        <w:rPr>
          <w:rFonts w:hint="eastAsia" w:ascii="Times New Roman" w:hAnsi="Times New Roman" w:eastAsia="宋体" w:cs="Times New Roman"/>
          <w:sz w:val="21"/>
          <w:szCs w:val="21"/>
          <w:lang w:val="en-US" w:eastAsia="zh-CN"/>
        </w:rPr>
        <w:t xml:space="preserve">for </w:t>
      </w:r>
      <w:r>
        <w:rPr>
          <w:rFonts w:hint="eastAsia" w:ascii="Times New Roman" w:hAnsi="Times New Roman" w:eastAsia="Times New Roman" w:cs="Times New Roman"/>
          <w:b w:val="0"/>
          <w:bCs w:val="0"/>
          <w:color w:val="auto"/>
          <w:sz w:val="21"/>
          <w:szCs w:val="21"/>
        </w:rPr>
        <w:t>urothelial carcinoma</w:t>
      </w:r>
      <w:r>
        <w:rPr>
          <w:rFonts w:hint="eastAsia" w:ascii="Times New Roman" w:hAnsi="Times New Roman" w:eastAsia="宋体" w:cs="Times New Roman"/>
          <w:b w:val="0"/>
          <w:bCs w:val="0"/>
          <w:color w:val="auto"/>
          <w:sz w:val="21"/>
          <w:szCs w:val="21"/>
          <w:lang w:val="en-US" w:eastAsia="zh-CN"/>
        </w:rPr>
        <w:t xml:space="preserve"> </w:t>
      </w:r>
      <w:r>
        <w:rPr>
          <w:rFonts w:hint="eastAsia" w:ascii="Times New Roman" w:hAnsi="Times New Roman" w:eastAsia="宋体" w:cs="Times New Roman"/>
          <w:sz w:val="21"/>
          <w:szCs w:val="21"/>
        </w:rPr>
        <w:t>in</w:t>
      </w:r>
      <w:r>
        <w:rPr>
          <w:rFonts w:hint="default" w:ascii="Times New Roman" w:hAnsi="Times New Roman" w:cs="Times New Roman"/>
          <w:sz w:val="21"/>
        </w:rPr>
        <w:t xml:space="preserve"> the training and validation set</w:t>
      </w:r>
      <w:r>
        <w:rPr>
          <w:rFonts w:hint="eastAsia" w:ascii="Times New Roman" w:hAnsi="Times New Roman" w:cs="Times New Roman"/>
          <w:sz w:val="21"/>
          <w:lang w:val="en-US" w:eastAsia="zh-CN"/>
        </w:rPr>
        <w:t>s</w:t>
      </w:r>
      <w:r>
        <w:rPr>
          <w:rFonts w:hint="default" w:ascii="Times New Roman" w:hAnsi="Times New Roman" w:cs="Times New Roman"/>
          <w:sz w:val="21"/>
        </w:rPr>
        <w:t>.</w:t>
      </w:r>
      <w:r>
        <w:rPr>
          <w:rFonts w:hint="eastAsia" w:ascii="Times New Roman" w:hAnsi="Times New Roman" w:eastAsia="Times New Roman" w:cs="Times New Roman"/>
          <w:b w:val="0"/>
          <w:bCs w:val="0"/>
          <w:color w:val="auto"/>
          <w:sz w:val="21"/>
          <w:szCs w:val="21"/>
        </w:rPr>
        <w:t xml:space="preserve"> (F) </w:t>
      </w:r>
      <w:r>
        <w:rPr>
          <w:rFonts w:hint="default" w:ascii="Times New Roman" w:hAnsi="Times New Roman" w:cs="Times New Roman"/>
          <w:sz w:val="21"/>
        </w:rPr>
        <w:t xml:space="preserve">Sensitivity of </w:t>
      </w:r>
      <w:r>
        <w:rPr>
          <w:rFonts w:hint="eastAsia" w:ascii="Times New Roman" w:hAnsi="Times New Roman" w:cs="Times New Roman"/>
          <w:sz w:val="21"/>
          <w:lang w:eastAsia="zh-CN"/>
        </w:rPr>
        <w:t>PUCD</w:t>
      </w:r>
      <w:r>
        <w:rPr>
          <w:rFonts w:hint="default" w:ascii="Times New Roman" w:hAnsi="Times New Roman" w:cs="Times New Roman"/>
          <w:sz w:val="21"/>
        </w:rPr>
        <w:t xml:space="preserve"> model in </w:t>
      </w:r>
      <w:r>
        <w:rPr>
          <w:rFonts w:hint="eastAsia" w:ascii="Times New Roman" w:hAnsi="Times New Roman" w:eastAsia="Times New Roman" w:cs="Times New Roman"/>
          <w:b w:val="0"/>
          <w:bCs w:val="0"/>
          <w:color w:val="auto"/>
          <w:sz w:val="21"/>
          <w:szCs w:val="21"/>
        </w:rPr>
        <w:t>urothelial carcinoma</w:t>
      </w:r>
      <w:r>
        <w:rPr>
          <w:rFonts w:hint="default" w:ascii="Times New Roman" w:hAnsi="Times New Roman" w:cs="Times New Roman"/>
          <w:sz w:val="21"/>
        </w:rPr>
        <w:t xml:space="preserve"> patients with different tumor </w:t>
      </w:r>
      <w:r>
        <w:rPr>
          <w:rFonts w:hint="eastAsia" w:ascii="Times New Roman" w:hAnsi="Times New Roman" w:cs="Times New Roman"/>
          <w:sz w:val="21"/>
          <w:lang w:val="en-US" w:eastAsia="zh-CN"/>
        </w:rPr>
        <w:t>stage</w:t>
      </w:r>
      <w:r>
        <w:rPr>
          <w:rFonts w:hint="default" w:ascii="Times New Roman" w:hAnsi="Times New Roman" w:cs="Times New Roman"/>
          <w:sz w:val="21"/>
        </w:rPr>
        <w:t>. Error bars represent 95% confidence intervals. Statistical significance versus the non-cancer group was determined by</w:t>
      </w:r>
      <w:r>
        <w:rPr>
          <w:rFonts w:hint="eastAsia" w:ascii="Times New Roman" w:hAnsi="Times New Roman" w:cs="Times New Roman"/>
          <w:sz w:val="21"/>
          <w:lang w:val="en-US" w:eastAsia="zh-CN"/>
        </w:rPr>
        <w:t xml:space="preserve"> </w:t>
      </w:r>
      <w:r>
        <w:rPr>
          <w:rFonts w:hint="default" w:ascii="Times New Roman" w:hAnsi="Times New Roman" w:cs="Times New Roman"/>
          <w:sz w:val="21"/>
        </w:rPr>
        <w:t>Wilcoxon Test (*</w:t>
      </w:r>
      <w:r>
        <w:rPr>
          <w:rFonts w:hint="eastAsia" w:ascii="Times New Roman" w:hAnsi="Times New Roman" w:cs="Times New Roman"/>
          <w:sz w:val="21"/>
          <w:lang w:eastAsia="zh-CN"/>
        </w:rPr>
        <w:t>p</w:t>
      </w:r>
      <w:r>
        <w:rPr>
          <w:rFonts w:hint="default" w:ascii="Times New Roman" w:hAnsi="Times New Roman" w:cs="Times New Roman"/>
          <w:sz w:val="21"/>
        </w:rPr>
        <w:t xml:space="preserve"> &lt; 0.05, **</w:t>
      </w:r>
      <w:r>
        <w:rPr>
          <w:rFonts w:hint="eastAsia" w:ascii="Times New Roman" w:hAnsi="Times New Roman" w:cs="Times New Roman"/>
          <w:sz w:val="21"/>
          <w:lang w:eastAsia="zh-CN"/>
        </w:rPr>
        <w:t>p</w:t>
      </w:r>
      <w:r>
        <w:rPr>
          <w:rFonts w:hint="default" w:ascii="Times New Roman" w:hAnsi="Times New Roman" w:cs="Times New Roman"/>
          <w:sz w:val="21"/>
        </w:rPr>
        <w:t xml:space="preserve"> &lt; 0.01,</w:t>
      </w:r>
      <w:r>
        <w:rPr>
          <w:rFonts w:hint="eastAsia" w:ascii="Times New Roman" w:hAnsi="Times New Roman" w:cs="Times New Roman"/>
          <w:sz w:val="21"/>
          <w:lang w:val="en-US" w:eastAsia="zh-CN"/>
        </w:rPr>
        <w:t xml:space="preserve"> </w:t>
      </w:r>
      <w:r>
        <w:rPr>
          <w:rFonts w:hint="default" w:ascii="Times New Roman" w:hAnsi="Times New Roman" w:cs="Times New Roman"/>
          <w:sz w:val="21"/>
        </w:rPr>
        <w:t>***</w:t>
      </w:r>
      <w:r>
        <w:rPr>
          <w:rFonts w:hint="eastAsia" w:ascii="Times New Roman" w:hAnsi="Times New Roman" w:cs="Times New Roman"/>
          <w:sz w:val="21"/>
          <w:lang w:eastAsia="zh-CN"/>
        </w:rPr>
        <w:t>p</w:t>
      </w:r>
      <w:r>
        <w:rPr>
          <w:rFonts w:hint="default" w:ascii="Times New Roman" w:hAnsi="Times New Roman" w:cs="Times New Roman"/>
          <w:sz w:val="21"/>
        </w:rPr>
        <w:t xml:space="preserve"> &lt; 0.001</w:t>
      </w:r>
      <w:r>
        <w:rPr>
          <w:rFonts w:hint="eastAsia" w:ascii="Times New Roman" w:hAnsi="Times New Roman" w:cs="Times New Roman"/>
          <w:sz w:val="21"/>
          <w:lang w:val="en-US" w:eastAsia="zh-CN"/>
        </w:rPr>
        <w:t xml:space="preserve">, </w:t>
      </w:r>
      <w:r>
        <w:rPr>
          <w:rFonts w:hint="default" w:ascii="Times New Roman" w:hAnsi="Times New Roman" w:cs="Times New Roman"/>
          <w:sz w:val="21"/>
        </w:rPr>
        <w:t>***</w:t>
      </w:r>
      <w:r>
        <w:rPr>
          <w:rFonts w:hint="eastAsia" w:ascii="Times New Roman" w:hAnsi="Times New Roman" w:cs="Times New Roman"/>
          <w:sz w:val="21"/>
          <w:lang w:val="en-US" w:eastAsia="zh-CN"/>
        </w:rPr>
        <w:t>*</w:t>
      </w:r>
      <w:r>
        <w:rPr>
          <w:rFonts w:hint="eastAsia" w:ascii="Times New Roman" w:hAnsi="Times New Roman" w:cs="Times New Roman"/>
          <w:sz w:val="21"/>
          <w:lang w:eastAsia="zh-CN"/>
        </w:rPr>
        <w:t>p</w:t>
      </w:r>
      <w:r>
        <w:rPr>
          <w:rFonts w:hint="default" w:ascii="Times New Roman" w:hAnsi="Times New Roman" w:cs="Times New Roman"/>
          <w:sz w:val="21"/>
        </w:rPr>
        <w:t xml:space="preserve"> &lt; 0.0</w:t>
      </w:r>
      <w:r>
        <w:rPr>
          <w:rFonts w:hint="eastAsia" w:ascii="Times New Roman" w:hAnsi="Times New Roman" w:cs="Times New Roman"/>
          <w:sz w:val="21"/>
          <w:lang w:val="en-US" w:eastAsia="zh-CN"/>
        </w:rPr>
        <w:t>0</w:t>
      </w:r>
      <w:r>
        <w:rPr>
          <w:rFonts w:hint="default" w:ascii="Times New Roman" w:hAnsi="Times New Roman" w:cs="Times New Roman"/>
          <w:sz w:val="21"/>
        </w:rPr>
        <w:t>01).</w:t>
      </w:r>
    </w:p>
    <w:p w14:paraId="545334B2">
      <w:pPr>
        <w:spacing w:line="240" w:lineRule="auto"/>
        <w:jc w:val="both"/>
        <w:rPr>
          <w:rFonts w:hint="default" w:ascii="Times New Roman" w:hAnsi="Times New Roman" w:cs="Times New Roman"/>
          <w:sz w:val="24"/>
          <w:szCs w:val="24"/>
        </w:rPr>
      </w:pPr>
    </w:p>
    <w:p w14:paraId="5A6F37DE">
      <w:pPr>
        <w:spacing w:line="240" w:lineRule="auto"/>
        <w:jc w:val="left"/>
        <w:rPr>
          <w:rFonts w:hint="default" w:ascii="Times New Roman" w:hAnsi="Times New Roman" w:cs="Times New Roman"/>
          <w:b/>
          <w:bCs/>
          <w:sz w:val="24"/>
          <w:szCs w:val="24"/>
          <w:lang w:val="en-US" w:eastAsia="zh-CN"/>
        </w:rPr>
      </w:pPr>
    </w:p>
    <w:p w14:paraId="6842B6F2">
      <w:pPr>
        <w:spacing w:line="240" w:lineRule="auto"/>
        <w:rPr>
          <w:rFonts w:ascii="Times New Roman" w:hAnsi="Times New Roman"/>
          <w:sz w:val="21"/>
        </w:rPr>
      </w:pPr>
      <w:r>
        <w:rPr>
          <w:rFonts w:ascii="Times New Roman" w:hAnsi="Times New Roman"/>
          <w:sz w:val="21"/>
        </w:rPr>
        <w:br w:type="textWrapping"/>
      </w:r>
    </w:p>
    <w:p w14:paraId="00B7EE8E">
      <w:pPr>
        <w:spacing w:line="240" w:lineRule="auto"/>
        <w:rPr>
          <w:rFonts w:ascii="Times New Roman" w:hAnsi="Times New Roman"/>
          <w:sz w:val="21"/>
        </w:rPr>
      </w:pPr>
    </w:p>
    <w:p w14:paraId="688E16C0">
      <w:pPr>
        <w:spacing w:line="240" w:lineRule="auto"/>
        <w:rPr>
          <w:rFonts w:ascii="Times New Roman" w:hAnsi="Times New Roman"/>
          <w:sz w:val="21"/>
        </w:rPr>
      </w:pPr>
    </w:p>
    <w:p w14:paraId="253BCE1E">
      <w:pPr>
        <w:spacing w:line="240" w:lineRule="auto"/>
        <w:rPr>
          <w:rFonts w:ascii="Times New Roman" w:hAnsi="Times New Roman"/>
          <w:sz w:val="21"/>
        </w:rPr>
      </w:pPr>
    </w:p>
    <w:p w14:paraId="58E8D8C0">
      <w:pPr>
        <w:spacing w:line="240" w:lineRule="auto"/>
        <w:rPr>
          <w:rFonts w:ascii="Times New Roman" w:hAnsi="Times New Roman"/>
          <w:sz w:val="21"/>
        </w:rPr>
      </w:pPr>
    </w:p>
    <w:p w14:paraId="125BEF60">
      <w:pPr>
        <w:spacing w:line="240" w:lineRule="auto"/>
        <w:rPr>
          <w:rFonts w:ascii="Times New Roman" w:hAnsi="Times New Roman"/>
          <w:sz w:val="21"/>
        </w:rPr>
      </w:pPr>
    </w:p>
    <w:p w14:paraId="6F30B4A3">
      <w:pPr>
        <w:spacing w:line="240" w:lineRule="auto"/>
        <w:rPr>
          <w:rFonts w:ascii="Times New Roman" w:hAnsi="Times New Roman"/>
          <w:sz w:val="21"/>
        </w:rPr>
      </w:pPr>
    </w:p>
    <w:p w14:paraId="104C1D68">
      <w:pPr>
        <w:spacing w:line="240" w:lineRule="auto"/>
        <w:rPr>
          <w:rFonts w:ascii="Times New Roman" w:hAnsi="Times New Roman"/>
          <w:sz w:val="21"/>
        </w:rPr>
      </w:pPr>
    </w:p>
    <w:p w14:paraId="70548BF2">
      <w:pPr>
        <w:spacing w:line="240" w:lineRule="auto"/>
        <w:rPr>
          <w:rFonts w:ascii="Times New Roman" w:hAnsi="Times New Roman"/>
          <w:sz w:val="21"/>
        </w:rPr>
      </w:pPr>
    </w:p>
    <w:p w14:paraId="4782D58C">
      <w:pPr>
        <w:spacing w:line="240" w:lineRule="auto"/>
        <w:rPr>
          <w:rFonts w:ascii="Times New Roman" w:hAnsi="Times New Roman"/>
          <w:sz w:val="21"/>
        </w:rPr>
      </w:pPr>
    </w:p>
    <w:p w14:paraId="6E85AB8C">
      <w:pPr>
        <w:spacing w:line="240" w:lineRule="auto"/>
        <w:rPr>
          <w:rFonts w:ascii="Times New Roman" w:hAnsi="Times New Roman"/>
          <w:sz w:val="21"/>
        </w:rPr>
      </w:pPr>
    </w:p>
    <w:p w14:paraId="6F4A2745">
      <w:pPr>
        <w:spacing w:line="240" w:lineRule="auto"/>
        <w:rPr>
          <w:rFonts w:ascii="Times New Roman" w:hAnsi="Times New Roman"/>
          <w:sz w:val="21"/>
        </w:rPr>
      </w:pPr>
    </w:p>
    <w:p w14:paraId="178034DA">
      <w:pPr>
        <w:spacing w:line="240" w:lineRule="auto"/>
        <w:rPr>
          <w:rFonts w:ascii="Times New Roman" w:hAnsi="Times New Roman"/>
          <w:sz w:val="21"/>
        </w:rPr>
      </w:pPr>
    </w:p>
    <w:p w14:paraId="7BB33FF3">
      <w:pPr>
        <w:spacing w:line="240" w:lineRule="auto"/>
        <w:rPr>
          <w:rFonts w:ascii="Times New Roman" w:hAnsi="Times New Roman"/>
          <w:sz w:val="21"/>
        </w:rPr>
      </w:pPr>
    </w:p>
    <w:p w14:paraId="030388B4">
      <w:pPr>
        <w:spacing w:line="240" w:lineRule="auto"/>
        <w:rPr>
          <w:rFonts w:ascii="Times New Roman" w:hAnsi="Times New Roman"/>
          <w:sz w:val="21"/>
        </w:rPr>
      </w:pPr>
    </w:p>
    <w:p w14:paraId="0D87C0C9">
      <w:pPr>
        <w:spacing w:line="480" w:lineRule="auto"/>
        <w:ind w:firstLine="480" w:firstLineChars="200"/>
        <w:jc w:val="center"/>
        <w:rPr>
          <w:rFonts w:hint="eastAsia" w:ascii="Times New Roman" w:hAnsi="Times New Roman" w:eastAsiaTheme="minorEastAsia"/>
          <w:color w:val="auto"/>
          <w:sz w:val="24"/>
          <w:lang w:eastAsia="zh-CN"/>
        </w:rPr>
      </w:pPr>
      <w:r>
        <w:rPr>
          <w:rFonts w:hint="eastAsia" w:ascii="Times New Roman" w:hAnsi="Times New Roman" w:eastAsiaTheme="minorEastAsia"/>
          <w:color w:val="auto"/>
          <w:sz w:val="24"/>
          <w:lang w:eastAsia="zh-CN"/>
        </w:rPr>
        <w:drawing>
          <wp:inline distT="0" distB="0" distL="114300" distR="114300">
            <wp:extent cx="2764790" cy="3110230"/>
            <wp:effectExtent l="0" t="0" r="16510" b="13970"/>
            <wp:docPr id="3" name="图片 3" descr="Figure_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_S4"/>
                    <pic:cNvPicPr>
                      <a:picLocks noChangeAspect="1"/>
                    </pic:cNvPicPr>
                  </pic:nvPicPr>
                  <pic:blipFill>
                    <a:blip r:embed="rId7"/>
                    <a:stretch>
                      <a:fillRect/>
                    </a:stretch>
                  </pic:blipFill>
                  <pic:spPr>
                    <a:xfrm>
                      <a:off x="0" y="0"/>
                      <a:ext cx="2764790" cy="3110230"/>
                    </a:xfrm>
                    <a:prstGeom prst="rect">
                      <a:avLst/>
                    </a:prstGeom>
                  </pic:spPr>
                </pic:pic>
              </a:graphicData>
            </a:graphic>
          </wp:inline>
        </w:drawing>
      </w:r>
    </w:p>
    <w:p w14:paraId="71B7C95E">
      <w:pPr>
        <w:rPr>
          <w:rFonts w:ascii="Times New Roman" w:hAnsi="Times New Roman" w:cs="Times New Roman"/>
          <w:sz w:val="21"/>
        </w:rPr>
      </w:pPr>
      <w:r>
        <w:rPr>
          <w:rFonts w:ascii="Times New Roman" w:hAnsi="Times New Roman" w:cs="Times New Roman"/>
          <w:b/>
          <w:bCs/>
          <w:sz w:val="21"/>
        </w:rPr>
        <w:t xml:space="preserve">Fig. </w:t>
      </w:r>
      <w:r>
        <w:rPr>
          <w:rFonts w:hint="eastAsia" w:ascii="Times New Roman" w:hAnsi="Times New Roman" w:cs="Times New Roman"/>
          <w:b/>
          <w:bCs/>
          <w:sz w:val="21"/>
          <w:lang w:val="en-US" w:eastAsia="zh-CN"/>
        </w:rPr>
        <w:t>S</w:t>
      </w:r>
      <w:r>
        <w:rPr>
          <w:rFonts w:hint="eastAsia" w:ascii="Times New Roman" w:hAnsi="Times New Roman" w:cs="Times New Roman"/>
          <w:b/>
          <w:bCs/>
          <w:sz w:val="21"/>
          <w:lang w:eastAsia="zh-CN"/>
        </w:rPr>
        <w:t>4</w:t>
      </w:r>
      <w:r>
        <w:rPr>
          <w:rFonts w:hint="eastAsia" w:ascii="Times New Roman" w:hAnsi="Times New Roman" w:cs="Times New Roman"/>
          <w:b/>
          <w:bCs/>
          <w:sz w:val="21"/>
          <w:lang w:val="en-US" w:eastAsia="zh-CN"/>
        </w:rPr>
        <w:t xml:space="preserve"> </w:t>
      </w:r>
      <w:r>
        <w:rPr>
          <w:rFonts w:ascii="Times New Roman" w:hAnsi="Times New Roman" w:cs="Times New Roman"/>
          <w:b w:val="0"/>
          <w:sz w:val="21"/>
        </w:rPr>
        <w:t xml:space="preserve"> </w:t>
      </w:r>
      <w:r>
        <w:rPr>
          <w:rFonts w:ascii="Times New Roman" w:hAnsi="Times New Roman" w:cs="Times New Roman"/>
          <w:sz w:val="21"/>
        </w:rPr>
        <w:t xml:space="preserve">Proposed diagnostic pathway incorporating the </w:t>
      </w:r>
      <w:r>
        <w:rPr>
          <w:rFonts w:hint="default" w:ascii="Times New Roman" w:hAnsi="Times New Roman" w:cs="Times New Roman"/>
          <w:sz w:val="21"/>
        </w:rPr>
        <w:t>pan-urinary cancer detection (PUCD)</w:t>
      </w:r>
      <w:r>
        <w:rPr>
          <w:rFonts w:ascii="Times New Roman" w:hAnsi="Times New Roman" w:cs="Times New Roman"/>
          <w:sz w:val="21"/>
        </w:rPr>
        <w:t xml:space="preserve"> assay. In patients presenting with hematuria or other suggestive urinary symptoms, urinalysis/cytology and the PUCD triage test are performed. A positive PUCD result (PUCD ≥ 2) prompts cystoscopy and/or cross-sectional imaging; a negative result supports conservative follow-up with repeat testing if symptoms persist. The assay is intended as an adjunctive triage tool, not a replacement for definitive diagnosis.</w:t>
      </w:r>
    </w:p>
    <w:p w14:paraId="55E8E581">
      <w:pPr>
        <w:spacing w:line="240" w:lineRule="auto"/>
        <w:rPr>
          <w:rFonts w:ascii="Times New Roman" w:hAnsi="Times New Roman"/>
          <w:sz w:val="21"/>
        </w:rPr>
      </w:pPr>
    </w:p>
    <w:p w14:paraId="58FED591">
      <w:pPr>
        <w:spacing w:line="240" w:lineRule="auto"/>
        <w:rPr>
          <w:rFonts w:ascii="Times New Roman" w:hAnsi="Times New Roman"/>
          <w:sz w:val="21"/>
        </w:rPr>
      </w:pPr>
    </w:p>
    <w:p w14:paraId="79A2CA04">
      <w:pPr>
        <w:spacing w:line="240" w:lineRule="auto"/>
        <w:rPr>
          <w:rFonts w:ascii="Times New Roman" w:hAnsi="Times New Roman"/>
          <w:sz w:val="21"/>
        </w:rPr>
      </w:pPr>
    </w:p>
    <w:p w14:paraId="38CC5650">
      <w:pPr>
        <w:spacing w:line="240" w:lineRule="auto"/>
        <w:rPr>
          <w:rFonts w:ascii="Times New Roman" w:hAnsi="Times New Roman"/>
          <w:sz w:val="21"/>
        </w:rPr>
      </w:pPr>
    </w:p>
    <w:p w14:paraId="73B08308">
      <w:pPr>
        <w:spacing w:line="240" w:lineRule="auto"/>
        <w:rPr>
          <w:rFonts w:ascii="Times New Roman" w:hAnsi="Times New Roman"/>
          <w:sz w:val="21"/>
        </w:rPr>
      </w:pPr>
    </w:p>
    <w:p w14:paraId="270614B7">
      <w:pPr>
        <w:spacing w:line="240" w:lineRule="auto"/>
        <w:rPr>
          <w:rFonts w:ascii="Times New Roman" w:hAnsi="Times New Roman"/>
          <w:sz w:val="21"/>
        </w:rPr>
      </w:pPr>
    </w:p>
    <w:p w14:paraId="3F5DC403">
      <w:pPr>
        <w:spacing w:line="240" w:lineRule="auto"/>
        <w:rPr>
          <w:rFonts w:ascii="Times New Roman" w:hAnsi="Times New Roman"/>
          <w:sz w:val="21"/>
        </w:rPr>
      </w:pPr>
    </w:p>
    <w:p w14:paraId="422D622C">
      <w:pPr>
        <w:spacing w:line="240" w:lineRule="auto"/>
        <w:rPr>
          <w:rFonts w:ascii="Times New Roman" w:hAnsi="Times New Roman"/>
          <w:sz w:val="21"/>
        </w:rPr>
      </w:pPr>
    </w:p>
    <w:p w14:paraId="3B750423">
      <w:pPr>
        <w:spacing w:line="240" w:lineRule="auto"/>
        <w:rPr>
          <w:rFonts w:ascii="Times New Roman" w:hAnsi="Times New Roman"/>
          <w:sz w:val="21"/>
        </w:rPr>
      </w:pPr>
    </w:p>
    <w:p w14:paraId="130711EA">
      <w:pPr>
        <w:spacing w:line="240" w:lineRule="auto"/>
        <w:rPr>
          <w:rFonts w:ascii="Times New Roman" w:hAnsi="Times New Roman"/>
          <w:sz w:val="21"/>
        </w:rPr>
      </w:pPr>
    </w:p>
    <w:p w14:paraId="722C57C0">
      <w:pPr>
        <w:spacing w:line="240" w:lineRule="auto"/>
        <w:rPr>
          <w:rFonts w:ascii="Times New Roman" w:hAnsi="Times New Roman"/>
          <w:sz w:val="21"/>
        </w:rPr>
      </w:pPr>
    </w:p>
    <w:p w14:paraId="7A067070">
      <w:pPr>
        <w:spacing w:line="240" w:lineRule="auto"/>
        <w:rPr>
          <w:rFonts w:ascii="Times New Roman" w:hAnsi="Times New Roman"/>
          <w:sz w:val="21"/>
        </w:rPr>
      </w:pPr>
    </w:p>
    <w:p w14:paraId="51B46EDE">
      <w:pPr>
        <w:spacing w:line="240" w:lineRule="auto"/>
        <w:rPr>
          <w:rFonts w:ascii="Times New Roman" w:hAnsi="Times New Roman"/>
          <w:sz w:val="21"/>
        </w:rPr>
      </w:pPr>
    </w:p>
    <w:p w14:paraId="0F75BB95">
      <w:pPr>
        <w:spacing w:line="240" w:lineRule="auto"/>
        <w:rPr>
          <w:rFonts w:ascii="Times New Roman" w:hAnsi="Times New Roman"/>
          <w:sz w:val="21"/>
        </w:rPr>
      </w:pPr>
    </w:p>
    <w:p w14:paraId="6A305B71">
      <w:pPr>
        <w:spacing w:line="240" w:lineRule="auto"/>
        <w:rPr>
          <w:rFonts w:ascii="Times New Roman" w:hAnsi="Times New Roman"/>
          <w:sz w:val="21"/>
        </w:rPr>
      </w:pPr>
    </w:p>
    <w:p w14:paraId="0526DCFB">
      <w:pPr>
        <w:spacing w:line="240" w:lineRule="auto"/>
        <w:rPr>
          <w:rFonts w:ascii="Times New Roman" w:hAnsi="Times New Roman"/>
          <w:sz w:val="21"/>
        </w:rPr>
      </w:pPr>
    </w:p>
    <w:p w14:paraId="149EEBB3">
      <w:pPr>
        <w:spacing w:line="240" w:lineRule="auto"/>
        <w:rPr>
          <w:rFonts w:ascii="Times New Roman" w:hAnsi="Times New Roman"/>
          <w:sz w:val="21"/>
        </w:rPr>
      </w:pPr>
    </w:p>
    <w:p w14:paraId="4C34547E">
      <w:pPr>
        <w:jc w:val="center"/>
        <w:rPr>
          <w:rFonts w:hint="eastAsia" w:ascii="Times New Roman" w:hAnsi="Times New Roman" w:eastAsiaTheme="minorEastAsia"/>
          <w:sz w:val="21"/>
          <w:lang w:eastAsia="zh-CN"/>
        </w:rPr>
      </w:pPr>
      <w:r>
        <w:rPr>
          <w:rFonts w:hint="eastAsia" w:ascii="Times New Roman" w:hAnsi="Times New Roman" w:eastAsiaTheme="minorEastAsia"/>
          <w:sz w:val="21"/>
          <w:lang w:eastAsia="zh-CN"/>
        </w:rPr>
        <w:drawing>
          <wp:inline distT="0" distB="0" distL="114300" distR="114300">
            <wp:extent cx="3041650" cy="1961515"/>
            <wp:effectExtent l="0" t="0" r="6350" b="635"/>
            <wp:docPr id="1" name="图片 1" descr="Figure S5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5_01"/>
                    <pic:cNvPicPr>
                      <a:picLocks noChangeAspect="1"/>
                    </pic:cNvPicPr>
                  </pic:nvPicPr>
                  <pic:blipFill>
                    <a:blip r:embed="rId8"/>
                    <a:stretch>
                      <a:fillRect/>
                    </a:stretch>
                  </pic:blipFill>
                  <pic:spPr>
                    <a:xfrm>
                      <a:off x="0" y="0"/>
                      <a:ext cx="3041650" cy="1961515"/>
                    </a:xfrm>
                    <a:prstGeom prst="rect">
                      <a:avLst/>
                    </a:prstGeom>
                  </pic:spPr>
                </pic:pic>
              </a:graphicData>
            </a:graphic>
          </wp:inline>
        </w:drawing>
      </w:r>
    </w:p>
    <w:p w14:paraId="18EF782E">
      <w:pPr>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b/>
          <w:bCs/>
          <w:sz w:val="21"/>
        </w:rPr>
        <w:t>Fig. S</w:t>
      </w:r>
      <w:r>
        <w:rPr>
          <w:rFonts w:hint="eastAsia" w:ascii="Times New Roman" w:hAnsi="Times New Roman" w:cs="Times New Roman"/>
          <w:b/>
          <w:bCs/>
          <w:sz w:val="21"/>
          <w:lang w:eastAsia="zh-CN"/>
        </w:rPr>
        <w:t>5</w:t>
      </w:r>
      <w:r>
        <w:rPr>
          <w:rFonts w:ascii="Times New Roman" w:hAnsi="Times New Roman" w:cs="Times New Roman"/>
          <w:b w:val="0"/>
          <w:sz w:val="21"/>
        </w:rPr>
        <w:t xml:space="preserve"> ACTB internal-control Ct</w:t>
      </w:r>
      <w:r>
        <w:rPr>
          <w:rFonts w:ascii="Times New Roman" w:hAnsi="Times New Roman" w:cs="Times New Roman"/>
          <w:i w:val="0"/>
          <w:sz w:val="21"/>
        </w:rPr>
        <w:t xml:space="preserve"> (mean of ACTB-1/-2)</w:t>
      </w:r>
      <w:r>
        <w:rPr>
          <w:rFonts w:hint="eastAsia" w:ascii="Times New Roman" w:hAnsi="Times New Roman" w:cs="Times New Roman"/>
          <w:i w:val="0"/>
          <w:sz w:val="21"/>
          <w:lang w:val="en-US" w:eastAsia="zh-CN"/>
        </w:rPr>
        <w:t xml:space="preserve"> </w:t>
      </w:r>
      <w:r>
        <w:rPr>
          <w:rFonts w:ascii="Times New Roman" w:hAnsi="Times New Roman" w:cs="Times New Roman"/>
          <w:b w:val="0"/>
          <w:sz w:val="21"/>
        </w:rPr>
        <w:t>by diagnostic group.</w:t>
      </w:r>
      <w:r>
        <w:rPr>
          <w:rFonts w:ascii="Times New Roman" w:hAnsi="Times New Roman" w:cs="Times New Roman"/>
          <w:i w:val="0"/>
          <w:sz w:val="21"/>
        </w:rPr>
        <w:t xml:space="preserve"> dashed line = prespecified QC threshold (ACTB ≤ 35).</w:t>
      </w:r>
    </w:p>
    <w:p w14:paraId="63207936">
      <w:pPr>
        <w:spacing w:line="240" w:lineRule="auto"/>
        <w:jc w:val="center"/>
        <w:rPr>
          <w:rFonts w:hint="eastAsia" w:ascii="Times New Roman" w:hAnsi="Times New Roman" w:eastAsiaTheme="minorEastAsia"/>
          <w:sz w:val="21"/>
          <w:lang w:eastAsia="zh-CN"/>
        </w:rPr>
      </w:pPr>
    </w:p>
    <w:p w14:paraId="26A4EBF8">
      <w:pPr>
        <w:spacing w:line="240" w:lineRule="auto"/>
        <w:jc w:val="center"/>
        <w:rPr>
          <w:rFonts w:hint="eastAsia" w:ascii="Times New Roman" w:hAnsi="Times New Roman" w:eastAsiaTheme="minorEastAsia"/>
          <w:sz w:val="21"/>
          <w:lang w:eastAsia="zh-CN"/>
        </w:rPr>
      </w:pPr>
    </w:p>
    <w:p w14:paraId="7B03E59A">
      <w:pPr>
        <w:spacing w:line="480" w:lineRule="auto"/>
        <w:jc w:val="center"/>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drawing>
          <wp:inline distT="0" distB="0" distL="114300" distR="114300">
            <wp:extent cx="2880360" cy="2004060"/>
            <wp:effectExtent l="0" t="0" r="15240" b="15240"/>
            <wp:docPr id="4" name="图片 4" descr="Figure_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_S5"/>
                    <pic:cNvPicPr>
                      <a:picLocks noChangeAspect="1"/>
                    </pic:cNvPicPr>
                  </pic:nvPicPr>
                  <pic:blipFill>
                    <a:blip r:embed="rId9"/>
                    <a:stretch>
                      <a:fillRect/>
                    </a:stretch>
                  </pic:blipFill>
                  <pic:spPr>
                    <a:xfrm>
                      <a:off x="0" y="0"/>
                      <a:ext cx="2880360" cy="2004060"/>
                    </a:xfrm>
                    <a:prstGeom prst="rect">
                      <a:avLst/>
                    </a:prstGeom>
                  </pic:spPr>
                </pic:pic>
              </a:graphicData>
            </a:graphic>
          </wp:inline>
        </w:drawing>
      </w:r>
    </w:p>
    <w:p w14:paraId="35E46913">
      <w:pPr>
        <w:rPr>
          <w:rFonts w:hint="eastAsia" w:ascii="Times New Roman" w:hAnsi="Times New Roman" w:cs="Times New Roman"/>
          <w:b/>
          <w:bCs/>
          <w:sz w:val="21"/>
        </w:rPr>
      </w:pPr>
      <w:r>
        <w:rPr>
          <w:rFonts w:ascii="Times New Roman" w:hAnsi="Times New Roman" w:cs="Times New Roman"/>
          <w:b/>
          <w:bCs/>
          <w:sz w:val="21"/>
        </w:rPr>
        <w:t xml:space="preserve">Fig. </w:t>
      </w:r>
      <w:r>
        <w:rPr>
          <w:rFonts w:hint="eastAsia" w:ascii="Times New Roman" w:hAnsi="Times New Roman" w:cs="Times New Roman"/>
          <w:b/>
          <w:bCs/>
          <w:sz w:val="21"/>
          <w:lang w:val="en-US" w:eastAsia="zh-CN"/>
        </w:rPr>
        <w:t>S6</w:t>
      </w:r>
      <w:r>
        <w:rPr>
          <w:rFonts w:ascii="Times New Roman" w:hAnsi="Times New Roman" w:cs="Times New Roman"/>
          <w:b/>
          <w:bCs/>
          <w:sz w:val="21"/>
        </w:rPr>
        <w:t xml:space="preserve"> </w:t>
      </w:r>
      <w:r>
        <w:rPr>
          <w:rFonts w:ascii="Times New Roman" w:hAnsi="Times New Roman" w:cs="Times New Roman"/>
          <w:b w:val="0"/>
          <w:bCs w:val="0"/>
          <w:sz w:val="21"/>
        </w:rPr>
        <w:t xml:space="preserve">Graphical abstract. Summary of the four-step workflow (urine sample → bisulfite conversion and multiplex qPCR → </w:t>
      </w:r>
      <w:r>
        <w:rPr>
          <w:rFonts w:hint="default" w:ascii="Times New Roman" w:hAnsi="Times New Roman" w:cs="Times New Roman"/>
          <w:sz w:val="21"/>
        </w:rPr>
        <w:t>pan-urinary cancer detection (PUCD)</w:t>
      </w:r>
      <w:r>
        <w:rPr>
          <w:rFonts w:ascii="Times New Roman" w:hAnsi="Times New Roman" w:cs="Times New Roman"/>
          <w:b w:val="0"/>
          <w:bCs w:val="0"/>
          <w:sz w:val="21"/>
        </w:rPr>
        <w:t xml:space="preserve"> score from four methylation markers → triage decision), the five covered cancer types, and the headline validation performance (AUC 0.95; sensitivity 88.1%; specificity 90.0%).</w:t>
      </w:r>
      <w:r>
        <w:rPr>
          <w:rFonts w:hint="eastAsia" w:ascii="Times New Roman" w:hAnsi="Times New Roman" w:cs="Times New Roman"/>
          <w:b w:val="0"/>
          <w:bCs w:val="0"/>
          <w:sz w:val="21"/>
          <w:lang w:val="en-US" w:eastAsia="zh-CN"/>
        </w:rPr>
        <w:t xml:space="preserve"> AUC, area under the receiver operating characteristic curve.</w:t>
      </w:r>
    </w:p>
    <w:p w14:paraId="5F663265">
      <w:pPr>
        <w:spacing w:line="240" w:lineRule="auto"/>
        <w:rPr>
          <w:rFonts w:ascii="Times New Roman" w:hAnsi="Times New Roman"/>
          <w:sz w:val="21"/>
        </w:rPr>
      </w:pPr>
    </w:p>
    <w:p w14:paraId="3C31ADBD">
      <w:pPr>
        <w:spacing w:line="240" w:lineRule="auto"/>
        <w:rPr>
          <w:rFonts w:ascii="Times New Roman" w:hAnsi="Times New Roman"/>
          <w:sz w:val="21"/>
        </w:rPr>
      </w:pPr>
    </w:p>
    <w:p w14:paraId="36A70B30">
      <w:pPr>
        <w:spacing w:line="240" w:lineRule="auto"/>
        <w:rPr>
          <w:rFonts w:ascii="Times New Roman" w:hAnsi="Times New Roman"/>
          <w:sz w:val="21"/>
        </w:rPr>
      </w:pPr>
    </w:p>
    <w:p w14:paraId="3E6889D4">
      <w:pPr>
        <w:spacing w:line="240" w:lineRule="auto"/>
        <w:rPr>
          <w:rFonts w:ascii="Times New Roman" w:hAnsi="Times New Roman"/>
          <w:sz w:val="21"/>
        </w:rPr>
      </w:pPr>
    </w:p>
    <w:p w14:paraId="4EB4E778">
      <w:pPr>
        <w:spacing w:line="240" w:lineRule="auto"/>
        <w:rPr>
          <w:rFonts w:ascii="Times New Roman" w:hAnsi="Times New Roman"/>
          <w:sz w:val="21"/>
        </w:rPr>
      </w:pPr>
    </w:p>
    <w:p w14:paraId="1797F8AD">
      <w:pPr>
        <w:spacing w:line="240" w:lineRule="auto"/>
        <w:rPr>
          <w:rFonts w:ascii="Times New Roman" w:hAnsi="Times New Roman"/>
          <w:sz w:val="21"/>
        </w:rPr>
      </w:pPr>
    </w:p>
    <w:p w14:paraId="1BAA26A8">
      <w:pPr>
        <w:spacing w:line="240" w:lineRule="auto"/>
        <w:rPr>
          <w:rFonts w:ascii="Times New Roman" w:hAnsi="Times New Roman"/>
          <w:sz w:val="21"/>
        </w:rPr>
      </w:pPr>
    </w:p>
    <w:p w14:paraId="6AD0B3CB">
      <w:pPr>
        <w:spacing w:line="240" w:lineRule="auto"/>
        <w:rPr>
          <w:rFonts w:ascii="Times New Roman" w:hAnsi="Times New Roman"/>
          <w:sz w:val="21"/>
        </w:rPr>
      </w:pPr>
    </w:p>
    <w:p w14:paraId="3908FDB7">
      <w:pPr>
        <w:spacing w:line="240" w:lineRule="auto"/>
        <w:rPr>
          <w:rFonts w:ascii="Times New Roman" w:hAnsi="Times New Roman"/>
          <w:sz w:val="21"/>
        </w:rPr>
      </w:pPr>
    </w:p>
    <w:p w14:paraId="1F80C1D6">
      <w:pPr>
        <w:spacing w:line="240" w:lineRule="auto"/>
        <w:rPr>
          <w:rFonts w:ascii="Times New Roman" w:hAnsi="Times New Roman"/>
          <w:sz w:val="21"/>
        </w:rPr>
      </w:pPr>
    </w:p>
    <w:p w14:paraId="04424527">
      <w:pPr>
        <w:spacing w:line="240" w:lineRule="auto"/>
        <w:rPr>
          <w:rFonts w:ascii="Times New Roman" w:hAnsi="Times New Roman"/>
          <w:sz w:val="21"/>
        </w:rPr>
      </w:pPr>
    </w:p>
    <w:p w14:paraId="7D042568">
      <w:pPr>
        <w:spacing w:line="240" w:lineRule="auto"/>
        <w:rPr>
          <w:rFonts w:ascii="Times New Roman" w:hAnsi="Times New Roman"/>
          <w:sz w:val="21"/>
        </w:rPr>
      </w:pPr>
    </w:p>
    <w:p w14:paraId="225599FF">
      <w:pPr>
        <w:spacing w:line="240" w:lineRule="auto"/>
        <w:rPr>
          <w:rFonts w:ascii="Times New Roman" w:hAnsi="Times New Roman"/>
          <w:sz w:val="21"/>
        </w:rPr>
      </w:pPr>
    </w:p>
    <w:p w14:paraId="71E69B19">
      <w:pPr>
        <w:spacing w:line="240" w:lineRule="auto"/>
        <w:rPr>
          <w:rFonts w:ascii="Times New Roman" w:hAnsi="Times New Roman"/>
          <w:sz w:val="21"/>
        </w:rPr>
      </w:pPr>
    </w:p>
    <w:p w14:paraId="27D602F4">
      <w:pPr>
        <w:rPr>
          <w:rFonts w:ascii="Times New Roman" w:hAnsi="Times New Roman" w:cs="Times New Roman"/>
          <w:sz w:val="21"/>
          <w:szCs w:val="21"/>
        </w:rPr>
      </w:pPr>
      <w:r>
        <w:rPr>
          <w:rFonts w:ascii="Times New Roman" w:hAnsi="Times New Roman" w:cs="Times New Roman"/>
          <w:b/>
          <w:sz w:val="21"/>
          <w:szCs w:val="21"/>
        </w:rPr>
        <w:t>Table S1. Pre-analytical stability of urine DNA methylation measurements during room-temperature storage.</w:t>
      </w:r>
    </w:p>
    <w:p w14:paraId="69D36DC8">
      <w:pPr>
        <w:rPr>
          <w:rFonts w:ascii="Times New Roman" w:hAnsi="Times New Roman" w:cs="Times New Roman"/>
          <w:sz w:val="21"/>
          <w:szCs w:val="21"/>
        </w:rPr>
      </w:pPr>
      <w:r>
        <w:rPr>
          <w:rFonts w:ascii="Times New Roman" w:hAnsi="Times New Roman" w:cs="Times New Roman"/>
          <w:sz w:val="21"/>
          <w:szCs w:val="21"/>
        </w:rPr>
        <w:t>Eight urine samples (S1–S6, non-cancer controls; S7–S8, bladder cancer) were each divided into three 10–15 mL parallel aliquots and stored at room temperature for 0, 3, or 7 days before DNA extraction, bisulfite conversion, and qPCR. ACTB served as the internal-reference control (gate: ACTB Ct ≤ 35). The PUCD call was defined as positive when the composite score P ≥ 2 and negative when P &lt; 2.</w:t>
      </w:r>
    </w:p>
    <w:tbl>
      <w:tblPr>
        <w:tblStyle w:val="4"/>
        <w:tblW w:w="5131" w:type="pct"/>
        <w:jc w:val="center"/>
        <w:tblLayout w:type="autofit"/>
        <w:tblCellMar>
          <w:top w:w="0" w:type="dxa"/>
          <w:left w:w="108" w:type="dxa"/>
          <w:bottom w:w="0" w:type="dxa"/>
          <w:right w:w="108" w:type="dxa"/>
        </w:tblCellMar>
      </w:tblPr>
      <w:tblGrid>
        <w:gridCol w:w="1121"/>
        <w:gridCol w:w="1460"/>
        <w:gridCol w:w="2392"/>
        <w:gridCol w:w="2578"/>
        <w:gridCol w:w="1194"/>
      </w:tblGrid>
      <w:tr w14:paraId="11C82FF0">
        <w:tblPrEx>
          <w:tblCellMar>
            <w:top w:w="0" w:type="dxa"/>
            <w:left w:w="108" w:type="dxa"/>
            <w:bottom w:w="0" w:type="dxa"/>
            <w:right w:w="108" w:type="dxa"/>
          </w:tblCellMar>
        </w:tblPrEx>
        <w:trPr>
          <w:trHeight w:val="0" w:hRule="atLeast"/>
          <w:tblHeader/>
          <w:jc w:val="center"/>
        </w:trPr>
        <w:tc>
          <w:tcPr>
            <w:tcW w:w="641" w:type="pct"/>
            <w:tcBorders>
              <w:top w:val="single" w:color="auto" w:sz="12" w:space="0"/>
              <w:left w:val="nil"/>
              <w:bottom w:val="nil"/>
              <w:right w:val="nil"/>
            </w:tcBorders>
            <w:noWrap w:val="0"/>
            <w:tcMar>
              <w:top w:w="-1" w:type="dxa"/>
              <w:left w:w="-1" w:type="dxa"/>
              <w:bottom w:w="-1" w:type="dxa"/>
              <w:right w:w="-1" w:type="dxa"/>
            </w:tcMar>
            <w:vAlign w:val="center"/>
          </w:tcPr>
          <w:p w14:paraId="08685FAF">
            <w:pPr>
              <w:snapToGrid w:val="0"/>
              <w:ind w:left="0" w:leftChars="0" w:right="0" w:rightChars="0" w:firstLine="0" w:firstLineChars="0"/>
              <w:jc w:val="center"/>
              <w:rPr>
                <w:rFonts w:ascii="Times New Roman" w:hAnsi="Times New Roman" w:cs="Times New Roman"/>
                <w:b/>
                <w:sz w:val="18"/>
                <w:szCs w:val="18"/>
              </w:rPr>
            </w:pPr>
            <w:r>
              <w:rPr>
                <w:rFonts w:ascii="Times New Roman" w:hAnsi="Times New Roman" w:cs="Times New Roman"/>
                <w:b/>
                <w:sz w:val="18"/>
                <w:szCs w:val="18"/>
              </w:rPr>
              <w:t>Sample ID</w:t>
            </w:r>
          </w:p>
        </w:tc>
        <w:tc>
          <w:tcPr>
            <w:tcW w:w="834" w:type="pct"/>
            <w:tcBorders>
              <w:top w:val="single" w:color="auto" w:sz="12" w:space="0"/>
              <w:left w:val="nil"/>
              <w:bottom w:val="nil"/>
              <w:right w:val="nil"/>
            </w:tcBorders>
            <w:noWrap w:val="0"/>
            <w:tcMar>
              <w:top w:w="-1" w:type="dxa"/>
              <w:left w:w="-1" w:type="dxa"/>
              <w:bottom w:w="-1" w:type="dxa"/>
              <w:right w:w="-1" w:type="dxa"/>
            </w:tcMar>
            <w:vAlign w:val="center"/>
          </w:tcPr>
          <w:p w14:paraId="4B14FD85">
            <w:pPr>
              <w:snapToGrid w:val="0"/>
              <w:ind w:left="0" w:leftChars="0" w:right="0" w:rightChars="0" w:firstLine="0" w:firstLineChars="0"/>
              <w:jc w:val="center"/>
              <w:rPr>
                <w:rFonts w:ascii="Times New Roman" w:hAnsi="Times New Roman" w:cs="Times New Roman"/>
                <w:b/>
                <w:sz w:val="18"/>
                <w:szCs w:val="18"/>
              </w:rPr>
            </w:pPr>
            <w:r>
              <w:rPr>
                <w:rFonts w:ascii="Times New Roman" w:hAnsi="Times New Roman" w:cs="Times New Roman"/>
                <w:b/>
                <w:sz w:val="18"/>
                <w:szCs w:val="18"/>
              </w:rPr>
              <w:t>Clinical group</w:t>
            </w:r>
          </w:p>
        </w:tc>
        <w:tc>
          <w:tcPr>
            <w:tcW w:w="1367" w:type="pct"/>
            <w:tcBorders>
              <w:top w:val="single" w:color="auto" w:sz="12" w:space="0"/>
              <w:left w:val="nil"/>
              <w:bottom w:val="nil"/>
              <w:right w:val="nil"/>
            </w:tcBorders>
            <w:noWrap w:val="0"/>
            <w:tcMar>
              <w:top w:w="-1" w:type="dxa"/>
              <w:left w:w="-1" w:type="dxa"/>
              <w:bottom w:w="-1" w:type="dxa"/>
              <w:right w:w="-1" w:type="dxa"/>
            </w:tcMar>
            <w:vAlign w:val="center"/>
          </w:tcPr>
          <w:p w14:paraId="20FD1415">
            <w:pPr>
              <w:snapToGrid w:val="0"/>
              <w:ind w:left="0" w:leftChars="0" w:right="0" w:rightChars="0" w:firstLine="0" w:firstLineChars="0"/>
              <w:jc w:val="center"/>
              <w:rPr>
                <w:rFonts w:ascii="Times New Roman" w:hAnsi="Times New Roman" w:cs="Times New Roman"/>
                <w:b/>
                <w:sz w:val="18"/>
                <w:szCs w:val="18"/>
              </w:rPr>
            </w:pPr>
            <w:r>
              <w:rPr>
                <w:rFonts w:ascii="Times New Roman" w:hAnsi="Times New Roman" w:cs="Times New Roman"/>
                <w:b/>
                <w:sz w:val="18"/>
                <w:szCs w:val="18"/>
              </w:rPr>
              <w:t>ACTB Ct CV across 0/3/7 d (%)</w:t>
            </w:r>
          </w:p>
        </w:tc>
        <w:tc>
          <w:tcPr>
            <w:tcW w:w="1473" w:type="pct"/>
            <w:tcBorders>
              <w:top w:val="single" w:color="auto" w:sz="12" w:space="0"/>
              <w:left w:val="nil"/>
              <w:bottom w:val="nil"/>
              <w:right w:val="nil"/>
            </w:tcBorders>
            <w:noWrap w:val="0"/>
            <w:tcMar>
              <w:top w:w="-1" w:type="dxa"/>
              <w:left w:w="-1" w:type="dxa"/>
              <w:bottom w:w="-1" w:type="dxa"/>
              <w:right w:w="-1" w:type="dxa"/>
            </w:tcMar>
            <w:vAlign w:val="center"/>
          </w:tcPr>
          <w:p w14:paraId="11D99F85">
            <w:pPr>
              <w:snapToGrid w:val="0"/>
              <w:ind w:left="0" w:leftChars="0" w:right="0" w:rightChars="0" w:firstLine="0" w:firstLineChars="0"/>
              <w:jc w:val="center"/>
              <w:rPr>
                <w:rFonts w:ascii="Times New Roman" w:hAnsi="Times New Roman" w:cs="Times New Roman"/>
                <w:b/>
                <w:sz w:val="18"/>
                <w:szCs w:val="18"/>
              </w:rPr>
            </w:pPr>
            <w:r>
              <w:rPr>
                <w:rFonts w:ascii="Times New Roman" w:hAnsi="Times New Roman" w:cs="Times New Roman"/>
                <w:b/>
                <w:sz w:val="18"/>
                <w:szCs w:val="18"/>
              </w:rPr>
              <w:t>PUCD call (Day 0 / 3 / 7)</w:t>
            </w:r>
          </w:p>
        </w:tc>
        <w:tc>
          <w:tcPr>
            <w:tcW w:w="682" w:type="pct"/>
            <w:tcBorders>
              <w:top w:val="single" w:color="auto" w:sz="12" w:space="0"/>
              <w:left w:val="nil"/>
              <w:bottom w:val="nil"/>
              <w:right w:val="nil"/>
            </w:tcBorders>
            <w:noWrap w:val="0"/>
            <w:tcMar>
              <w:top w:w="-1" w:type="dxa"/>
              <w:left w:w="-1" w:type="dxa"/>
              <w:bottom w:w="-1" w:type="dxa"/>
              <w:right w:w="-1" w:type="dxa"/>
            </w:tcMar>
            <w:vAlign w:val="center"/>
          </w:tcPr>
          <w:p w14:paraId="25A30345">
            <w:pPr>
              <w:snapToGrid w:val="0"/>
              <w:ind w:left="0" w:leftChars="0" w:right="0" w:rightChars="0" w:firstLine="0" w:firstLineChars="0"/>
              <w:jc w:val="center"/>
              <w:rPr>
                <w:rFonts w:ascii="Times New Roman" w:hAnsi="Times New Roman" w:cs="Times New Roman"/>
                <w:b/>
                <w:sz w:val="18"/>
                <w:szCs w:val="18"/>
              </w:rPr>
            </w:pPr>
            <w:r>
              <w:rPr>
                <w:rFonts w:ascii="Times New Roman" w:hAnsi="Times New Roman" w:cs="Times New Roman"/>
                <w:b/>
                <w:sz w:val="18"/>
                <w:szCs w:val="18"/>
              </w:rPr>
              <w:t>Call stable?</w:t>
            </w:r>
          </w:p>
        </w:tc>
      </w:tr>
      <w:tr w14:paraId="43494DBA">
        <w:tblPrEx>
          <w:tblCellMar>
            <w:top w:w="0" w:type="dxa"/>
            <w:left w:w="108" w:type="dxa"/>
            <w:bottom w:w="0" w:type="dxa"/>
            <w:right w:w="108" w:type="dxa"/>
          </w:tblCellMar>
        </w:tblPrEx>
        <w:trPr>
          <w:trHeight w:val="0" w:hRule="atLeast"/>
          <w:jc w:val="center"/>
        </w:trPr>
        <w:tc>
          <w:tcPr>
            <w:tcW w:w="641" w:type="pct"/>
            <w:tcBorders>
              <w:top w:val="single" w:color="auto" w:sz="4" w:space="0"/>
              <w:left w:val="nil"/>
              <w:bottom w:val="nil"/>
              <w:right w:val="nil"/>
            </w:tcBorders>
            <w:noWrap w:val="0"/>
            <w:tcMar>
              <w:top w:w="-1" w:type="dxa"/>
              <w:left w:w="-1" w:type="dxa"/>
              <w:bottom w:w="-1" w:type="dxa"/>
              <w:right w:w="-1" w:type="dxa"/>
            </w:tcMar>
            <w:vAlign w:val="center"/>
          </w:tcPr>
          <w:p w14:paraId="4F016133">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S1</w:t>
            </w:r>
          </w:p>
        </w:tc>
        <w:tc>
          <w:tcPr>
            <w:tcW w:w="834" w:type="pct"/>
            <w:tcBorders>
              <w:top w:val="single" w:color="auto" w:sz="4" w:space="0"/>
              <w:left w:val="nil"/>
              <w:bottom w:val="nil"/>
              <w:right w:val="nil"/>
            </w:tcBorders>
            <w:noWrap w:val="0"/>
            <w:tcMar>
              <w:top w:w="-1" w:type="dxa"/>
              <w:left w:w="-1" w:type="dxa"/>
              <w:bottom w:w="-1" w:type="dxa"/>
              <w:right w:w="-1" w:type="dxa"/>
            </w:tcMar>
            <w:vAlign w:val="center"/>
          </w:tcPr>
          <w:p w14:paraId="2A804539">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Non-cancer</w:t>
            </w:r>
          </w:p>
        </w:tc>
        <w:tc>
          <w:tcPr>
            <w:tcW w:w="1367" w:type="pct"/>
            <w:tcBorders>
              <w:top w:val="single" w:color="auto" w:sz="4" w:space="0"/>
              <w:left w:val="nil"/>
              <w:bottom w:val="nil"/>
              <w:right w:val="nil"/>
            </w:tcBorders>
            <w:noWrap w:val="0"/>
            <w:tcMar>
              <w:top w:w="-1" w:type="dxa"/>
              <w:left w:w="-1" w:type="dxa"/>
              <w:bottom w:w="-1" w:type="dxa"/>
              <w:right w:w="-1" w:type="dxa"/>
            </w:tcMar>
            <w:vAlign w:val="center"/>
          </w:tcPr>
          <w:p w14:paraId="721F00D2">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&lt;5</w:t>
            </w:r>
          </w:p>
        </w:tc>
        <w:tc>
          <w:tcPr>
            <w:tcW w:w="1473" w:type="pct"/>
            <w:tcBorders>
              <w:top w:val="single" w:color="auto" w:sz="4" w:space="0"/>
              <w:left w:val="nil"/>
              <w:bottom w:val="nil"/>
              <w:right w:val="nil"/>
            </w:tcBorders>
            <w:noWrap w:val="0"/>
            <w:tcMar>
              <w:top w:w="-1" w:type="dxa"/>
              <w:left w:w="-1" w:type="dxa"/>
              <w:bottom w:w="-1" w:type="dxa"/>
              <w:right w:w="-1" w:type="dxa"/>
            </w:tcMar>
            <w:vAlign w:val="center"/>
          </w:tcPr>
          <w:p w14:paraId="4A590D6E">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Negative / Negative / Negative</w:t>
            </w:r>
          </w:p>
        </w:tc>
        <w:tc>
          <w:tcPr>
            <w:tcW w:w="682" w:type="pct"/>
            <w:tcBorders>
              <w:top w:val="single" w:color="auto" w:sz="4" w:space="0"/>
              <w:left w:val="nil"/>
              <w:bottom w:val="nil"/>
              <w:right w:val="nil"/>
            </w:tcBorders>
            <w:noWrap w:val="0"/>
            <w:tcMar>
              <w:top w:w="-1" w:type="dxa"/>
              <w:left w:w="-1" w:type="dxa"/>
              <w:bottom w:w="-1" w:type="dxa"/>
              <w:right w:w="-1" w:type="dxa"/>
            </w:tcMar>
            <w:vAlign w:val="center"/>
          </w:tcPr>
          <w:p w14:paraId="33CF5E7C">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Yes</w:t>
            </w:r>
          </w:p>
        </w:tc>
      </w:tr>
      <w:tr w14:paraId="275C4767">
        <w:tblPrEx>
          <w:tblCellMar>
            <w:top w:w="0" w:type="dxa"/>
            <w:left w:w="108" w:type="dxa"/>
            <w:bottom w:w="0" w:type="dxa"/>
            <w:right w:w="108" w:type="dxa"/>
          </w:tblCellMar>
        </w:tblPrEx>
        <w:trPr>
          <w:trHeight w:val="0" w:hRule="atLeast"/>
          <w:jc w:val="center"/>
        </w:trPr>
        <w:tc>
          <w:tcPr>
            <w:tcW w:w="641" w:type="pct"/>
            <w:tcBorders>
              <w:top w:val="nil"/>
              <w:left w:val="nil"/>
              <w:bottom w:val="nil"/>
              <w:right w:val="nil"/>
            </w:tcBorders>
            <w:noWrap w:val="0"/>
            <w:tcMar>
              <w:top w:w="-1" w:type="dxa"/>
              <w:left w:w="-1" w:type="dxa"/>
              <w:bottom w:w="-1" w:type="dxa"/>
              <w:right w:w="-1" w:type="dxa"/>
            </w:tcMar>
            <w:vAlign w:val="center"/>
          </w:tcPr>
          <w:p w14:paraId="03DEB454">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S2</w:t>
            </w:r>
          </w:p>
        </w:tc>
        <w:tc>
          <w:tcPr>
            <w:tcW w:w="834" w:type="pct"/>
            <w:tcBorders>
              <w:top w:val="nil"/>
              <w:left w:val="nil"/>
              <w:bottom w:val="nil"/>
              <w:right w:val="nil"/>
            </w:tcBorders>
            <w:noWrap w:val="0"/>
            <w:tcMar>
              <w:top w:w="-1" w:type="dxa"/>
              <w:left w:w="-1" w:type="dxa"/>
              <w:bottom w:w="-1" w:type="dxa"/>
              <w:right w:w="-1" w:type="dxa"/>
            </w:tcMar>
            <w:vAlign w:val="center"/>
          </w:tcPr>
          <w:p w14:paraId="734246EA">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Non-cancer</w:t>
            </w:r>
          </w:p>
        </w:tc>
        <w:tc>
          <w:tcPr>
            <w:tcW w:w="1367" w:type="pct"/>
            <w:tcBorders>
              <w:top w:val="nil"/>
              <w:left w:val="nil"/>
              <w:bottom w:val="nil"/>
              <w:right w:val="nil"/>
            </w:tcBorders>
            <w:noWrap w:val="0"/>
            <w:tcMar>
              <w:top w:w="-1" w:type="dxa"/>
              <w:left w:w="-1" w:type="dxa"/>
              <w:bottom w:w="-1" w:type="dxa"/>
              <w:right w:w="-1" w:type="dxa"/>
            </w:tcMar>
            <w:vAlign w:val="center"/>
          </w:tcPr>
          <w:p w14:paraId="45073AB3">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&lt;5</w:t>
            </w:r>
          </w:p>
        </w:tc>
        <w:tc>
          <w:tcPr>
            <w:tcW w:w="1473" w:type="pct"/>
            <w:tcBorders>
              <w:top w:val="nil"/>
              <w:left w:val="nil"/>
              <w:bottom w:val="nil"/>
              <w:right w:val="nil"/>
            </w:tcBorders>
            <w:noWrap w:val="0"/>
            <w:tcMar>
              <w:top w:w="-1" w:type="dxa"/>
              <w:left w:w="-1" w:type="dxa"/>
              <w:bottom w:w="-1" w:type="dxa"/>
              <w:right w:w="-1" w:type="dxa"/>
            </w:tcMar>
            <w:vAlign w:val="center"/>
          </w:tcPr>
          <w:p w14:paraId="06185A01">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Negative / Negative / Negative</w:t>
            </w:r>
          </w:p>
        </w:tc>
        <w:tc>
          <w:tcPr>
            <w:tcW w:w="682" w:type="pct"/>
            <w:tcBorders>
              <w:top w:val="nil"/>
              <w:left w:val="nil"/>
              <w:bottom w:val="nil"/>
              <w:right w:val="nil"/>
            </w:tcBorders>
            <w:noWrap w:val="0"/>
            <w:tcMar>
              <w:top w:w="-1" w:type="dxa"/>
              <w:left w:w="-1" w:type="dxa"/>
              <w:bottom w:w="-1" w:type="dxa"/>
              <w:right w:w="-1" w:type="dxa"/>
            </w:tcMar>
            <w:vAlign w:val="center"/>
          </w:tcPr>
          <w:p w14:paraId="6F445274">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Yes</w:t>
            </w:r>
          </w:p>
        </w:tc>
      </w:tr>
      <w:tr w14:paraId="5DDAA671">
        <w:tblPrEx>
          <w:tblCellMar>
            <w:top w:w="0" w:type="dxa"/>
            <w:left w:w="108" w:type="dxa"/>
            <w:bottom w:w="0" w:type="dxa"/>
            <w:right w:w="108" w:type="dxa"/>
          </w:tblCellMar>
        </w:tblPrEx>
        <w:trPr>
          <w:trHeight w:val="0" w:hRule="atLeast"/>
          <w:jc w:val="center"/>
        </w:trPr>
        <w:tc>
          <w:tcPr>
            <w:tcW w:w="641" w:type="pct"/>
            <w:tcBorders>
              <w:top w:val="nil"/>
              <w:left w:val="nil"/>
              <w:bottom w:val="nil"/>
              <w:right w:val="nil"/>
            </w:tcBorders>
            <w:noWrap w:val="0"/>
            <w:tcMar>
              <w:top w:w="-1" w:type="dxa"/>
              <w:left w:w="-1" w:type="dxa"/>
              <w:bottom w:w="-1" w:type="dxa"/>
              <w:right w:w="-1" w:type="dxa"/>
            </w:tcMar>
            <w:vAlign w:val="center"/>
          </w:tcPr>
          <w:p w14:paraId="71BD7E57">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S3</w:t>
            </w:r>
          </w:p>
        </w:tc>
        <w:tc>
          <w:tcPr>
            <w:tcW w:w="834" w:type="pct"/>
            <w:tcBorders>
              <w:top w:val="nil"/>
              <w:left w:val="nil"/>
              <w:bottom w:val="nil"/>
              <w:right w:val="nil"/>
            </w:tcBorders>
            <w:noWrap w:val="0"/>
            <w:tcMar>
              <w:top w:w="-1" w:type="dxa"/>
              <w:left w:w="-1" w:type="dxa"/>
              <w:bottom w:w="-1" w:type="dxa"/>
              <w:right w:w="-1" w:type="dxa"/>
            </w:tcMar>
            <w:vAlign w:val="center"/>
          </w:tcPr>
          <w:p w14:paraId="3028EB1A">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Non-cancer</w:t>
            </w:r>
          </w:p>
        </w:tc>
        <w:tc>
          <w:tcPr>
            <w:tcW w:w="1367" w:type="pct"/>
            <w:tcBorders>
              <w:top w:val="nil"/>
              <w:left w:val="nil"/>
              <w:bottom w:val="nil"/>
              <w:right w:val="nil"/>
            </w:tcBorders>
            <w:noWrap w:val="0"/>
            <w:tcMar>
              <w:top w:w="-1" w:type="dxa"/>
              <w:left w:w="-1" w:type="dxa"/>
              <w:bottom w:w="-1" w:type="dxa"/>
              <w:right w:w="-1" w:type="dxa"/>
            </w:tcMar>
            <w:vAlign w:val="center"/>
          </w:tcPr>
          <w:p w14:paraId="1C2F6A00">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&lt;5</w:t>
            </w:r>
          </w:p>
        </w:tc>
        <w:tc>
          <w:tcPr>
            <w:tcW w:w="1473" w:type="pct"/>
            <w:tcBorders>
              <w:top w:val="nil"/>
              <w:left w:val="nil"/>
              <w:bottom w:val="nil"/>
              <w:right w:val="nil"/>
            </w:tcBorders>
            <w:noWrap w:val="0"/>
            <w:tcMar>
              <w:top w:w="-1" w:type="dxa"/>
              <w:left w:w="-1" w:type="dxa"/>
              <w:bottom w:w="-1" w:type="dxa"/>
              <w:right w:w="-1" w:type="dxa"/>
            </w:tcMar>
            <w:vAlign w:val="center"/>
          </w:tcPr>
          <w:p w14:paraId="1CD21A35">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Negative / Negative / Negative</w:t>
            </w:r>
          </w:p>
        </w:tc>
        <w:tc>
          <w:tcPr>
            <w:tcW w:w="682" w:type="pct"/>
            <w:tcBorders>
              <w:top w:val="nil"/>
              <w:left w:val="nil"/>
              <w:bottom w:val="nil"/>
              <w:right w:val="nil"/>
            </w:tcBorders>
            <w:noWrap w:val="0"/>
            <w:tcMar>
              <w:top w:w="-1" w:type="dxa"/>
              <w:left w:w="-1" w:type="dxa"/>
              <w:bottom w:w="-1" w:type="dxa"/>
              <w:right w:w="-1" w:type="dxa"/>
            </w:tcMar>
            <w:vAlign w:val="center"/>
          </w:tcPr>
          <w:p w14:paraId="405E560D">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Yes</w:t>
            </w:r>
          </w:p>
        </w:tc>
      </w:tr>
      <w:tr w14:paraId="65F151B7">
        <w:tblPrEx>
          <w:tblCellMar>
            <w:top w:w="0" w:type="dxa"/>
            <w:left w:w="108" w:type="dxa"/>
            <w:bottom w:w="0" w:type="dxa"/>
            <w:right w:w="108" w:type="dxa"/>
          </w:tblCellMar>
        </w:tblPrEx>
        <w:trPr>
          <w:trHeight w:val="0" w:hRule="atLeast"/>
          <w:jc w:val="center"/>
        </w:trPr>
        <w:tc>
          <w:tcPr>
            <w:tcW w:w="641" w:type="pct"/>
            <w:tcBorders>
              <w:top w:val="nil"/>
              <w:left w:val="nil"/>
              <w:bottom w:val="nil"/>
              <w:right w:val="nil"/>
            </w:tcBorders>
            <w:noWrap w:val="0"/>
            <w:tcMar>
              <w:top w:w="-1" w:type="dxa"/>
              <w:left w:w="-1" w:type="dxa"/>
              <w:bottom w:w="-1" w:type="dxa"/>
              <w:right w:w="-1" w:type="dxa"/>
            </w:tcMar>
            <w:vAlign w:val="center"/>
          </w:tcPr>
          <w:p w14:paraId="770EE790">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S4</w:t>
            </w:r>
          </w:p>
        </w:tc>
        <w:tc>
          <w:tcPr>
            <w:tcW w:w="834" w:type="pct"/>
            <w:tcBorders>
              <w:top w:val="nil"/>
              <w:left w:val="nil"/>
              <w:bottom w:val="nil"/>
              <w:right w:val="nil"/>
            </w:tcBorders>
            <w:noWrap w:val="0"/>
            <w:tcMar>
              <w:top w:w="-1" w:type="dxa"/>
              <w:left w:w="-1" w:type="dxa"/>
              <w:bottom w:w="-1" w:type="dxa"/>
              <w:right w:w="-1" w:type="dxa"/>
            </w:tcMar>
            <w:vAlign w:val="center"/>
          </w:tcPr>
          <w:p w14:paraId="1ECD749D">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Non-cancer</w:t>
            </w:r>
          </w:p>
        </w:tc>
        <w:tc>
          <w:tcPr>
            <w:tcW w:w="1367" w:type="pct"/>
            <w:tcBorders>
              <w:top w:val="nil"/>
              <w:left w:val="nil"/>
              <w:bottom w:val="nil"/>
              <w:right w:val="nil"/>
            </w:tcBorders>
            <w:noWrap w:val="0"/>
            <w:tcMar>
              <w:top w:w="-1" w:type="dxa"/>
              <w:left w:w="-1" w:type="dxa"/>
              <w:bottom w:w="-1" w:type="dxa"/>
              <w:right w:w="-1" w:type="dxa"/>
            </w:tcMar>
            <w:vAlign w:val="center"/>
          </w:tcPr>
          <w:p w14:paraId="706418C5">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&lt;5</w:t>
            </w:r>
          </w:p>
        </w:tc>
        <w:tc>
          <w:tcPr>
            <w:tcW w:w="1473" w:type="pct"/>
            <w:tcBorders>
              <w:top w:val="nil"/>
              <w:left w:val="nil"/>
              <w:bottom w:val="nil"/>
              <w:right w:val="nil"/>
            </w:tcBorders>
            <w:noWrap w:val="0"/>
            <w:tcMar>
              <w:top w:w="-1" w:type="dxa"/>
              <w:left w:w="-1" w:type="dxa"/>
              <w:bottom w:w="-1" w:type="dxa"/>
              <w:right w:w="-1" w:type="dxa"/>
            </w:tcMar>
            <w:vAlign w:val="center"/>
          </w:tcPr>
          <w:p w14:paraId="48BCDD7F">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Negative / Negative / Negative</w:t>
            </w:r>
          </w:p>
        </w:tc>
        <w:tc>
          <w:tcPr>
            <w:tcW w:w="682" w:type="pct"/>
            <w:tcBorders>
              <w:top w:val="nil"/>
              <w:left w:val="nil"/>
              <w:bottom w:val="nil"/>
              <w:right w:val="nil"/>
            </w:tcBorders>
            <w:noWrap w:val="0"/>
            <w:tcMar>
              <w:top w:w="-1" w:type="dxa"/>
              <w:left w:w="-1" w:type="dxa"/>
              <w:bottom w:w="-1" w:type="dxa"/>
              <w:right w:w="-1" w:type="dxa"/>
            </w:tcMar>
            <w:vAlign w:val="center"/>
          </w:tcPr>
          <w:p w14:paraId="7096FCE8">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Yes</w:t>
            </w:r>
          </w:p>
        </w:tc>
      </w:tr>
      <w:tr w14:paraId="7F55F187">
        <w:tblPrEx>
          <w:tblCellMar>
            <w:top w:w="0" w:type="dxa"/>
            <w:left w:w="108" w:type="dxa"/>
            <w:bottom w:w="0" w:type="dxa"/>
            <w:right w:w="108" w:type="dxa"/>
          </w:tblCellMar>
        </w:tblPrEx>
        <w:trPr>
          <w:trHeight w:val="0" w:hRule="atLeast"/>
          <w:jc w:val="center"/>
        </w:trPr>
        <w:tc>
          <w:tcPr>
            <w:tcW w:w="641" w:type="pct"/>
            <w:tcBorders>
              <w:top w:val="nil"/>
              <w:left w:val="nil"/>
              <w:bottom w:val="nil"/>
              <w:right w:val="nil"/>
            </w:tcBorders>
            <w:noWrap w:val="0"/>
            <w:tcMar>
              <w:top w:w="-1" w:type="dxa"/>
              <w:left w:w="-1" w:type="dxa"/>
              <w:bottom w:w="-1" w:type="dxa"/>
              <w:right w:w="-1" w:type="dxa"/>
            </w:tcMar>
            <w:vAlign w:val="center"/>
          </w:tcPr>
          <w:p w14:paraId="67E1F425">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S5</w:t>
            </w:r>
          </w:p>
        </w:tc>
        <w:tc>
          <w:tcPr>
            <w:tcW w:w="834" w:type="pct"/>
            <w:tcBorders>
              <w:top w:val="nil"/>
              <w:left w:val="nil"/>
              <w:bottom w:val="nil"/>
              <w:right w:val="nil"/>
            </w:tcBorders>
            <w:noWrap w:val="0"/>
            <w:tcMar>
              <w:top w:w="-1" w:type="dxa"/>
              <w:left w:w="-1" w:type="dxa"/>
              <w:bottom w:w="-1" w:type="dxa"/>
              <w:right w:w="-1" w:type="dxa"/>
            </w:tcMar>
            <w:vAlign w:val="center"/>
          </w:tcPr>
          <w:p w14:paraId="330DAAA5">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Non-cancer</w:t>
            </w:r>
          </w:p>
        </w:tc>
        <w:tc>
          <w:tcPr>
            <w:tcW w:w="1367" w:type="pct"/>
            <w:tcBorders>
              <w:top w:val="nil"/>
              <w:left w:val="nil"/>
              <w:bottom w:val="nil"/>
              <w:right w:val="nil"/>
            </w:tcBorders>
            <w:noWrap w:val="0"/>
            <w:tcMar>
              <w:top w:w="-1" w:type="dxa"/>
              <w:left w:w="-1" w:type="dxa"/>
              <w:bottom w:w="-1" w:type="dxa"/>
              <w:right w:w="-1" w:type="dxa"/>
            </w:tcMar>
            <w:vAlign w:val="center"/>
          </w:tcPr>
          <w:p w14:paraId="1DF6E82C">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&lt;5</w:t>
            </w:r>
          </w:p>
        </w:tc>
        <w:tc>
          <w:tcPr>
            <w:tcW w:w="1473" w:type="pct"/>
            <w:tcBorders>
              <w:top w:val="nil"/>
              <w:left w:val="nil"/>
              <w:bottom w:val="nil"/>
              <w:right w:val="nil"/>
            </w:tcBorders>
            <w:noWrap w:val="0"/>
            <w:tcMar>
              <w:top w:w="-1" w:type="dxa"/>
              <w:left w:w="-1" w:type="dxa"/>
              <w:bottom w:w="-1" w:type="dxa"/>
              <w:right w:w="-1" w:type="dxa"/>
            </w:tcMar>
            <w:vAlign w:val="center"/>
          </w:tcPr>
          <w:p w14:paraId="071C6F93">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Negative / Negative / Negative</w:t>
            </w:r>
          </w:p>
        </w:tc>
        <w:tc>
          <w:tcPr>
            <w:tcW w:w="682" w:type="pct"/>
            <w:tcBorders>
              <w:top w:val="nil"/>
              <w:left w:val="nil"/>
              <w:bottom w:val="nil"/>
              <w:right w:val="nil"/>
            </w:tcBorders>
            <w:noWrap w:val="0"/>
            <w:tcMar>
              <w:top w:w="-1" w:type="dxa"/>
              <w:left w:w="-1" w:type="dxa"/>
              <w:bottom w:w="-1" w:type="dxa"/>
              <w:right w:w="-1" w:type="dxa"/>
            </w:tcMar>
            <w:vAlign w:val="center"/>
          </w:tcPr>
          <w:p w14:paraId="641F6585">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Yes</w:t>
            </w:r>
          </w:p>
        </w:tc>
      </w:tr>
      <w:tr w14:paraId="515AB603">
        <w:tblPrEx>
          <w:tblCellMar>
            <w:top w:w="0" w:type="dxa"/>
            <w:left w:w="108" w:type="dxa"/>
            <w:bottom w:w="0" w:type="dxa"/>
            <w:right w:w="108" w:type="dxa"/>
          </w:tblCellMar>
        </w:tblPrEx>
        <w:trPr>
          <w:trHeight w:val="0" w:hRule="atLeast"/>
          <w:jc w:val="center"/>
        </w:trPr>
        <w:tc>
          <w:tcPr>
            <w:tcW w:w="641" w:type="pct"/>
            <w:tcBorders>
              <w:top w:val="nil"/>
              <w:left w:val="nil"/>
              <w:bottom w:val="nil"/>
              <w:right w:val="nil"/>
            </w:tcBorders>
            <w:noWrap w:val="0"/>
            <w:tcMar>
              <w:top w:w="-1" w:type="dxa"/>
              <w:left w:w="-1" w:type="dxa"/>
              <w:bottom w:w="-1" w:type="dxa"/>
              <w:right w:w="-1" w:type="dxa"/>
            </w:tcMar>
            <w:vAlign w:val="center"/>
          </w:tcPr>
          <w:p w14:paraId="244B6AFC">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S6</w:t>
            </w:r>
          </w:p>
        </w:tc>
        <w:tc>
          <w:tcPr>
            <w:tcW w:w="834" w:type="pct"/>
            <w:tcBorders>
              <w:top w:val="nil"/>
              <w:left w:val="nil"/>
              <w:bottom w:val="nil"/>
              <w:right w:val="nil"/>
            </w:tcBorders>
            <w:noWrap w:val="0"/>
            <w:tcMar>
              <w:top w:w="-1" w:type="dxa"/>
              <w:left w:w="-1" w:type="dxa"/>
              <w:bottom w:w="-1" w:type="dxa"/>
              <w:right w:w="-1" w:type="dxa"/>
            </w:tcMar>
            <w:vAlign w:val="center"/>
          </w:tcPr>
          <w:p w14:paraId="4C7657FA">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Non-cancer</w:t>
            </w:r>
          </w:p>
        </w:tc>
        <w:tc>
          <w:tcPr>
            <w:tcW w:w="1367" w:type="pct"/>
            <w:tcBorders>
              <w:top w:val="nil"/>
              <w:left w:val="nil"/>
              <w:bottom w:val="nil"/>
              <w:right w:val="nil"/>
            </w:tcBorders>
            <w:noWrap w:val="0"/>
            <w:tcMar>
              <w:top w:w="-1" w:type="dxa"/>
              <w:left w:w="-1" w:type="dxa"/>
              <w:bottom w:w="-1" w:type="dxa"/>
              <w:right w:w="-1" w:type="dxa"/>
            </w:tcMar>
            <w:vAlign w:val="center"/>
          </w:tcPr>
          <w:p w14:paraId="7FFCCE26">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&lt;5</w:t>
            </w:r>
          </w:p>
        </w:tc>
        <w:tc>
          <w:tcPr>
            <w:tcW w:w="1473" w:type="pct"/>
            <w:tcBorders>
              <w:top w:val="nil"/>
              <w:left w:val="nil"/>
              <w:bottom w:val="nil"/>
              <w:right w:val="nil"/>
            </w:tcBorders>
            <w:noWrap w:val="0"/>
            <w:tcMar>
              <w:top w:w="-1" w:type="dxa"/>
              <w:left w:w="-1" w:type="dxa"/>
              <w:bottom w:w="-1" w:type="dxa"/>
              <w:right w:w="-1" w:type="dxa"/>
            </w:tcMar>
            <w:vAlign w:val="center"/>
          </w:tcPr>
          <w:p w14:paraId="5FA81AA0">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Negative / Negative / Negative</w:t>
            </w:r>
          </w:p>
        </w:tc>
        <w:tc>
          <w:tcPr>
            <w:tcW w:w="682" w:type="pct"/>
            <w:tcBorders>
              <w:top w:val="nil"/>
              <w:left w:val="nil"/>
              <w:bottom w:val="nil"/>
              <w:right w:val="nil"/>
            </w:tcBorders>
            <w:noWrap w:val="0"/>
            <w:tcMar>
              <w:top w:w="-1" w:type="dxa"/>
              <w:left w:w="-1" w:type="dxa"/>
              <w:bottom w:w="-1" w:type="dxa"/>
              <w:right w:w="-1" w:type="dxa"/>
            </w:tcMar>
            <w:vAlign w:val="center"/>
          </w:tcPr>
          <w:p w14:paraId="4C937836">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Yes</w:t>
            </w:r>
          </w:p>
        </w:tc>
      </w:tr>
      <w:tr w14:paraId="10AB045D">
        <w:tblPrEx>
          <w:tblCellMar>
            <w:top w:w="0" w:type="dxa"/>
            <w:left w:w="108" w:type="dxa"/>
            <w:bottom w:w="0" w:type="dxa"/>
            <w:right w:w="108" w:type="dxa"/>
          </w:tblCellMar>
        </w:tblPrEx>
        <w:trPr>
          <w:trHeight w:val="0" w:hRule="atLeast"/>
          <w:jc w:val="center"/>
        </w:trPr>
        <w:tc>
          <w:tcPr>
            <w:tcW w:w="641" w:type="pct"/>
            <w:tcBorders>
              <w:top w:val="nil"/>
              <w:left w:val="nil"/>
              <w:bottom w:val="nil"/>
              <w:right w:val="nil"/>
            </w:tcBorders>
            <w:noWrap w:val="0"/>
            <w:tcMar>
              <w:top w:w="-1" w:type="dxa"/>
              <w:left w:w="-1" w:type="dxa"/>
              <w:bottom w:w="-1" w:type="dxa"/>
              <w:right w:w="-1" w:type="dxa"/>
            </w:tcMar>
            <w:vAlign w:val="center"/>
          </w:tcPr>
          <w:p w14:paraId="509FA878">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S7</w:t>
            </w:r>
          </w:p>
        </w:tc>
        <w:tc>
          <w:tcPr>
            <w:tcW w:w="834" w:type="pct"/>
            <w:tcBorders>
              <w:top w:val="nil"/>
              <w:left w:val="nil"/>
              <w:bottom w:val="nil"/>
              <w:right w:val="nil"/>
            </w:tcBorders>
            <w:noWrap w:val="0"/>
            <w:tcMar>
              <w:top w:w="-1" w:type="dxa"/>
              <w:left w:w="-1" w:type="dxa"/>
              <w:bottom w:w="-1" w:type="dxa"/>
              <w:right w:w="-1" w:type="dxa"/>
            </w:tcMar>
            <w:vAlign w:val="center"/>
          </w:tcPr>
          <w:p w14:paraId="2045C1A4">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Bladder cancer</w:t>
            </w:r>
          </w:p>
        </w:tc>
        <w:tc>
          <w:tcPr>
            <w:tcW w:w="1367" w:type="pct"/>
            <w:tcBorders>
              <w:top w:val="nil"/>
              <w:left w:val="nil"/>
              <w:bottom w:val="nil"/>
              <w:right w:val="nil"/>
            </w:tcBorders>
            <w:noWrap w:val="0"/>
            <w:tcMar>
              <w:top w:w="-1" w:type="dxa"/>
              <w:left w:w="-1" w:type="dxa"/>
              <w:bottom w:w="-1" w:type="dxa"/>
              <w:right w:w="-1" w:type="dxa"/>
            </w:tcMar>
            <w:vAlign w:val="center"/>
          </w:tcPr>
          <w:p w14:paraId="5C4D3617">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&lt;5</w:t>
            </w:r>
          </w:p>
        </w:tc>
        <w:tc>
          <w:tcPr>
            <w:tcW w:w="1473" w:type="pct"/>
            <w:tcBorders>
              <w:top w:val="nil"/>
              <w:left w:val="nil"/>
              <w:bottom w:val="nil"/>
              <w:right w:val="nil"/>
            </w:tcBorders>
            <w:noWrap w:val="0"/>
            <w:tcMar>
              <w:top w:w="-1" w:type="dxa"/>
              <w:left w:w="-1" w:type="dxa"/>
              <w:bottom w:w="-1" w:type="dxa"/>
              <w:right w:w="-1" w:type="dxa"/>
            </w:tcMar>
            <w:vAlign w:val="center"/>
          </w:tcPr>
          <w:p w14:paraId="626934C6">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Positive / Positive / Positive</w:t>
            </w:r>
          </w:p>
        </w:tc>
        <w:tc>
          <w:tcPr>
            <w:tcW w:w="682" w:type="pct"/>
            <w:tcBorders>
              <w:top w:val="nil"/>
              <w:left w:val="nil"/>
              <w:bottom w:val="nil"/>
              <w:right w:val="nil"/>
            </w:tcBorders>
            <w:noWrap w:val="0"/>
            <w:tcMar>
              <w:top w:w="-1" w:type="dxa"/>
              <w:left w:w="-1" w:type="dxa"/>
              <w:bottom w:w="-1" w:type="dxa"/>
              <w:right w:w="-1" w:type="dxa"/>
            </w:tcMar>
            <w:vAlign w:val="center"/>
          </w:tcPr>
          <w:p w14:paraId="719A9D54">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Yes</w:t>
            </w:r>
          </w:p>
        </w:tc>
      </w:tr>
      <w:tr w14:paraId="790DAA1A">
        <w:tblPrEx>
          <w:tblCellMar>
            <w:top w:w="0" w:type="dxa"/>
            <w:left w:w="108" w:type="dxa"/>
            <w:bottom w:w="0" w:type="dxa"/>
            <w:right w:w="108" w:type="dxa"/>
          </w:tblCellMar>
        </w:tblPrEx>
        <w:trPr>
          <w:trHeight w:val="0" w:hRule="atLeast"/>
          <w:jc w:val="center"/>
        </w:trPr>
        <w:tc>
          <w:tcPr>
            <w:tcW w:w="641" w:type="pct"/>
            <w:tcBorders>
              <w:top w:val="nil"/>
              <w:left w:val="nil"/>
              <w:bottom w:val="single" w:color="auto" w:sz="12" w:space="0"/>
              <w:right w:val="nil"/>
            </w:tcBorders>
            <w:noWrap w:val="0"/>
            <w:tcMar>
              <w:top w:w="-1" w:type="dxa"/>
              <w:left w:w="-1" w:type="dxa"/>
              <w:bottom w:w="-1" w:type="dxa"/>
              <w:right w:w="-1" w:type="dxa"/>
            </w:tcMar>
            <w:vAlign w:val="center"/>
          </w:tcPr>
          <w:p w14:paraId="407DD632">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S8</w:t>
            </w:r>
          </w:p>
        </w:tc>
        <w:tc>
          <w:tcPr>
            <w:tcW w:w="834" w:type="pct"/>
            <w:tcBorders>
              <w:top w:val="nil"/>
              <w:left w:val="nil"/>
              <w:bottom w:val="single" w:color="auto" w:sz="12" w:space="0"/>
              <w:right w:val="nil"/>
            </w:tcBorders>
            <w:noWrap w:val="0"/>
            <w:tcMar>
              <w:top w:w="-1" w:type="dxa"/>
              <w:left w:w="-1" w:type="dxa"/>
              <w:bottom w:w="-1" w:type="dxa"/>
              <w:right w:w="-1" w:type="dxa"/>
            </w:tcMar>
            <w:vAlign w:val="center"/>
          </w:tcPr>
          <w:p w14:paraId="18E79AF5">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Bladder cancer</w:t>
            </w:r>
          </w:p>
        </w:tc>
        <w:tc>
          <w:tcPr>
            <w:tcW w:w="1367" w:type="pct"/>
            <w:tcBorders>
              <w:top w:val="nil"/>
              <w:left w:val="nil"/>
              <w:bottom w:val="single" w:color="auto" w:sz="12" w:space="0"/>
              <w:right w:val="nil"/>
            </w:tcBorders>
            <w:noWrap w:val="0"/>
            <w:tcMar>
              <w:top w:w="-1" w:type="dxa"/>
              <w:left w:w="-1" w:type="dxa"/>
              <w:bottom w:w="-1" w:type="dxa"/>
              <w:right w:w="-1" w:type="dxa"/>
            </w:tcMar>
            <w:vAlign w:val="center"/>
          </w:tcPr>
          <w:p w14:paraId="3D37BEFF">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&lt;5</w:t>
            </w:r>
          </w:p>
        </w:tc>
        <w:tc>
          <w:tcPr>
            <w:tcW w:w="1473" w:type="pct"/>
            <w:tcBorders>
              <w:top w:val="nil"/>
              <w:left w:val="nil"/>
              <w:bottom w:val="single" w:color="auto" w:sz="12" w:space="0"/>
              <w:right w:val="nil"/>
            </w:tcBorders>
            <w:noWrap w:val="0"/>
            <w:tcMar>
              <w:top w:w="-1" w:type="dxa"/>
              <w:left w:w="-1" w:type="dxa"/>
              <w:bottom w:w="-1" w:type="dxa"/>
              <w:right w:w="-1" w:type="dxa"/>
            </w:tcMar>
            <w:vAlign w:val="center"/>
          </w:tcPr>
          <w:p w14:paraId="39AB5FD4">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Positive / Positive / Positive</w:t>
            </w:r>
          </w:p>
        </w:tc>
        <w:tc>
          <w:tcPr>
            <w:tcW w:w="682" w:type="pct"/>
            <w:tcBorders>
              <w:top w:val="nil"/>
              <w:left w:val="nil"/>
              <w:bottom w:val="single" w:color="auto" w:sz="12" w:space="0"/>
              <w:right w:val="nil"/>
            </w:tcBorders>
            <w:noWrap w:val="0"/>
            <w:tcMar>
              <w:top w:w="-1" w:type="dxa"/>
              <w:left w:w="-1" w:type="dxa"/>
              <w:bottom w:w="-1" w:type="dxa"/>
              <w:right w:w="-1" w:type="dxa"/>
            </w:tcMar>
            <w:vAlign w:val="center"/>
          </w:tcPr>
          <w:p w14:paraId="54696408">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Yes</w:t>
            </w:r>
          </w:p>
        </w:tc>
      </w:tr>
    </w:tbl>
    <w:p w14:paraId="529301DB">
      <w:pPr>
        <w:rPr>
          <w:rFonts w:ascii="Times New Roman" w:hAnsi="Times New Roman" w:cs="Times New Roman"/>
          <w:i/>
          <w:iCs/>
          <w:sz w:val="21"/>
          <w:szCs w:val="21"/>
        </w:rPr>
      </w:pPr>
      <w:r>
        <w:rPr>
          <w:rFonts w:ascii="Times New Roman" w:hAnsi="Times New Roman" w:cs="Times New Roman"/>
          <w:i/>
          <w:iCs/>
          <w:sz w:val="21"/>
          <w:szCs w:val="21"/>
        </w:rPr>
        <w:t>Across all eight samples the ACTB internal-control Ct values showed a coefficient of variation below 5% at 0, 3, and 7 days of room-temperature storage, and the PUCD call was identical at the three time points (all six non-cancer samples negative; both bladder-cancer samples positive). This indicates that urine DNA methylation measurements are stable under room-temperature storage for at least 7 days, well beyond the 72-hour processing window used in the present study.</w:t>
      </w:r>
    </w:p>
    <w:p w14:paraId="3E9A7680">
      <w:pPr>
        <w:spacing w:line="240" w:lineRule="auto"/>
        <w:rPr>
          <w:rFonts w:ascii="Times New Roman" w:hAnsi="Times New Roman"/>
          <w:b/>
          <w:sz w:val="21"/>
        </w:rPr>
      </w:pPr>
    </w:p>
    <w:p w14:paraId="1F952256">
      <w:pPr>
        <w:spacing w:line="240" w:lineRule="auto"/>
      </w:pPr>
      <w:r>
        <w:rPr>
          <w:rFonts w:ascii="Times New Roman" w:hAnsi="Times New Roman"/>
          <w:b/>
          <w:sz w:val="21"/>
        </w:rPr>
        <w:t>Table S</w:t>
      </w:r>
      <w:r>
        <w:rPr>
          <w:rFonts w:hint="eastAsia" w:ascii="Times New Roman" w:hAnsi="Times New Roman"/>
          <w:b/>
          <w:sz w:val="21"/>
          <w:lang w:val="en-US" w:eastAsia="zh-CN"/>
        </w:rPr>
        <w:t>2</w:t>
      </w:r>
      <w:r>
        <w:rPr>
          <w:rFonts w:ascii="Times New Roman" w:hAnsi="Times New Roman"/>
          <w:b/>
          <w:sz w:val="21"/>
        </w:rPr>
        <w:t>. Comparison of Methylation Quantification Methods for the Four-Gene Panel</w:t>
      </w:r>
    </w:p>
    <w:tbl>
      <w:tblPr>
        <w:tblStyle w:val="4"/>
        <w:tblW w:w="526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06"/>
        <w:gridCol w:w="1736"/>
        <w:gridCol w:w="1904"/>
        <w:gridCol w:w="1562"/>
        <w:gridCol w:w="1562"/>
      </w:tblGrid>
      <w:tr w14:paraId="039B1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229" w:type="pct"/>
            <w:tcBorders>
              <w:top w:val="single" w:color="000000" w:sz="12" w:space="0"/>
              <w:left w:val="nil"/>
              <w:bottom w:val="nil"/>
              <w:right w:val="nil"/>
              <w:insideH w:val="nil"/>
              <w:insideV w:val="nil"/>
            </w:tcBorders>
            <w:noWrap w:val="0"/>
            <w:tcMar>
              <w:top w:w="-1" w:type="dxa"/>
              <w:left w:w="-1" w:type="dxa"/>
              <w:bottom w:w="-1" w:type="dxa"/>
              <w:right w:w="-1" w:type="dxa"/>
            </w:tcMar>
            <w:vAlign w:val="top"/>
          </w:tcPr>
          <w:p w14:paraId="72647D09">
            <w:pPr>
              <w:snapToGrid w:val="0"/>
              <w:spacing w:line="240" w:lineRule="auto"/>
              <w:jc w:val="center"/>
            </w:pPr>
            <w:r>
              <w:rPr>
                <w:rFonts w:ascii="Times New Roman" w:hAnsi="Times New Roman"/>
                <w:b/>
                <w:sz w:val="18"/>
              </w:rPr>
              <w:t>Method</w:t>
            </w:r>
          </w:p>
        </w:tc>
        <w:tc>
          <w:tcPr>
            <w:tcW w:w="967" w:type="pct"/>
            <w:tcBorders>
              <w:top w:val="single" w:color="000000" w:sz="12" w:space="0"/>
              <w:left w:val="nil"/>
              <w:bottom w:val="nil"/>
              <w:right w:val="nil"/>
              <w:insideH w:val="nil"/>
              <w:insideV w:val="nil"/>
            </w:tcBorders>
            <w:noWrap w:val="0"/>
            <w:tcMar>
              <w:top w:w="-1" w:type="dxa"/>
              <w:left w:w="-1" w:type="dxa"/>
              <w:bottom w:w="-1" w:type="dxa"/>
              <w:right w:w="-1" w:type="dxa"/>
            </w:tcMar>
            <w:vAlign w:val="top"/>
          </w:tcPr>
          <w:p w14:paraId="21D18A67">
            <w:pPr>
              <w:snapToGrid w:val="0"/>
              <w:spacing w:line="240" w:lineRule="auto"/>
              <w:jc w:val="center"/>
            </w:pPr>
            <w:r>
              <w:rPr>
                <w:rFonts w:ascii="Times New Roman" w:hAnsi="Times New Roman"/>
                <w:b/>
                <w:sz w:val="18"/>
              </w:rPr>
              <w:t>Training AUC</w:t>
            </w:r>
            <w:r>
              <w:rPr>
                <w:rFonts w:ascii="Times New Roman" w:hAnsi="Times New Roman"/>
                <w:b/>
                <w:sz w:val="18"/>
              </w:rPr>
              <w:br w:type="textWrapping"/>
            </w:r>
            <w:r>
              <w:rPr>
                <w:rFonts w:ascii="Times New Roman" w:hAnsi="Times New Roman"/>
                <w:b/>
                <w:sz w:val="18"/>
              </w:rPr>
              <w:t>(95% CI)</w:t>
            </w:r>
          </w:p>
        </w:tc>
        <w:tc>
          <w:tcPr>
            <w:tcW w:w="1061" w:type="pct"/>
            <w:tcBorders>
              <w:top w:val="single" w:color="000000" w:sz="12" w:space="0"/>
              <w:left w:val="nil"/>
              <w:bottom w:val="nil"/>
              <w:right w:val="nil"/>
              <w:insideH w:val="nil"/>
              <w:insideV w:val="nil"/>
            </w:tcBorders>
            <w:noWrap w:val="0"/>
            <w:tcMar>
              <w:top w:w="-1" w:type="dxa"/>
              <w:left w:w="-1" w:type="dxa"/>
              <w:bottom w:w="-1" w:type="dxa"/>
              <w:right w:w="-1" w:type="dxa"/>
            </w:tcMar>
            <w:vAlign w:val="top"/>
          </w:tcPr>
          <w:p w14:paraId="11B11128">
            <w:pPr>
              <w:snapToGrid w:val="0"/>
              <w:spacing w:line="240" w:lineRule="auto"/>
              <w:jc w:val="center"/>
            </w:pPr>
            <w:r>
              <w:rPr>
                <w:rFonts w:ascii="Times New Roman" w:hAnsi="Times New Roman"/>
                <w:b/>
                <w:sz w:val="18"/>
              </w:rPr>
              <w:t>Validation AUC</w:t>
            </w:r>
            <w:r>
              <w:rPr>
                <w:rFonts w:ascii="Times New Roman" w:hAnsi="Times New Roman"/>
                <w:b/>
                <w:sz w:val="18"/>
              </w:rPr>
              <w:br w:type="textWrapping"/>
            </w:r>
            <w:r>
              <w:rPr>
                <w:rFonts w:ascii="Times New Roman" w:hAnsi="Times New Roman"/>
                <w:b/>
                <w:sz w:val="18"/>
              </w:rPr>
              <w:t>(95% CI)</w:t>
            </w:r>
          </w:p>
        </w:tc>
        <w:tc>
          <w:tcPr>
            <w:tcW w:w="870" w:type="pct"/>
            <w:tcBorders>
              <w:top w:val="single" w:color="000000" w:sz="12" w:space="0"/>
              <w:left w:val="nil"/>
              <w:bottom w:val="nil"/>
              <w:right w:val="nil"/>
              <w:insideH w:val="nil"/>
              <w:insideV w:val="nil"/>
            </w:tcBorders>
            <w:noWrap w:val="0"/>
            <w:tcMar>
              <w:top w:w="-1" w:type="dxa"/>
              <w:left w:w="-1" w:type="dxa"/>
              <w:bottom w:w="-1" w:type="dxa"/>
              <w:right w:w="-1" w:type="dxa"/>
            </w:tcMar>
            <w:vAlign w:val="top"/>
          </w:tcPr>
          <w:p w14:paraId="2490EA1F">
            <w:pPr>
              <w:snapToGrid w:val="0"/>
              <w:spacing w:line="240" w:lineRule="auto"/>
              <w:jc w:val="center"/>
            </w:pPr>
            <w:r>
              <w:rPr>
                <w:rFonts w:ascii="Times New Roman" w:hAnsi="Times New Roman"/>
                <w:b/>
                <w:sz w:val="18"/>
              </w:rPr>
              <w:t>Sensitivity</w:t>
            </w:r>
            <w:r>
              <w:rPr>
                <w:rFonts w:ascii="Times New Roman" w:hAnsi="Times New Roman"/>
                <w:b/>
                <w:sz w:val="18"/>
              </w:rPr>
              <w:br w:type="textWrapping"/>
            </w:r>
            <w:r>
              <w:rPr>
                <w:rFonts w:ascii="Times New Roman" w:hAnsi="Times New Roman"/>
                <w:b/>
                <w:sz w:val="18"/>
              </w:rPr>
              <w:t>(95% CI)</w:t>
            </w:r>
          </w:p>
        </w:tc>
        <w:tc>
          <w:tcPr>
            <w:tcW w:w="870" w:type="pct"/>
            <w:tcBorders>
              <w:top w:val="single" w:color="000000" w:sz="12" w:space="0"/>
              <w:left w:val="nil"/>
              <w:bottom w:val="nil"/>
              <w:right w:val="nil"/>
              <w:insideH w:val="nil"/>
              <w:insideV w:val="nil"/>
            </w:tcBorders>
            <w:noWrap w:val="0"/>
            <w:tcMar>
              <w:top w:w="-1" w:type="dxa"/>
              <w:left w:w="-1" w:type="dxa"/>
              <w:bottom w:w="-1" w:type="dxa"/>
              <w:right w:w="-1" w:type="dxa"/>
            </w:tcMar>
            <w:vAlign w:val="top"/>
          </w:tcPr>
          <w:p w14:paraId="2ED995DB">
            <w:pPr>
              <w:snapToGrid w:val="0"/>
              <w:spacing w:line="240" w:lineRule="auto"/>
              <w:jc w:val="center"/>
            </w:pPr>
            <w:r>
              <w:rPr>
                <w:rFonts w:ascii="Times New Roman" w:hAnsi="Times New Roman"/>
                <w:b/>
                <w:sz w:val="18"/>
              </w:rPr>
              <w:t>Specificity</w:t>
            </w:r>
            <w:r>
              <w:rPr>
                <w:rFonts w:ascii="Times New Roman" w:hAnsi="Times New Roman"/>
                <w:b/>
                <w:sz w:val="18"/>
              </w:rPr>
              <w:br w:type="textWrapping"/>
            </w:r>
            <w:r>
              <w:rPr>
                <w:rFonts w:ascii="Times New Roman" w:hAnsi="Times New Roman"/>
                <w:b/>
                <w:sz w:val="18"/>
              </w:rPr>
              <w:t>(95% CI)</w:t>
            </w:r>
          </w:p>
        </w:tc>
      </w:tr>
      <w:tr w14:paraId="2A5A5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229" w:type="pct"/>
            <w:tcBorders>
              <w:top w:val="single" w:color="auto" w:sz="4" w:space="0"/>
              <w:left w:val="nil"/>
              <w:bottom w:val="nil"/>
              <w:right w:val="nil"/>
              <w:insideH w:val="nil"/>
              <w:insideV w:val="nil"/>
            </w:tcBorders>
            <w:noWrap w:val="0"/>
            <w:tcMar>
              <w:top w:w="-1" w:type="dxa"/>
              <w:left w:w="-1" w:type="dxa"/>
              <w:bottom w:w="-1" w:type="dxa"/>
              <w:right w:w="-1" w:type="dxa"/>
            </w:tcMar>
            <w:vAlign w:val="top"/>
          </w:tcPr>
          <w:p w14:paraId="0AF95D97">
            <w:pPr>
              <w:snapToGrid w:val="0"/>
              <w:spacing w:line="240" w:lineRule="auto"/>
              <w:jc w:val="center"/>
            </w:pPr>
            <w:r>
              <w:rPr>
                <w:rFonts w:ascii="Times New Roman" w:hAnsi="Times New Roman"/>
                <w:sz w:val="18"/>
              </w:rPr>
              <w:t>Raw delta</w:t>
            </w:r>
            <w:r>
              <w:rPr>
                <w:rFonts w:ascii="Times New Roman" w:hAnsi="Times New Roman"/>
                <w:sz w:val="18"/>
              </w:rPr>
              <w:br w:type="textWrapping"/>
            </w:r>
            <w:r>
              <w:rPr>
                <w:rFonts w:ascii="Times New Roman" w:hAnsi="Times New Roman"/>
                <w:sz w:val="18"/>
              </w:rPr>
              <w:t>(50 - Ct)</w:t>
            </w:r>
          </w:p>
        </w:tc>
        <w:tc>
          <w:tcPr>
            <w:tcW w:w="967" w:type="pct"/>
            <w:tcBorders>
              <w:top w:val="single" w:color="auto" w:sz="4" w:space="0"/>
              <w:left w:val="nil"/>
              <w:bottom w:val="nil"/>
              <w:right w:val="nil"/>
              <w:insideH w:val="nil"/>
              <w:insideV w:val="nil"/>
            </w:tcBorders>
            <w:noWrap w:val="0"/>
            <w:tcMar>
              <w:top w:w="-1" w:type="dxa"/>
              <w:left w:w="-1" w:type="dxa"/>
              <w:bottom w:w="-1" w:type="dxa"/>
              <w:right w:w="-1" w:type="dxa"/>
            </w:tcMar>
            <w:vAlign w:val="top"/>
          </w:tcPr>
          <w:p w14:paraId="1E9C8B13">
            <w:pPr>
              <w:snapToGrid w:val="0"/>
              <w:spacing w:line="240" w:lineRule="auto"/>
              <w:jc w:val="center"/>
            </w:pPr>
            <w:r>
              <w:rPr>
                <w:rFonts w:ascii="Times New Roman" w:hAnsi="Times New Roman"/>
                <w:sz w:val="18"/>
              </w:rPr>
              <w:t>0.9</w:t>
            </w:r>
            <w:r>
              <w:rPr>
                <w:rFonts w:hint="eastAsia" w:ascii="Times New Roman" w:hAnsi="Times New Roman"/>
                <w:sz w:val="18"/>
                <w:lang w:val="en-US" w:eastAsia="zh-CN"/>
              </w:rPr>
              <w:t>49</w:t>
            </w:r>
            <w:r>
              <w:rPr>
                <w:rFonts w:ascii="Times New Roman" w:hAnsi="Times New Roman"/>
                <w:sz w:val="18"/>
              </w:rPr>
              <w:br w:type="textWrapping"/>
            </w:r>
            <w:r>
              <w:rPr>
                <w:rFonts w:ascii="Times New Roman" w:hAnsi="Times New Roman"/>
                <w:sz w:val="18"/>
              </w:rPr>
              <w:t>(</w:t>
            </w:r>
            <w:r>
              <w:rPr>
                <w:rFonts w:hint="eastAsia" w:ascii="Times New Roman" w:hAnsi="Times New Roman"/>
                <w:sz w:val="18"/>
              </w:rPr>
              <w:t>0.929-0.970</w:t>
            </w:r>
            <w:r>
              <w:rPr>
                <w:rFonts w:ascii="Times New Roman" w:hAnsi="Times New Roman"/>
                <w:sz w:val="18"/>
              </w:rPr>
              <w:t>)</w:t>
            </w:r>
          </w:p>
        </w:tc>
        <w:tc>
          <w:tcPr>
            <w:tcW w:w="1061" w:type="pct"/>
            <w:tcBorders>
              <w:top w:val="single" w:color="auto" w:sz="4" w:space="0"/>
              <w:left w:val="nil"/>
              <w:bottom w:val="nil"/>
              <w:right w:val="nil"/>
              <w:insideH w:val="nil"/>
              <w:insideV w:val="nil"/>
            </w:tcBorders>
            <w:noWrap w:val="0"/>
            <w:tcMar>
              <w:top w:w="-1" w:type="dxa"/>
              <w:left w:w="-1" w:type="dxa"/>
              <w:bottom w:w="-1" w:type="dxa"/>
              <w:right w:w="-1" w:type="dxa"/>
            </w:tcMar>
            <w:vAlign w:val="top"/>
          </w:tcPr>
          <w:p w14:paraId="62D3C930">
            <w:pPr>
              <w:snapToGrid w:val="0"/>
              <w:spacing w:line="240" w:lineRule="auto"/>
              <w:jc w:val="center"/>
            </w:pPr>
            <w:r>
              <w:rPr>
                <w:rFonts w:ascii="Times New Roman" w:hAnsi="Times New Roman"/>
                <w:sz w:val="18"/>
              </w:rPr>
              <w:t>0.950</w:t>
            </w:r>
            <w:r>
              <w:rPr>
                <w:rFonts w:ascii="Times New Roman" w:hAnsi="Times New Roman"/>
                <w:sz w:val="18"/>
              </w:rPr>
              <w:br w:type="textWrapping"/>
            </w:r>
            <w:r>
              <w:rPr>
                <w:rFonts w:ascii="Times New Roman" w:hAnsi="Times New Roman"/>
                <w:sz w:val="18"/>
              </w:rPr>
              <w:t>(</w:t>
            </w:r>
            <w:r>
              <w:rPr>
                <w:rFonts w:hint="eastAsia" w:ascii="Times New Roman" w:hAnsi="Times New Roman"/>
                <w:sz w:val="18"/>
              </w:rPr>
              <w:t>0.913-0.987</w:t>
            </w:r>
            <w:r>
              <w:rPr>
                <w:rFonts w:ascii="Times New Roman" w:hAnsi="Times New Roman"/>
                <w:sz w:val="18"/>
              </w:rPr>
              <w:t>)</w:t>
            </w:r>
          </w:p>
        </w:tc>
        <w:tc>
          <w:tcPr>
            <w:tcW w:w="870" w:type="pct"/>
            <w:tcBorders>
              <w:top w:val="single" w:color="auto" w:sz="4" w:space="0"/>
              <w:left w:val="nil"/>
              <w:bottom w:val="nil"/>
              <w:right w:val="nil"/>
              <w:insideH w:val="nil"/>
              <w:insideV w:val="nil"/>
            </w:tcBorders>
            <w:noWrap w:val="0"/>
            <w:tcMar>
              <w:top w:w="-1" w:type="dxa"/>
              <w:left w:w="-1" w:type="dxa"/>
              <w:bottom w:w="-1" w:type="dxa"/>
              <w:right w:w="-1" w:type="dxa"/>
            </w:tcMar>
            <w:vAlign w:val="top"/>
          </w:tcPr>
          <w:p w14:paraId="68452C2D">
            <w:pPr>
              <w:snapToGrid w:val="0"/>
              <w:spacing w:line="240" w:lineRule="auto"/>
              <w:jc w:val="center"/>
            </w:pPr>
            <w:r>
              <w:rPr>
                <w:rFonts w:ascii="Times New Roman" w:hAnsi="Times New Roman"/>
                <w:sz w:val="18"/>
              </w:rPr>
              <w:t>88.1%</w:t>
            </w:r>
            <w:r>
              <w:rPr>
                <w:rFonts w:ascii="Times New Roman" w:hAnsi="Times New Roman"/>
                <w:sz w:val="18"/>
              </w:rPr>
              <w:br w:type="textWrapping"/>
            </w:r>
            <w:r>
              <w:rPr>
                <w:rFonts w:ascii="Times New Roman" w:hAnsi="Times New Roman"/>
                <w:sz w:val="18"/>
              </w:rPr>
              <w:t>(79.5-93.4%)</w:t>
            </w:r>
          </w:p>
        </w:tc>
        <w:tc>
          <w:tcPr>
            <w:tcW w:w="870" w:type="pct"/>
            <w:tcBorders>
              <w:top w:val="single" w:color="auto" w:sz="4" w:space="0"/>
              <w:left w:val="nil"/>
              <w:bottom w:val="nil"/>
              <w:right w:val="nil"/>
              <w:insideH w:val="nil"/>
              <w:insideV w:val="nil"/>
            </w:tcBorders>
            <w:noWrap w:val="0"/>
            <w:tcMar>
              <w:top w:w="-1" w:type="dxa"/>
              <w:left w:w="-1" w:type="dxa"/>
              <w:bottom w:w="-1" w:type="dxa"/>
              <w:right w:w="-1" w:type="dxa"/>
            </w:tcMar>
            <w:vAlign w:val="top"/>
          </w:tcPr>
          <w:p w14:paraId="60EFEB6D">
            <w:pPr>
              <w:snapToGrid w:val="0"/>
              <w:spacing w:line="240" w:lineRule="auto"/>
              <w:jc w:val="center"/>
            </w:pPr>
            <w:r>
              <w:rPr>
                <w:rFonts w:ascii="Times New Roman" w:hAnsi="Times New Roman"/>
                <w:sz w:val="18"/>
              </w:rPr>
              <w:t>90.0%</w:t>
            </w:r>
            <w:r>
              <w:rPr>
                <w:rFonts w:ascii="Times New Roman" w:hAnsi="Times New Roman"/>
                <w:sz w:val="18"/>
              </w:rPr>
              <w:br w:type="textWrapping"/>
            </w:r>
            <w:r>
              <w:rPr>
                <w:rFonts w:ascii="Times New Roman" w:hAnsi="Times New Roman"/>
                <w:sz w:val="18"/>
              </w:rPr>
              <w:t>(82.6-94.5%)</w:t>
            </w:r>
          </w:p>
        </w:tc>
      </w:tr>
      <w:tr w14:paraId="212A1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229" w:type="pct"/>
            <w:tcBorders>
              <w:top w:val="nil"/>
              <w:left w:val="nil"/>
              <w:bottom w:val="single" w:color="000000" w:sz="12" w:space="0"/>
              <w:right w:val="nil"/>
              <w:insideH w:val="nil"/>
              <w:insideV w:val="nil"/>
            </w:tcBorders>
            <w:noWrap w:val="0"/>
            <w:tcMar>
              <w:top w:w="-1" w:type="dxa"/>
              <w:left w:w="-1" w:type="dxa"/>
              <w:bottom w:w="-1" w:type="dxa"/>
              <w:right w:w="-1" w:type="dxa"/>
            </w:tcMar>
            <w:vAlign w:val="top"/>
          </w:tcPr>
          <w:p w14:paraId="508C5E56">
            <w:pPr>
              <w:snapToGrid w:val="0"/>
              <w:spacing w:line="240" w:lineRule="auto"/>
              <w:jc w:val="center"/>
            </w:pPr>
            <w:r>
              <w:rPr>
                <w:rFonts w:ascii="Times New Roman" w:hAnsi="Times New Roman"/>
                <w:sz w:val="18"/>
              </w:rPr>
              <w:t>delta Ct</w:t>
            </w:r>
            <w:r>
              <w:rPr>
                <w:rFonts w:ascii="Times New Roman" w:hAnsi="Times New Roman"/>
                <w:sz w:val="18"/>
              </w:rPr>
              <w:br w:type="textWrapping"/>
            </w:r>
            <w:r>
              <w:rPr>
                <w:rFonts w:ascii="Times New Roman" w:hAnsi="Times New Roman"/>
                <w:sz w:val="18"/>
              </w:rPr>
              <w:t>(flipped)</w:t>
            </w:r>
          </w:p>
        </w:tc>
        <w:tc>
          <w:tcPr>
            <w:tcW w:w="967" w:type="pct"/>
            <w:tcBorders>
              <w:top w:val="nil"/>
              <w:left w:val="nil"/>
              <w:bottom w:val="single" w:color="000000" w:sz="12" w:space="0"/>
              <w:right w:val="nil"/>
              <w:insideH w:val="nil"/>
              <w:insideV w:val="nil"/>
            </w:tcBorders>
            <w:noWrap w:val="0"/>
            <w:tcMar>
              <w:top w:w="-1" w:type="dxa"/>
              <w:left w:w="-1" w:type="dxa"/>
              <w:bottom w:w="-1" w:type="dxa"/>
              <w:right w:w="-1" w:type="dxa"/>
            </w:tcMar>
            <w:vAlign w:val="top"/>
          </w:tcPr>
          <w:p w14:paraId="102B3B80">
            <w:pPr>
              <w:snapToGrid w:val="0"/>
              <w:spacing w:line="240" w:lineRule="auto"/>
              <w:jc w:val="center"/>
            </w:pPr>
            <w:r>
              <w:rPr>
                <w:rFonts w:ascii="Times New Roman" w:hAnsi="Times New Roman"/>
                <w:sz w:val="18"/>
              </w:rPr>
              <w:t>0.937</w:t>
            </w:r>
            <w:r>
              <w:rPr>
                <w:rFonts w:ascii="Times New Roman" w:hAnsi="Times New Roman"/>
                <w:sz w:val="18"/>
              </w:rPr>
              <w:br w:type="textWrapping"/>
            </w:r>
            <w:r>
              <w:rPr>
                <w:rFonts w:ascii="Times New Roman" w:hAnsi="Times New Roman"/>
                <w:sz w:val="18"/>
              </w:rPr>
              <w:t>(0.91</w:t>
            </w:r>
            <w:r>
              <w:rPr>
                <w:rFonts w:hint="eastAsia" w:ascii="Times New Roman" w:hAnsi="Times New Roman"/>
                <w:sz w:val="18"/>
                <w:lang w:val="en-US" w:eastAsia="zh-CN"/>
              </w:rPr>
              <w:t>3</w:t>
            </w:r>
            <w:r>
              <w:rPr>
                <w:rFonts w:ascii="Times New Roman" w:hAnsi="Times New Roman"/>
                <w:sz w:val="18"/>
              </w:rPr>
              <w:t>-0.96</w:t>
            </w:r>
            <w:r>
              <w:rPr>
                <w:rFonts w:hint="eastAsia" w:ascii="Times New Roman" w:hAnsi="Times New Roman"/>
                <w:sz w:val="18"/>
                <w:lang w:val="en-US" w:eastAsia="zh-CN"/>
              </w:rPr>
              <w:t>1</w:t>
            </w:r>
            <w:r>
              <w:rPr>
                <w:rFonts w:ascii="Times New Roman" w:hAnsi="Times New Roman"/>
                <w:sz w:val="18"/>
              </w:rPr>
              <w:t>)</w:t>
            </w:r>
          </w:p>
        </w:tc>
        <w:tc>
          <w:tcPr>
            <w:tcW w:w="1061" w:type="pct"/>
            <w:tcBorders>
              <w:top w:val="nil"/>
              <w:left w:val="nil"/>
              <w:bottom w:val="single" w:color="000000" w:sz="12" w:space="0"/>
              <w:right w:val="nil"/>
              <w:insideH w:val="nil"/>
              <w:insideV w:val="nil"/>
            </w:tcBorders>
            <w:noWrap w:val="0"/>
            <w:tcMar>
              <w:top w:w="-1" w:type="dxa"/>
              <w:left w:w="-1" w:type="dxa"/>
              <w:bottom w:w="-1" w:type="dxa"/>
              <w:right w:w="-1" w:type="dxa"/>
            </w:tcMar>
            <w:vAlign w:val="top"/>
          </w:tcPr>
          <w:p w14:paraId="176FAC24">
            <w:pPr>
              <w:snapToGrid w:val="0"/>
              <w:spacing w:line="240" w:lineRule="auto"/>
              <w:jc w:val="center"/>
            </w:pPr>
            <w:r>
              <w:rPr>
                <w:rFonts w:ascii="Times New Roman" w:hAnsi="Times New Roman"/>
                <w:sz w:val="18"/>
              </w:rPr>
              <w:t>0.924</w:t>
            </w:r>
            <w:r>
              <w:rPr>
                <w:rFonts w:ascii="Times New Roman" w:hAnsi="Times New Roman"/>
                <w:sz w:val="18"/>
              </w:rPr>
              <w:br w:type="textWrapping"/>
            </w:r>
            <w:r>
              <w:rPr>
                <w:rFonts w:ascii="Times New Roman" w:hAnsi="Times New Roman"/>
                <w:sz w:val="18"/>
              </w:rPr>
              <w:t>(0.8</w:t>
            </w:r>
            <w:r>
              <w:rPr>
                <w:rFonts w:hint="eastAsia" w:ascii="Times New Roman" w:hAnsi="Times New Roman"/>
                <w:sz w:val="18"/>
                <w:lang w:val="en-US" w:eastAsia="zh-CN"/>
              </w:rPr>
              <w:t>80</w:t>
            </w:r>
            <w:r>
              <w:rPr>
                <w:rFonts w:ascii="Times New Roman" w:hAnsi="Times New Roman"/>
                <w:sz w:val="18"/>
              </w:rPr>
              <w:t>-0.96</w:t>
            </w:r>
            <w:r>
              <w:rPr>
                <w:rFonts w:hint="eastAsia" w:ascii="Times New Roman" w:hAnsi="Times New Roman"/>
                <w:sz w:val="18"/>
                <w:lang w:val="en-US" w:eastAsia="zh-CN"/>
              </w:rPr>
              <w:t>8</w:t>
            </w:r>
            <w:r>
              <w:rPr>
                <w:rFonts w:ascii="Times New Roman" w:hAnsi="Times New Roman"/>
                <w:sz w:val="18"/>
              </w:rPr>
              <w:t>)</w:t>
            </w:r>
          </w:p>
        </w:tc>
        <w:tc>
          <w:tcPr>
            <w:tcW w:w="870" w:type="pct"/>
            <w:tcBorders>
              <w:top w:val="nil"/>
              <w:left w:val="nil"/>
              <w:bottom w:val="single" w:color="000000" w:sz="12" w:space="0"/>
              <w:right w:val="nil"/>
              <w:insideH w:val="nil"/>
              <w:insideV w:val="nil"/>
            </w:tcBorders>
            <w:noWrap w:val="0"/>
            <w:tcMar>
              <w:top w:w="-1" w:type="dxa"/>
              <w:left w:w="-1" w:type="dxa"/>
              <w:bottom w:w="-1" w:type="dxa"/>
              <w:right w:w="-1" w:type="dxa"/>
            </w:tcMar>
            <w:vAlign w:val="top"/>
          </w:tcPr>
          <w:p w14:paraId="264651A7">
            <w:pPr>
              <w:snapToGrid w:val="0"/>
              <w:spacing w:line="240" w:lineRule="auto"/>
              <w:jc w:val="center"/>
            </w:pPr>
            <w:r>
              <w:rPr>
                <w:rFonts w:ascii="Times New Roman" w:hAnsi="Times New Roman"/>
                <w:sz w:val="18"/>
              </w:rPr>
              <w:t>76.2%</w:t>
            </w:r>
            <w:r>
              <w:rPr>
                <w:rFonts w:ascii="Times New Roman" w:hAnsi="Times New Roman"/>
                <w:sz w:val="18"/>
              </w:rPr>
              <w:br w:type="textWrapping"/>
            </w:r>
            <w:r>
              <w:rPr>
                <w:rFonts w:ascii="Times New Roman" w:hAnsi="Times New Roman"/>
                <w:sz w:val="18"/>
              </w:rPr>
              <w:t>(66.1-84.0%)</w:t>
            </w:r>
          </w:p>
        </w:tc>
        <w:tc>
          <w:tcPr>
            <w:tcW w:w="870" w:type="pct"/>
            <w:tcBorders>
              <w:top w:val="nil"/>
              <w:left w:val="nil"/>
              <w:bottom w:val="single" w:color="000000" w:sz="12" w:space="0"/>
              <w:right w:val="nil"/>
              <w:insideH w:val="nil"/>
              <w:insideV w:val="nil"/>
            </w:tcBorders>
            <w:noWrap w:val="0"/>
            <w:tcMar>
              <w:top w:w="-1" w:type="dxa"/>
              <w:left w:w="-1" w:type="dxa"/>
              <w:bottom w:w="-1" w:type="dxa"/>
              <w:right w:w="-1" w:type="dxa"/>
            </w:tcMar>
            <w:vAlign w:val="top"/>
          </w:tcPr>
          <w:p w14:paraId="4F045740">
            <w:pPr>
              <w:snapToGrid w:val="0"/>
              <w:spacing w:line="240" w:lineRule="auto"/>
              <w:jc w:val="center"/>
            </w:pPr>
            <w:r>
              <w:rPr>
                <w:rFonts w:ascii="Times New Roman" w:hAnsi="Times New Roman"/>
                <w:sz w:val="18"/>
              </w:rPr>
              <w:t>94.0%</w:t>
            </w:r>
            <w:r>
              <w:rPr>
                <w:rFonts w:ascii="Times New Roman" w:hAnsi="Times New Roman"/>
                <w:sz w:val="18"/>
              </w:rPr>
              <w:br w:type="textWrapping"/>
            </w:r>
            <w:r>
              <w:rPr>
                <w:rFonts w:ascii="Times New Roman" w:hAnsi="Times New Roman"/>
                <w:sz w:val="18"/>
              </w:rPr>
              <w:t>(87.5-97.2%)</w:t>
            </w:r>
          </w:p>
        </w:tc>
      </w:tr>
    </w:tbl>
    <w:p w14:paraId="082B7502">
      <w:pPr>
        <w:spacing w:line="240" w:lineRule="auto"/>
      </w:pPr>
      <w:r>
        <w:rPr>
          <w:rFonts w:hint="eastAsia" w:ascii="Times New Roman" w:hAnsi="Times New Roman"/>
          <w:i/>
          <w:sz w:val="21"/>
          <w:lang w:val="en-US" w:eastAsia="zh-CN"/>
        </w:rPr>
        <w:t>Two</w:t>
      </w:r>
      <w:r>
        <w:rPr>
          <w:rFonts w:ascii="Times New Roman" w:hAnsi="Times New Roman"/>
          <w:i/>
          <w:sz w:val="21"/>
        </w:rPr>
        <w:t xml:space="preserve"> alternative methylation quantification approaches were compared using the same four-gene panel (H4C6, SIX6, SEPTIN9, SHOX2) and logistic regression framework. The raw delta method (50 - Ct) demonstrated the highe</w:t>
      </w:r>
      <w:r>
        <w:rPr>
          <w:rFonts w:hint="eastAsia" w:ascii="Times New Roman" w:hAnsi="Times New Roman"/>
          <w:i/>
          <w:sz w:val="21"/>
          <w:lang w:val="en-US" w:eastAsia="zh-CN"/>
        </w:rPr>
        <w:t>r</w:t>
      </w:r>
      <w:r>
        <w:rPr>
          <w:rFonts w:ascii="Times New Roman" w:hAnsi="Times New Roman"/>
          <w:i/>
          <w:sz w:val="21"/>
        </w:rPr>
        <w:t xml:space="preserve"> AUC and was retained for all analyses. delta Ct </w:t>
      </w:r>
      <w:r>
        <w:rPr>
          <w:rFonts w:hint="eastAsia" w:ascii="Times New Roman" w:hAnsi="Times New Roman"/>
          <w:i/>
          <w:sz w:val="21"/>
        </w:rPr>
        <w:t>(flipped)</w:t>
      </w:r>
      <w:r>
        <w:rPr>
          <w:rFonts w:hint="eastAsia" w:ascii="Times New Roman" w:hAnsi="Times New Roman"/>
          <w:i/>
          <w:sz w:val="21"/>
          <w:lang w:val="en-US" w:eastAsia="zh-CN"/>
        </w:rPr>
        <w:t xml:space="preserve"> </w:t>
      </w:r>
      <w:r>
        <w:rPr>
          <w:rFonts w:ascii="Times New Roman" w:hAnsi="Times New Roman"/>
          <w:i/>
          <w:sz w:val="21"/>
        </w:rPr>
        <w:t>= target Ct - ACTB Ct. Because input DNA was delivered by fixed volume rather than fixed mass, the reduction in AUC under ACTB normalisation (delta Ct: validation AUC 0.924) relative to the raw delta method (0.950) is consistent with part of the apparent signal reflect</w:t>
      </w:r>
      <w:bookmarkStart w:id="0" w:name="_GoBack"/>
      <w:bookmarkEnd w:id="0"/>
      <w:r>
        <w:rPr>
          <w:rFonts w:ascii="Times New Roman" w:hAnsi="Times New Roman"/>
          <w:i/>
          <w:sz w:val="21"/>
        </w:rPr>
        <w:t>ing DNA-input differences rather than cancer-specific methylation alone; the ACTB-normalised estimate is therefore presented as a conservative lower bound on performance.</w:t>
      </w:r>
    </w:p>
    <w:p w14:paraId="281CB867">
      <w:pPr>
        <w:spacing w:after="120" w:line="240" w:lineRule="auto"/>
        <w:rPr>
          <w:rFonts w:ascii="Times New Roman" w:hAnsi="Times New Roman"/>
          <w:b/>
          <w:sz w:val="21"/>
        </w:rPr>
      </w:pPr>
    </w:p>
    <w:p w14:paraId="7521840A">
      <w:pPr>
        <w:spacing w:after="120" w:line="240" w:lineRule="auto"/>
      </w:pPr>
      <w:r>
        <w:rPr>
          <w:rFonts w:ascii="Times New Roman" w:hAnsi="Times New Roman"/>
          <w:b/>
          <w:sz w:val="21"/>
        </w:rPr>
        <w:t>Table S</w:t>
      </w:r>
      <w:r>
        <w:rPr>
          <w:rFonts w:hint="eastAsia" w:ascii="Times New Roman" w:hAnsi="Times New Roman"/>
          <w:b/>
          <w:sz w:val="21"/>
          <w:lang w:val="en-US" w:eastAsia="zh-CN"/>
        </w:rPr>
        <w:t>3</w:t>
      </w:r>
      <w:r>
        <w:rPr>
          <w:rFonts w:ascii="Times New Roman" w:hAnsi="Times New Roman"/>
          <w:b/>
          <w:sz w:val="21"/>
        </w:rPr>
        <w:t>. ACTB Ct Value Distribution and Quality Control Metrics</w:t>
      </w:r>
    </w:p>
    <w:p w14:paraId="08B2E7BF">
      <w:pPr>
        <w:spacing w:after="120" w:line="240" w:lineRule="auto"/>
      </w:pPr>
      <w:r>
        <w:rPr>
          <w:rFonts w:ascii="Times New Roman" w:hAnsi="Times New Roman"/>
          <w:b w:val="0"/>
          <w:sz w:val="21"/>
        </w:rPr>
        <w:t>ACTB-1 served as the internal reference for H4C6 and SIX6 (Tube 1); ACTB-2 served as the internal reference for SEPTIN9 and SHOX2 (Tube 2). The QC acceptance criterion was ACTB Ct &lt;= 35 for both reference assays.</w:t>
      </w:r>
    </w:p>
    <w:p w14:paraId="5C33BE7E">
      <w:pPr>
        <w:spacing w:after="120" w:line="240" w:lineRule="auto"/>
      </w:pPr>
      <w:r>
        <w:rPr>
          <w:rFonts w:ascii="Times New Roman" w:hAnsi="Times New Roman"/>
          <w:b/>
          <w:sz w:val="21"/>
        </w:rPr>
        <w:t>A. Overall ACTB Ct Distribution</w:t>
      </w:r>
    </w:p>
    <w:tbl>
      <w:tblPr>
        <w:tblStyle w:val="4"/>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36"/>
        <w:gridCol w:w="2780"/>
        <w:gridCol w:w="3403"/>
      </w:tblGrid>
      <w:tr w14:paraId="500DF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71" w:type="pct"/>
            <w:tcBorders>
              <w:top w:val="single" w:color="000000" w:sz="12" w:space="0"/>
              <w:left w:val="nil"/>
              <w:bottom w:val="single" w:color="000000" w:sz="6" w:space="0"/>
              <w:right w:val="nil"/>
              <w:insideH w:val="nil"/>
              <w:insideV w:val="nil"/>
            </w:tcBorders>
          </w:tcPr>
          <w:p w14:paraId="7942C917">
            <w:pPr>
              <w:snapToGrid w:val="0"/>
              <w:spacing w:line="240" w:lineRule="auto"/>
              <w:jc w:val="center"/>
            </w:pPr>
            <w:r>
              <w:rPr>
                <w:rFonts w:ascii="Times New Roman" w:hAnsi="Times New Roman"/>
                <w:b/>
                <w:sz w:val="18"/>
              </w:rPr>
              <w:t>Metric</w:t>
            </w:r>
          </w:p>
        </w:tc>
        <w:tc>
          <w:tcPr>
            <w:tcW w:w="1631" w:type="pct"/>
            <w:tcBorders>
              <w:top w:val="single" w:color="000000" w:sz="12" w:space="0"/>
              <w:left w:val="nil"/>
              <w:bottom w:val="single" w:color="000000" w:sz="6" w:space="0"/>
              <w:right w:val="nil"/>
              <w:insideH w:val="nil"/>
              <w:insideV w:val="nil"/>
            </w:tcBorders>
          </w:tcPr>
          <w:p w14:paraId="65F9744B">
            <w:pPr>
              <w:snapToGrid w:val="0"/>
              <w:spacing w:line="240" w:lineRule="auto"/>
              <w:jc w:val="center"/>
            </w:pPr>
            <w:r>
              <w:rPr>
                <w:rFonts w:ascii="Times New Roman" w:hAnsi="Times New Roman"/>
                <w:b/>
                <w:sz w:val="18"/>
              </w:rPr>
              <w:t>ACTB-1 (H4C6/SIX6 Ref)</w:t>
            </w:r>
          </w:p>
        </w:tc>
        <w:tc>
          <w:tcPr>
            <w:tcW w:w="1997" w:type="pct"/>
            <w:tcBorders>
              <w:top w:val="single" w:color="000000" w:sz="12" w:space="0"/>
              <w:left w:val="nil"/>
              <w:bottom w:val="single" w:color="000000" w:sz="6" w:space="0"/>
              <w:right w:val="nil"/>
              <w:insideH w:val="nil"/>
              <w:insideV w:val="nil"/>
            </w:tcBorders>
          </w:tcPr>
          <w:p w14:paraId="51C880BB">
            <w:pPr>
              <w:snapToGrid w:val="0"/>
              <w:spacing w:line="240" w:lineRule="auto"/>
              <w:jc w:val="center"/>
            </w:pPr>
            <w:r>
              <w:rPr>
                <w:rFonts w:ascii="Times New Roman" w:hAnsi="Times New Roman"/>
                <w:b/>
                <w:sz w:val="18"/>
              </w:rPr>
              <w:t>ACTB-2 (SEPTIN9/SHOX2 Ref)</w:t>
            </w:r>
          </w:p>
        </w:tc>
      </w:tr>
      <w:tr w14:paraId="2F890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71" w:type="pct"/>
            <w:tcBorders>
              <w:top w:val="nil"/>
              <w:left w:val="nil"/>
              <w:bottom w:val="nil"/>
              <w:right w:val="nil"/>
              <w:insideH w:val="nil"/>
              <w:insideV w:val="nil"/>
            </w:tcBorders>
          </w:tcPr>
          <w:p w14:paraId="37AB7F3B">
            <w:pPr>
              <w:snapToGrid w:val="0"/>
              <w:spacing w:line="240" w:lineRule="auto"/>
              <w:jc w:val="center"/>
            </w:pPr>
            <w:r>
              <w:rPr>
                <w:rFonts w:ascii="Times New Roman" w:hAnsi="Times New Roman"/>
                <w:b w:val="0"/>
                <w:sz w:val="18"/>
              </w:rPr>
              <w:t>N</w:t>
            </w:r>
          </w:p>
        </w:tc>
        <w:tc>
          <w:tcPr>
            <w:tcW w:w="1631" w:type="pct"/>
            <w:tcBorders>
              <w:top w:val="nil"/>
              <w:left w:val="nil"/>
              <w:bottom w:val="nil"/>
              <w:right w:val="nil"/>
              <w:insideH w:val="nil"/>
              <w:insideV w:val="nil"/>
            </w:tcBorders>
          </w:tcPr>
          <w:p w14:paraId="4499C2A5">
            <w:pPr>
              <w:snapToGrid w:val="0"/>
              <w:spacing w:line="240" w:lineRule="auto"/>
              <w:jc w:val="center"/>
            </w:pPr>
            <w:r>
              <w:rPr>
                <w:rFonts w:ascii="Times New Roman" w:hAnsi="Times New Roman"/>
                <w:b w:val="0"/>
                <w:sz w:val="18"/>
              </w:rPr>
              <w:t>609</w:t>
            </w:r>
          </w:p>
        </w:tc>
        <w:tc>
          <w:tcPr>
            <w:tcW w:w="1997" w:type="pct"/>
            <w:tcBorders>
              <w:top w:val="nil"/>
              <w:left w:val="nil"/>
              <w:bottom w:val="nil"/>
              <w:right w:val="nil"/>
              <w:insideH w:val="nil"/>
              <w:insideV w:val="nil"/>
            </w:tcBorders>
          </w:tcPr>
          <w:p w14:paraId="06272D30">
            <w:pPr>
              <w:snapToGrid w:val="0"/>
              <w:spacing w:line="240" w:lineRule="auto"/>
              <w:jc w:val="center"/>
            </w:pPr>
            <w:r>
              <w:rPr>
                <w:rFonts w:ascii="Times New Roman" w:hAnsi="Times New Roman"/>
                <w:b w:val="0"/>
                <w:sz w:val="18"/>
              </w:rPr>
              <w:t>609</w:t>
            </w:r>
          </w:p>
        </w:tc>
      </w:tr>
      <w:tr w14:paraId="0618F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71" w:type="pct"/>
            <w:tcBorders>
              <w:top w:val="nil"/>
              <w:left w:val="nil"/>
              <w:bottom w:val="nil"/>
              <w:right w:val="nil"/>
              <w:insideH w:val="nil"/>
              <w:insideV w:val="nil"/>
            </w:tcBorders>
          </w:tcPr>
          <w:p w14:paraId="6E4AFD4B">
            <w:pPr>
              <w:snapToGrid w:val="0"/>
              <w:spacing w:line="240" w:lineRule="auto"/>
              <w:jc w:val="center"/>
            </w:pPr>
            <w:r>
              <w:rPr>
                <w:rFonts w:ascii="Times New Roman" w:hAnsi="Times New Roman"/>
                <w:b w:val="0"/>
                <w:sz w:val="18"/>
              </w:rPr>
              <w:t>Mean</w:t>
            </w:r>
          </w:p>
        </w:tc>
        <w:tc>
          <w:tcPr>
            <w:tcW w:w="1631" w:type="pct"/>
            <w:tcBorders>
              <w:top w:val="nil"/>
              <w:left w:val="nil"/>
              <w:bottom w:val="nil"/>
              <w:right w:val="nil"/>
              <w:insideH w:val="nil"/>
              <w:insideV w:val="nil"/>
            </w:tcBorders>
          </w:tcPr>
          <w:p w14:paraId="11902A22">
            <w:pPr>
              <w:snapToGrid w:val="0"/>
              <w:spacing w:line="240" w:lineRule="auto"/>
              <w:jc w:val="center"/>
            </w:pPr>
            <w:r>
              <w:rPr>
                <w:rFonts w:ascii="Times New Roman" w:hAnsi="Times New Roman"/>
                <w:b w:val="0"/>
                <w:sz w:val="18"/>
              </w:rPr>
              <w:t>28.26</w:t>
            </w:r>
          </w:p>
        </w:tc>
        <w:tc>
          <w:tcPr>
            <w:tcW w:w="1997" w:type="pct"/>
            <w:tcBorders>
              <w:top w:val="nil"/>
              <w:left w:val="nil"/>
              <w:bottom w:val="nil"/>
              <w:right w:val="nil"/>
              <w:insideH w:val="nil"/>
              <w:insideV w:val="nil"/>
            </w:tcBorders>
          </w:tcPr>
          <w:p w14:paraId="179E08B1">
            <w:pPr>
              <w:snapToGrid w:val="0"/>
              <w:spacing w:line="240" w:lineRule="auto"/>
              <w:jc w:val="center"/>
            </w:pPr>
            <w:r>
              <w:rPr>
                <w:rFonts w:ascii="Times New Roman" w:hAnsi="Times New Roman"/>
                <w:b w:val="0"/>
                <w:sz w:val="18"/>
              </w:rPr>
              <w:t>28.21</w:t>
            </w:r>
          </w:p>
        </w:tc>
      </w:tr>
      <w:tr w14:paraId="3AFB8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71" w:type="pct"/>
            <w:tcBorders>
              <w:top w:val="nil"/>
              <w:left w:val="nil"/>
              <w:bottom w:val="nil"/>
              <w:right w:val="nil"/>
              <w:insideH w:val="nil"/>
              <w:insideV w:val="nil"/>
            </w:tcBorders>
          </w:tcPr>
          <w:p w14:paraId="2F3C90F7">
            <w:pPr>
              <w:snapToGrid w:val="0"/>
              <w:spacing w:line="240" w:lineRule="auto"/>
              <w:jc w:val="center"/>
            </w:pPr>
            <w:r>
              <w:rPr>
                <w:rFonts w:ascii="Times New Roman" w:hAnsi="Times New Roman"/>
                <w:b w:val="0"/>
                <w:sz w:val="18"/>
              </w:rPr>
              <w:t>SD</w:t>
            </w:r>
          </w:p>
        </w:tc>
        <w:tc>
          <w:tcPr>
            <w:tcW w:w="1631" w:type="pct"/>
            <w:tcBorders>
              <w:top w:val="nil"/>
              <w:left w:val="nil"/>
              <w:bottom w:val="nil"/>
              <w:right w:val="nil"/>
              <w:insideH w:val="nil"/>
              <w:insideV w:val="nil"/>
            </w:tcBorders>
          </w:tcPr>
          <w:p w14:paraId="60709133">
            <w:pPr>
              <w:snapToGrid w:val="0"/>
              <w:spacing w:line="240" w:lineRule="auto"/>
              <w:jc w:val="center"/>
            </w:pPr>
            <w:r>
              <w:rPr>
                <w:rFonts w:ascii="Times New Roman" w:hAnsi="Times New Roman"/>
                <w:b w:val="0"/>
                <w:sz w:val="18"/>
              </w:rPr>
              <w:t>2.75</w:t>
            </w:r>
          </w:p>
        </w:tc>
        <w:tc>
          <w:tcPr>
            <w:tcW w:w="1997" w:type="pct"/>
            <w:tcBorders>
              <w:top w:val="nil"/>
              <w:left w:val="nil"/>
              <w:bottom w:val="nil"/>
              <w:right w:val="nil"/>
              <w:insideH w:val="nil"/>
              <w:insideV w:val="nil"/>
            </w:tcBorders>
          </w:tcPr>
          <w:p w14:paraId="5CA6B2DF">
            <w:pPr>
              <w:snapToGrid w:val="0"/>
              <w:spacing w:line="240" w:lineRule="auto"/>
              <w:jc w:val="center"/>
            </w:pPr>
            <w:r>
              <w:rPr>
                <w:rFonts w:ascii="Times New Roman" w:hAnsi="Times New Roman"/>
                <w:b w:val="0"/>
                <w:sz w:val="18"/>
              </w:rPr>
              <w:t>2.74</w:t>
            </w:r>
          </w:p>
        </w:tc>
      </w:tr>
      <w:tr w14:paraId="2582E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71" w:type="pct"/>
            <w:tcBorders>
              <w:top w:val="nil"/>
              <w:left w:val="nil"/>
              <w:bottom w:val="nil"/>
              <w:right w:val="nil"/>
              <w:insideH w:val="nil"/>
              <w:insideV w:val="nil"/>
            </w:tcBorders>
          </w:tcPr>
          <w:p w14:paraId="243175AE">
            <w:pPr>
              <w:snapToGrid w:val="0"/>
              <w:spacing w:line="240" w:lineRule="auto"/>
              <w:jc w:val="center"/>
            </w:pPr>
            <w:r>
              <w:rPr>
                <w:rFonts w:ascii="Times New Roman" w:hAnsi="Times New Roman"/>
                <w:b w:val="0"/>
                <w:sz w:val="18"/>
              </w:rPr>
              <w:t>Median</w:t>
            </w:r>
          </w:p>
        </w:tc>
        <w:tc>
          <w:tcPr>
            <w:tcW w:w="1631" w:type="pct"/>
            <w:tcBorders>
              <w:top w:val="nil"/>
              <w:left w:val="nil"/>
              <w:bottom w:val="nil"/>
              <w:right w:val="nil"/>
              <w:insideH w:val="nil"/>
              <w:insideV w:val="nil"/>
            </w:tcBorders>
            <w:vAlign w:val="top"/>
          </w:tcPr>
          <w:p w14:paraId="369AD4E6">
            <w:pPr>
              <w:snapToGrid w:val="0"/>
              <w:spacing w:line="240" w:lineRule="auto"/>
              <w:jc w:val="center"/>
            </w:pPr>
            <w:r>
              <w:rPr>
                <w:rFonts w:ascii="Times New Roman" w:hAnsi="Times New Roman"/>
                <w:b w:val="0"/>
                <w:sz w:val="18"/>
              </w:rPr>
              <w:t>28.</w:t>
            </w:r>
            <w:r>
              <w:rPr>
                <w:rFonts w:hint="eastAsia" w:ascii="Times New Roman" w:hAnsi="Times New Roman"/>
                <w:b w:val="0"/>
                <w:sz w:val="18"/>
                <w:lang w:val="en-US" w:eastAsia="zh-CN"/>
              </w:rPr>
              <w:t>48</w:t>
            </w:r>
          </w:p>
        </w:tc>
        <w:tc>
          <w:tcPr>
            <w:tcW w:w="1997" w:type="pct"/>
            <w:tcBorders>
              <w:top w:val="nil"/>
              <w:left w:val="nil"/>
              <w:bottom w:val="nil"/>
              <w:right w:val="nil"/>
              <w:insideH w:val="nil"/>
              <w:insideV w:val="nil"/>
            </w:tcBorders>
            <w:vAlign w:val="top"/>
          </w:tcPr>
          <w:p w14:paraId="11AD552E">
            <w:pPr>
              <w:snapToGrid w:val="0"/>
              <w:spacing w:line="240" w:lineRule="auto"/>
              <w:jc w:val="center"/>
            </w:pPr>
            <w:r>
              <w:rPr>
                <w:rFonts w:ascii="Times New Roman" w:hAnsi="Times New Roman"/>
                <w:b w:val="0"/>
                <w:sz w:val="18"/>
              </w:rPr>
              <w:t>28.5</w:t>
            </w:r>
            <w:r>
              <w:rPr>
                <w:rFonts w:hint="eastAsia" w:ascii="Times New Roman" w:hAnsi="Times New Roman"/>
                <w:b w:val="0"/>
                <w:sz w:val="18"/>
                <w:lang w:val="en-US" w:eastAsia="zh-CN"/>
              </w:rPr>
              <w:t>1</w:t>
            </w:r>
          </w:p>
        </w:tc>
      </w:tr>
      <w:tr w14:paraId="2F2FB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71" w:type="pct"/>
            <w:tcBorders>
              <w:top w:val="nil"/>
              <w:left w:val="nil"/>
              <w:bottom w:val="nil"/>
              <w:right w:val="nil"/>
              <w:insideH w:val="nil"/>
              <w:insideV w:val="nil"/>
            </w:tcBorders>
          </w:tcPr>
          <w:p w14:paraId="3941BA81">
            <w:pPr>
              <w:snapToGrid w:val="0"/>
              <w:spacing w:line="240" w:lineRule="auto"/>
              <w:jc w:val="center"/>
            </w:pPr>
            <w:r>
              <w:rPr>
                <w:rFonts w:ascii="Times New Roman" w:hAnsi="Times New Roman"/>
                <w:b w:val="0"/>
                <w:sz w:val="18"/>
              </w:rPr>
              <w:t>Q1</w:t>
            </w:r>
          </w:p>
        </w:tc>
        <w:tc>
          <w:tcPr>
            <w:tcW w:w="1631" w:type="pct"/>
            <w:tcBorders>
              <w:top w:val="nil"/>
              <w:left w:val="nil"/>
              <w:bottom w:val="nil"/>
              <w:right w:val="nil"/>
              <w:insideH w:val="nil"/>
              <w:insideV w:val="nil"/>
            </w:tcBorders>
            <w:vAlign w:val="top"/>
          </w:tcPr>
          <w:p w14:paraId="65F36B52">
            <w:pPr>
              <w:snapToGrid w:val="0"/>
              <w:spacing w:line="240" w:lineRule="auto"/>
              <w:jc w:val="center"/>
            </w:pPr>
            <w:r>
              <w:rPr>
                <w:rFonts w:ascii="Times New Roman" w:hAnsi="Times New Roman"/>
                <w:b w:val="0"/>
                <w:sz w:val="18"/>
              </w:rPr>
              <w:t>26.2</w:t>
            </w:r>
            <w:r>
              <w:rPr>
                <w:rFonts w:hint="eastAsia" w:ascii="Times New Roman" w:hAnsi="Times New Roman"/>
                <w:b w:val="0"/>
                <w:sz w:val="18"/>
                <w:lang w:val="en-US" w:eastAsia="zh-CN"/>
              </w:rPr>
              <w:t>4</w:t>
            </w:r>
          </w:p>
        </w:tc>
        <w:tc>
          <w:tcPr>
            <w:tcW w:w="1997" w:type="pct"/>
            <w:tcBorders>
              <w:top w:val="nil"/>
              <w:left w:val="nil"/>
              <w:bottom w:val="nil"/>
              <w:right w:val="nil"/>
              <w:insideH w:val="nil"/>
              <w:insideV w:val="nil"/>
            </w:tcBorders>
            <w:vAlign w:val="top"/>
          </w:tcPr>
          <w:p w14:paraId="153590A1">
            <w:pPr>
              <w:snapToGrid w:val="0"/>
              <w:spacing w:line="240" w:lineRule="auto"/>
              <w:jc w:val="center"/>
            </w:pPr>
            <w:r>
              <w:rPr>
                <w:rFonts w:ascii="Times New Roman" w:hAnsi="Times New Roman"/>
                <w:b w:val="0"/>
                <w:sz w:val="18"/>
              </w:rPr>
              <w:t>26.1</w:t>
            </w:r>
            <w:r>
              <w:rPr>
                <w:rFonts w:hint="eastAsia" w:ascii="Times New Roman" w:hAnsi="Times New Roman"/>
                <w:b w:val="0"/>
                <w:sz w:val="18"/>
                <w:lang w:val="en-US" w:eastAsia="zh-CN"/>
              </w:rPr>
              <w:t>5</w:t>
            </w:r>
          </w:p>
        </w:tc>
      </w:tr>
      <w:tr w14:paraId="63EA6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71" w:type="pct"/>
            <w:tcBorders>
              <w:top w:val="nil"/>
              <w:left w:val="nil"/>
              <w:bottom w:val="nil"/>
              <w:right w:val="nil"/>
              <w:insideH w:val="nil"/>
              <w:insideV w:val="nil"/>
            </w:tcBorders>
          </w:tcPr>
          <w:p w14:paraId="051541CC">
            <w:pPr>
              <w:snapToGrid w:val="0"/>
              <w:spacing w:line="240" w:lineRule="auto"/>
              <w:jc w:val="center"/>
            </w:pPr>
            <w:r>
              <w:rPr>
                <w:rFonts w:ascii="Times New Roman" w:hAnsi="Times New Roman"/>
                <w:b w:val="0"/>
                <w:sz w:val="18"/>
              </w:rPr>
              <w:t>Q3</w:t>
            </w:r>
          </w:p>
        </w:tc>
        <w:tc>
          <w:tcPr>
            <w:tcW w:w="1631" w:type="pct"/>
            <w:tcBorders>
              <w:top w:val="nil"/>
              <w:left w:val="nil"/>
              <w:bottom w:val="nil"/>
              <w:right w:val="nil"/>
              <w:insideH w:val="nil"/>
              <w:insideV w:val="nil"/>
            </w:tcBorders>
            <w:vAlign w:val="top"/>
          </w:tcPr>
          <w:p w14:paraId="3EB36CE6">
            <w:pPr>
              <w:snapToGrid w:val="0"/>
              <w:spacing w:line="240" w:lineRule="auto"/>
              <w:jc w:val="center"/>
            </w:pPr>
            <w:r>
              <w:rPr>
                <w:rFonts w:ascii="Times New Roman" w:hAnsi="Times New Roman"/>
                <w:b w:val="0"/>
                <w:sz w:val="18"/>
              </w:rPr>
              <w:t>30.3</w:t>
            </w:r>
            <w:r>
              <w:rPr>
                <w:rFonts w:hint="eastAsia" w:ascii="Times New Roman" w:hAnsi="Times New Roman"/>
                <w:b w:val="0"/>
                <w:sz w:val="18"/>
                <w:lang w:val="en-US" w:eastAsia="zh-CN"/>
              </w:rPr>
              <w:t>2</w:t>
            </w:r>
          </w:p>
        </w:tc>
        <w:tc>
          <w:tcPr>
            <w:tcW w:w="1997" w:type="pct"/>
            <w:tcBorders>
              <w:top w:val="nil"/>
              <w:left w:val="nil"/>
              <w:bottom w:val="nil"/>
              <w:right w:val="nil"/>
              <w:insideH w:val="nil"/>
              <w:insideV w:val="nil"/>
            </w:tcBorders>
            <w:vAlign w:val="top"/>
          </w:tcPr>
          <w:p w14:paraId="675013FF">
            <w:pPr>
              <w:snapToGrid w:val="0"/>
              <w:spacing w:line="240" w:lineRule="auto"/>
              <w:jc w:val="center"/>
            </w:pPr>
            <w:r>
              <w:rPr>
                <w:rFonts w:ascii="Times New Roman" w:hAnsi="Times New Roman"/>
                <w:b w:val="0"/>
                <w:sz w:val="18"/>
              </w:rPr>
              <w:t>30.2</w:t>
            </w:r>
            <w:r>
              <w:rPr>
                <w:rFonts w:hint="eastAsia" w:ascii="Times New Roman" w:hAnsi="Times New Roman"/>
                <w:b w:val="0"/>
                <w:sz w:val="18"/>
                <w:lang w:val="en-US" w:eastAsia="zh-CN"/>
              </w:rPr>
              <w:t>1</w:t>
            </w:r>
          </w:p>
        </w:tc>
      </w:tr>
      <w:tr w14:paraId="6221F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71" w:type="pct"/>
            <w:tcBorders>
              <w:top w:val="nil"/>
              <w:left w:val="nil"/>
              <w:bottom w:val="nil"/>
              <w:right w:val="nil"/>
              <w:insideH w:val="nil"/>
              <w:insideV w:val="nil"/>
            </w:tcBorders>
          </w:tcPr>
          <w:p w14:paraId="50DA763F">
            <w:pPr>
              <w:snapToGrid w:val="0"/>
              <w:spacing w:line="240" w:lineRule="auto"/>
              <w:jc w:val="center"/>
            </w:pPr>
            <w:r>
              <w:rPr>
                <w:rFonts w:ascii="Times New Roman" w:hAnsi="Times New Roman"/>
                <w:b w:val="0"/>
                <w:sz w:val="18"/>
              </w:rPr>
              <w:t>Min</w:t>
            </w:r>
          </w:p>
        </w:tc>
        <w:tc>
          <w:tcPr>
            <w:tcW w:w="1631" w:type="pct"/>
            <w:tcBorders>
              <w:top w:val="nil"/>
              <w:left w:val="nil"/>
              <w:bottom w:val="nil"/>
              <w:right w:val="nil"/>
              <w:insideH w:val="nil"/>
              <w:insideV w:val="nil"/>
            </w:tcBorders>
            <w:vAlign w:val="top"/>
          </w:tcPr>
          <w:p w14:paraId="1DE06CB6">
            <w:pPr>
              <w:snapToGrid w:val="0"/>
              <w:spacing w:line="240" w:lineRule="auto"/>
              <w:jc w:val="center"/>
            </w:pPr>
            <w:r>
              <w:rPr>
                <w:rFonts w:ascii="Times New Roman" w:hAnsi="Times New Roman"/>
                <w:b w:val="0"/>
                <w:sz w:val="18"/>
              </w:rPr>
              <w:t>21.</w:t>
            </w:r>
            <w:r>
              <w:rPr>
                <w:rFonts w:hint="eastAsia" w:ascii="Times New Roman" w:hAnsi="Times New Roman"/>
                <w:b w:val="0"/>
                <w:sz w:val="18"/>
                <w:lang w:val="en-US" w:eastAsia="zh-CN"/>
              </w:rPr>
              <w:t>89</w:t>
            </w:r>
          </w:p>
        </w:tc>
        <w:tc>
          <w:tcPr>
            <w:tcW w:w="1997" w:type="pct"/>
            <w:tcBorders>
              <w:top w:val="nil"/>
              <w:left w:val="nil"/>
              <w:bottom w:val="nil"/>
              <w:right w:val="nil"/>
              <w:insideH w:val="nil"/>
              <w:insideV w:val="nil"/>
            </w:tcBorders>
            <w:vAlign w:val="top"/>
          </w:tcPr>
          <w:p w14:paraId="43C8E6D6">
            <w:pPr>
              <w:snapToGrid w:val="0"/>
              <w:spacing w:line="240" w:lineRule="auto"/>
              <w:jc w:val="center"/>
            </w:pPr>
            <w:r>
              <w:rPr>
                <w:rFonts w:ascii="Times New Roman" w:hAnsi="Times New Roman"/>
                <w:b w:val="0"/>
                <w:sz w:val="18"/>
              </w:rPr>
              <w:t>21.</w:t>
            </w:r>
            <w:r>
              <w:rPr>
                <w:rFonts w:hint="eastAsia" w:ascii="Times New Roman" w:hAnsi="Times New Roman"/>
                <w:b w:val="0"/>
                <w:sz w:val="18"/>
                <w:lang w:val="en-US" w:eastAsia="zh-CN"/>
              </w:rPr>
              <w:t>85</w:t>
            </w:r>
          </w:p>
        </w:tc>
      </w:tr>
      <w:tr w14:paraId="1F6F8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71" w:type="pct"/>
            <w:tcBorders>
              <w:top w:val="nil"/>
              <w:left w:val="nil"/>
              <w:bottom w:val="nil"/>
              <w:right w:val="nil"/>
              <w:insideH w:val="nil"/>
              <w:insideV w:val="nil"/>
            </w:tcBorders>
          </w:tcPr>
          <w:p w14:paraId="5755972F">
            <w:pPr>
              <w:snapToGrid w:val="0"/>
              <w:spacing w:line="240" w:lineRule="auto"/>
              <w:jc w:val="center"/>
            </w:pPr>
            <w:r>
              <w:rPr>
                <w:rFonts w:ascii="Times New Roman" w:hAnsi="Times New Roman"/>
                <w:b w:val="0"/>
                <w:sz w:val="18"/>
              </w:rPr>
              <w:t>Max</w:t>
            </w:r>
          </w:p>
        </w:tc>
        <w:tc>
          <w:tcPr>
            <w:tcW w:w="1631" w:type="pct"/>
            <w:tcBorders>
              <w:top w:val="nil"/>
              <w:left w:val="nil"/>
              <w:bottom w:val="nil"/>
              <w:right w:val="nil"/>
              <w:insideH w:val="nil"/>
              <w:insideV w:val="nil"/>
            </w:tcBorders>
            <w:vAlign w:val="top"/>
          </w:tcPr>
          <w:p w14:paraId="67F37CDB">
            <w:pPr>
              <w:snapToGrid w:val="0"/>
              <w:spacing w:line="240" w:lineRule="auto"/>
              <w:jc w:val="center"/>
            </w:pPr>
            <w:r>
              <w:rPr>
                <w:rFonts w:ascii="Times New Roman" w:hAnsi="Times New Roman"/>
                <w:b w:val="0"/>
                <w:sz w:val="18"/>
              </w:rPr>
              <w:t>34.</w:t>
            </w:r>
            <w:r>
              <w:rPr>
                <w:rFonts w:hint="eastAsia" w:ascii="Times New Roman" w:hAnsi="Times New Roman"/>
                <w:b w:val="0"/>
                <w:sz w:val="18"/>
                <w:lang w:val="en-US" w:eastAsia="zh-CN"/>
              </w:rPr>
              <w:t>89</w:t>
            </w:r>
          </w:p>
        </w:tc>
        <w:tc>
          <w:tcPr>
            <w:tcW w:w="1997" w:type="pct"/>
            <w:tcBorders>
              <w:top w:val="nil"/>
              <w:left w:val="nil"/>
              <w:bottom w:val="nil"/>
              <w:right w:val="nil"/>
              <w:insideH w:val="nil"/>
              <w:insideV w:val="nil"/>
            </w:tcBorders>
            <w:vAlign w:val="top"/>
          </w:tcPr>
          <w:p w14:paraId="08C5585E">
            <w:pPr>
              <w:snapToGrid w:val="0"/>
              <w:spacing w:line="240" w:lineRule="auto"/>
              <w:jc w:val="center"/>
            </w:pPr>
            <w:r>
              <w:rPr>
                <w:rFonts w:ascii="Times New Roman" w:hAnsi="Times New Roman"/>
                <w:b w:val="0"/>
                <w:sz w:val="18"/>
              </w:rPr>
              <w:t>34.</w:t>
            </w:r>
            <w:r>
              <w:rPr>
                <w:rFonts w:hint="eastAsia" w:ascii="Times New Roman" w:hAnsi="Times New Roman"/>
                <w:b w:val="0"/>
                <w:sz w:val="18"/>
                <w:lang w:val="en-US" w:eastAsia="zh-CN"/>
              </w:rPr>
              <w:t>75</w:t>
            </w:r>
          </w:p>
        </w:tc>
      </w:tr>
      <w:tr w14:paraId="6C717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71" w:type="pct"/>
            <w:tcBorders>
              <w:top w:val="nil"/>
              <w:left w:val="nil"/>
              <w:bottom w:val="single" w:color="000000" w:sz="12" w:space="0"/>
              <w:right w:val="nil"/>
              <w:insideH w:val="nil"/>
              <w:insideV w:val="nil"/>
            </w:tcBorders>
          </w:tcPr>
          <w:p w14:paraId="765EA544">
            <w:pPr>
              <w:snapToGrid w:val="0"/>
              <w:spacing w:line="240" w:lineRule="auto"/>
              <w:jc w:val="center"/>
            </w:pPr>
            <w:r>
              <w:rPr>
                <w:rFonts w:ascii="Times New Roman" w:hAnsi="Times New Roman"/>
                <w:b w:val="0"/>
                <w:sz w:val="18"/>
              </w:rPr>
              <w:t>Samples with Ct &lt;= 35</w:t>
            </w:r>
          </w:p>
        </w:tc>
        <w:tc>
          <w:tcPr>
            <w:tcW w:w="1631" w:type="pct"/>
            <w:tcBorders>
              <w:top w:val="nil"/>
              <w:left w:val="nil"/>
              <w:bottom w:val="single" w:color="000000" w:sz="12" w:space="0"/>
              <w:right w:val="nil"/>
              <w:insideH w:val="nil"/>
              <w:insideV w:val="nil"/>
            </w:tcBorders>
          </w:tcPr>
          <w:p w14:paraId="09B515D2">
            <w:pPr>
              <w:snapToGrid w:val="0"/>
              <w:spacing w:line="240" w:lineRule="auto"/>
              <w:jc w:val="center"/>
            </w:pPr>
            <w:r>
              <w:rPr>
                <w:rFonts w:ascii="Times New Roman" w:hAnsi="Times New Roman"/>
                <w:b w:val="0"/>
                <w:sz w:val="18"/>
              </w:rPr>
              <w:t>609 (100.0%)</w:t>
            </w:r>
          </w:p>
        </w:tc>
        <w:tc>
          <w:tcPr>
            <w:tcW w:w="1997" w:type="pct"/>
            <w:tcBorders>
              <w:top w:val="nil"/>
              <w:left w:val="nil"/>
              <w:bottom w:val="single" w:color="000000" w:sz="12" w:space="0"/>
              <w:right w:val="nil"/>
              <w:insideH w:val="nil"/>
              <w:insideV w:val="nil"/>
            </w:tcBorders>
          </w:tcPr>
          <w:p w14:paraId="584AB2E6">
            <w:pPr>
              <w:snapToGrid w:val="0"/>
              <w:spacing w:line="240" w:lineRule="auto"/>
              <w:jc w:val="center"/>
            </w:pPr>
            <w:r>
              <w:rPr>
                <w:rFonts w:ascii="Times New Roman" w:hAnsi="Times New Roman"/>
                <w:b w:val="0"/>
                <w:sz w:val="18"/>
              </w:rPr>
              <w:t>609 (100.0%)</w:t>
            </w:r>
          </w:p>
        </w:tc>
      </w:tr>
    </w:tbl>
    <w:p w14:paraId="22880AAB">
      <w:pPr>
        <w:spacing w:after="120" w:line="240" w:lineRule="auto"/>
      </w:pPr>
    </w:p>
    <w:p w14:paraId="1C96EECB">
      <w:pPr>
        <w:spacing w:after="120" w:line="240" w:lineRule="auto"/>
      </w:pPr>
      <w:r>
        <w:rPr>
          <w:rFonts w:ascii="Times New Roman" w:hAnsi="Times New Roman"/>
          <w:b/>
          <w:sz w:val="21"/>
        </w:rPr>
        <w:t>B. ACTB Ct by Dataset and Cancer Status</w:t>
      </w:r>
    </w:p>
    <w:tbl>
      <w:tblPr>
        <w:tblStyle w:val="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29"/>
        <w:gridCol w:w="486"/>
        <w:gridCol w:w="2003"/>
        <w:gridCol w:w="1400"/>
        <w:gridCol w:w="2003"/>
        <w:gridCol w:w="1401"/>
      </w:tblGrid>
      <w:tr w14:paraId="2ABE3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21" w:type="pct"/>
            <w:tcBorders>
              <w:top w:val="single" w:color="000000" w:sz="12" w:space="0"/>
              <w:left w:val="nil"/>
              <w:bottom w:val="single" w:color="000000" w:sz="6" w:space="0"/>
              <w:right w:val="nil"/>
              <w:insideH w:val="nil"/>
              <w:insideV w:val="nil"/>
            </w:tcBorders>
            <w:vAlign w:val="center"/>
          </w:tcPr>
          <w:p w14:paraId="1020CC82">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Subgroup</w:t>
            </w:r>
          </w:p>
        </w:tc>
        <w:tc>
          <w:tcPr>
            <w:tcW w:w="285" w:type="pct"/>
            <w:tcBorders>
              <w:top w:val="single" w:color="000000" w:sz="12" w:space="0"/>
              <w:left w:val="nil"/>
              <w:bottom w:val="single" w:color="000000" w:sz="6" w:space="0"/>
              <w:right w:val="nil"/>
              <w:insideH w:val="nil"/>
              <w:insideV w:val="nil"/>
            </w:tcBorders>
            <w:vAlign w:val="center"/>
          </w:tcPr>
          <w:p w14:paraId="7AA99F1D">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N</w:t>
            </w:r>
          </w:p>
        </w:tc>
        <w:tc>
          <w:tcPr>
            <w:tcW w:w="1175" w:type="pct"/>
            <w:tcBorders>
              <w:top w:val="single" w:color="000000" w:sz="12" w:space="0"/>
              <w:left w:val="nil"/>
              <w:bottom w:val="single" w:color="000000" w:sz="6" w:space="0"/>
              <w:right w:val="nil"/>
              <w:insideH w:val="nil"/>
              <w:insideV w:val="nil"/>
            </w:tcBorders>
            <w:vAlign w:val="center"/>
          </w:tcPr>
          <w:p w14:paraId="38FE2074">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ACTB-1 Median (IQR)</w:t>
            </w:r>
          </w:p>
        </w:tc>
        <w:tc>
          <w:tcPr>
            <w:tcW w:w="821" w:type="pct"/>
            <w:tcBorders>
              <w:top w:val="single" w:color="000000" w:sz="12" w:space="0"/>
              <w:left w:val="nil"/>
              <w:bottom w:val="single" w:color="000000" w:sz="6" w:space="0"/>
              <w:right w:val="nil"/>
              <w:insideH w:val="nil"/>
              <w:insideV w:val="nil"/>
            </w:tcBorders>
            <w:vAlign w:val="center"/>
          </w:tcPr>
          <w:p w14:paraId="41256500">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ACTB-1 Range</w:t>
            </w:r>
          </w:p>
        </w:tc>
        <w:tc>
          <w:tcPr>
            <w:tcW w:w="1175" w:type="pct"/>
            <w:tcBorders>
              <w:top w:val="single" w:color="000000" w:sz="12" w:space="0"/>
              <w:left w:val="nil"/>
              <w:bottom w:val="single" w:color="000000" w:sz="6" w:space="0"/>
              <w:right w:val="nil"/>
              <w:insideH w:val="nil"/>
              <w:insideV w:val="nil"/>
            </w:tcBorders>
            <w:vAlign w:val="center"/>
          </w:tcPr>
          <w:p w14:paraId="18E35200">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ACTB-2 Median (IQR)</w:t>
            </w:r>
          </w:p>
        </w:tc>
        <w:tc>
          <w:tcPr>
            <w:tcW w:w="821" w:type="pct"/>
            <w:tcBorders>
              <w:top w:val="single" w:color="000000" w:sz="12" w:space="0"/>
              <w:left w:val="nil"/>
              <w:bottom w:val="single" w:color="000000" w:sz="6" w:space="0"/>
              <w:right w:val="nil"/>
              <w:insideH w:val="nil"/>
              <w:insideV w:val="nil"/>
            </w:tcBorders>
            <w:vAlign w:val="center"/>
          </w:tcPr>
          <w:p w14:paraId="4A9EC906">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ACTB-2 Range</w:t>
            </w:r>
          </w:p>
        </w:tc>
      </w:tr>
      <w:tr w14:paraId="52C42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1" w:type="pct"/>
            <w:tcBorders>
              <w:top w:val="nil"/>
              <w:left w:val="nil"/>
              <w:bottom w:val="nil"/>
              <w:right w:val="nil"/>
              <w:insideH w:val="nil"/>
              <w:insideV w:val="nil"/>
            </w:tcBorders>
            <w:vAlign w:val="center"/>
          </w:tcPr>
          <w:p w14:paraId="6A5DF71D">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Training Set</w:t>
            </w:r>
          </w:p>
        </w:tc>
        <w:tc>
          <w:tcPr>
            <w:tcW w:w="285" w:type="pct"/>
            <w:tcBorders>
              <w:top w:val="nil"/>
              <w:left w:val="nil"/>
              <w:bottom w:val="nil"/>
              <w:right w:val="nil"/>
              <w:insideH w:val="nil"/>
              <w:insideV w:val="nil"/>
            </w:tcBorders>
            <w:vAlign w:val="center"/>
          </w:tcPr>
          <w:p w14:paraId="4ECD244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425</w:t>
            </w:r>
          </w:p>
        </w:tc>
        <w:tc>
          <w:tcPr>
            <w:tcW w:w="1175" w:type="pct"/>
            <w:tcBorders>
              <w:top w:val="nil"/>
              <w:left w:val="nil"/>
              <w:bottom w:val="nil"/>
              <w:right w:val="nil"/>
              <w:insideH w:val="nil"/>
              <w:insideV w:val="nil"/>
            </w:tcBorders>
            <w:vAlign w:val="center"/>
          </w:tcPr>
          <w:p w14:paraId="1C2B6832">
            <w:pPr>
              <w:snapToGrid w:val="0"/>
              <w:spacing w:line="240" w:lineRule="auto"/>
              <w:ind w:left="0" w:leftChars="0" w:right="0" w:rightChars="0" w:firstLine="0" w:firstLineChars="0"/>
              <w:jc w:val="center"/>
              <w:rPr>
                <w:rFonts w:ascii="Times New Roman" w:eastAsia="宋体"/>
                <w:sz w:val="18"/>
              </w:rPr>
            </w:pPr>
            <w:r>
              <w:rPr>
                <w:rFonts w:ascii="Times New Roman" w:hAnsi="Times New Roman"/>
                <w:b w:val="0"/>
                <w:sz w:val="18"/>
              </w:rPr>
              <w:t>28.</w:t>
            </w:r>
            <w:r>
              <w:rPr>
                <w:rFonts w:hint="eastAsia" w:ascii="Times New Roman" w:hAnsi="Times New Roman"/>
                <w:b w:val="0"/>
                <w:sz w:val="18"/>
                <w:lang w:val="en-US" w:eastAsia="zh-CN"/>
              </w:rPr>
              <w:t>56</w:t>
            </w:r>
            <w:r>
              <w:rPr>
                <w:rFonts w:ascii="Times New Roman" w:hAnsi="Times New Roman"/>
                <w:b w:val="0"/>
                <w:sz w:val="18"/>
              </w:rPr>
              <w:t xml:space="preserve"> (26.4</w:t>
            </w:r>
            <w:r>
              <w:rPr>
                <w:rFonts w:hint="eastAsia" w:ascii="Times New Roman" w:hAnsi="Times New Roman"/>
                <w:b w:val="0"/>
                <w:sz w:val="18"/>
                <w:lang w:val="en-US" w:eastAsia="zh-CN"/>
              </w:rPr>
              <w:t>0</w:t>
            </w:r>
            <w:r>
              <w:rPr>
                <w:rFonts w:ascii="Times New Roman" w:hAnsi="Times New Roman"/>
                <w:b w:val="0"/>
                <w:sz w:val="18"/>
              </w:rPr>
              <w:t>-30.4</w:t>
            </w:r>
            <w:r>
              <w:rPr>
                <w:rFonts w:hint="eastAsia" w:ascii="Times New Roman" w:hAnsi="Times New Roman"/>
                <w:b w:val="0"/>
                <w:sz w:val="18"/>
                <w:lang w:val="en-US" w:eastAsia="zh-CN"/>
              </w:rPr>
              <w:t>0</w:t>
            </w:r>
            <w:r>
              <w:rPr>
                <w:rFonts w:ascii="Times New Roman" w:hAnsi="Times New Roman"/>
                <w:b w:val="0"/>
                <w:sz w:val="18"/>
              </w:rPr>
              <w:t>)</w:t>
            </w:r>
          </w:p>
        </w:tc>
        <w:tc>
          <w:tcPr>
            <w:tcW w:w="821" w:type="pct"/>
            <w:tcBorders>
              <w:top w:val="nil"/>
              <w:left w:val="nil"/>
              <w:bottom w:val="nil"/>
              <w:right w:val="nil"/>
              <w:insideH w:val="nil"/>
              <w:insideV w:val="nil"/>
            </w:tcBorders>
            <w:vAlign w:val="center"/>
          </w:tcPr>
          <w:p w14:paraId="2FBB44C5">
            <w:pPr>
              <w:snapToGrid w:val="0"/>
              <w:spacing w:line="240" w:lineRule="auto"/>
              <w:ind w:left="0" w:leftChars="0" w:right="0" w:rightChars="0" w:firstLine="0" w:firstLineChars="0"/>
              <w:jc w:val="center"/>
              <w:rPr>
                <w:rFonts w:ascii="Times New Roman" w:eastAsia="宋体"/>
                <w:sz w:val="18"/>
              </w:rPr>
            </w:pPr>
            <w:r>
              <w:rPr>
                <w:rFonts w:ascii="Times New Roman" w:hAnsi="Times New Roman"/>
                <w:b w:val="0"/>
                <w:sz w:val="18"/>
              </w:rPr>
              <w:t>21.</w:t>
            </w:r>
            <w:r>
              <w:rPr>
                <w:rFonts w:hint="eastAsia" w:ascii="Times New Roman" w:hAnsi="Times New Roman"/>
                <w:b w:val="0"/>
                <w:sz w:val="18"/>
                <w:lang w:val="en-US" w:eastAsia="zh-CN"/>
              </w:rPr>
              <w:t>89</w:t>
            </w:r>
            <w:r>
              <w:rPr>
                <w:rFonts w:ascii="Times New Roman" w:hAnsi="Times New Roman"/>
                <w:b w:val="0"/>
                <w:sz w:val="18"/>
              </w:rPr>
              <w:t>-34.7</w:t>
            </w:r>
            <w:r>
              <w:rPr>
                <w:rFonts w:hint="eastAsia" w:ascii="Times New Roman" w:hAnsi="Times New Roman"/>
                <w:b w:val="0"/>
                <w:sz w:val="18"/>
                <w:lang w:val="en-US" w:eastAsia="zh-CN"/>
              </w:rPr>
              <w:t>0</w:t>
            </w:r>
          </w:p>
        </w:tc>
        <w:tc>
          <w:tcPr>
            <w:tcW w:w="1175" w:type="pct"/>
            <w:tcBorders>
              <w:top w:val="nil"/>
              <w:left w:val="nil"/>
              <w:bottom w:val="nil"/>
              <w:right w:val="nil"/>
              <w:insideH w:val="nil"/>
              <w:insideV w:val="nil"/>
            </w:tcBorders>
            <w:vAlign w:val="center"/>
          </w:tcPr>
          <w:p w14:paraId="4C61BFA6">
            <w:pPr>
              <w:snapToGrid w:val="0"/>
              <w:spacing w:line="240" w:lineRule="auto"/>
              <w:ind w:left="0" w:leftChars="0" w:right="0" w:rightChars="0" w:firstLine="0" w:firstLineChars="0"/>
              <w:jc w:val="center"/>
              <w:rPr>
                <w:rFonts w:ascii="Times New Roman" w:eastAsia="宋体"/>
                <w:sz w:val="18"/>
              </w:rPr>
            </w:pPr>
            <w:r>
              <w:rPr>
                <w:rFonts w:ascii="Times New Roman" w:hAnsi="Times New Roman"/>
                <w:b w:val="0"/>
                <w:sz w:val="18"/>
              </w:rPr>
              <w:t>28.</w:t>
            </w:r>
            <w:r>
              <w:rPr>
                <w:rFonts w:hint="eastAsia" w:ascii="Times New Roman" w:hAnsi="Times New Roman"/>
                <w:b w:val="0"/>
                <w:sz w:val="18"/>
                <w:lang w:val="en-US" w:eastAsia="zh-CN"/>
              </w:rPr>
              <w:t>58</w:t>
            </w:r>
            <w:r>
              <w:rPr>
                <w:rFonts w:ascii="Times New Roman" w:hAnsi="Times New Roman"/>
                <w:b w:val="0"/>
                <w:sz w:val="18"/>
              </w:rPr>
              <w:t xml:space="preserve"> (26.2</w:t>
            </w:r>
            <w:r>
              <w:rPr>
                <w:rFonts w:hint="eastAsia" w:ascii="Times New Roman" w:hAnsi="Times New Roman"/>
                <w:b w:val="0"/>
                <w:sz w:val="18"/>
                <w:lang w:val="en-US" w:eastAsia="zh-CN"/>
              </w:rPr>
              <w:t>5</w:t>
            </w:r>
            <w:r>
              <w:rPr>
                <w:rFonts w:ascii="Times New Roman" w:hAnsi="Times New Roman"/>
                <w:b w:val="0"/>
                <w:sz w:val="18"/>
              </w:rPr>
              <w:t>-30.2</w:t>
            </w:r>
            <w:r>
              <w:rPr>
                <w:rFonts w:hint="eastAsia" w:ascii="Times New Roman" w:hAnsi="Times New Roman"/>
                <w:b w:val="0"/>
                <w:sz w:val="18"/>
                <w:lang w:val="en-US" w:eastAsia="zh-CN"/>
              </w:rPr>
              <w:t>3</w:t>
            </w:r>
            <w:r>
              <w:rPr>
                <w:rFonts w:ascii="Times New Roman" w:hAnsi="Times New Roman"/>
                <w:b w:val="0"/>
                <w:sz w:val="18"/>
              </w:rPr>
              <w:t>)</w:t>
            </w:r>
          </w:p>
        </w:tc>
        <w:tc>
          <w:tcPr>
            <w:tcW w:w="821" w:type="pct"/>
            <w:tcBorders>
              <w:top w:val="nil"/>
              <w:left w:val="nil"/>
              <w:bottom w:val="nil"/>
              <w:right w:val="nil"/>
              <w:insideH w:val="nil"/>
              <w:insideV w:val="nil"/>
            </w:tcBorders>
            <w:vAlign w:val="center"/>
          </w:tcPr>
          <w:p w14:paraId="03F4DD66">
            <w:pPr>
              <w:snapToGrid w:val="0"/>
              <w:spacing w:line="240" w:lineRule="auto"/>
              <w:ind w:left="0" w:leftChars="0" w:right="0" w:rightChars="0" w:firstLine="0" w:firstLineChars="0"/>
              <w:jc w:val="center"/>
              <w:rPr>
                <w:rFonts w:ascii="Times New Roman" w:eastAsia="宋体"/>
                <w:sz w:val="18"/>
              </w:rPr>
            </w:pPr>
            <w:r>
              <w:rPr>
                <w:rFonts w:ascii="Times New Roman" w:hAnsi="Times New Roman"/>
                <w:b w:val="0"/>
                <w:sz w:val="18"/>
              </w:rPr>
              <w:t>21.</w:t>
            </w:r>
            <w:r>
              <w:rPr>
                <w:rFonts w:hint="eastAsia" w:ascii="Times New Roman" w:hAnsi="Times New Roman"/>
                <w:b w:val="0"/>
                <w:sz w:val="18"/>
                <w:lang w:val="en-US" w:eastAsia="zh-CN"/>
              </w:rPr>
              <w:t>85</w:t>
            </w:r>
            <w:r>
              <w:rPr>
                <w:rFonts w:ascii="Times New Roman" w:hAnsi="Times New Roman"/>
                <w:b w:val="0"/>
                <w:sz w:val="18"/>
              </w:rPr>
              <w:t>-34.</w:t>
            </w:r>
            <w:r>
              <w:rPr>
                <w:rFonts w:hint="eastAsia" w:ascii="Times New Roman" w:hAnsi="Times New Roman"/>
                <w:b w:val="0"/>
                <w:sz w:val="18"/>
                <w:lang w:val="en-US" w:eastAsia="zh-CN"/>
              </w:rPr>
              <w:t>58</w:t>
            </w:r>
          </w:p>
        </w:tc>
      </w:tr>
      <w:tr w14:paraId="7CB9E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1" w:type="pct"/>
            <w:tcBorders>
              <w:top w:val="nil"/>
              <w:left w:val="nil"/>
              <w:bottom w:val="nil"/>
              <w:right w:val="nil"/>
              <w:insideH w:val="nil"/>
              <w:insideV w:val="nil"/>
            </w:tcBorders>
            <w:vAlign w:val="center"/>
          </w:tcPr>
          <w:p w14:paraId="1757C90F">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Validation Set</w:t>
            </w:r>
          </w:p>
        </w:tc>
        <w:tc>
          <w:tcPr>
            <w:tcW w:w="285" w:type="pct"/>
            <w:tcBorders>
              <w:top w:val="nil"/>
              <w:left w:val="nil"/>
              <w:bottom w:val="nil"/>
              <w:right w:val="nil"/>
              <w:insideH w:val="nil"/>
              <w:insideV w:val="nil"/>
            </w:tcBorders>
            <w:vAlign w:val="center"/>
          </w:tcPr>
          <w:p w14:paraId="512AFF34">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184</w:t>
            </w:r>
          </w:p>
        </w:tc>
        <w:tc>
          <w:tcPr>
            <w:tcW w:w="1175" w:type="pct"/>
            <w:tcBorders>
              <w:top w:val="nil"/>
              <w:left w:val="nil"/>
              <w:bottom w:val="nil"/>
              <w:right w:val="nil"/>
              <w:insideH w:val="nil"/>
              <w:insideV w:val="nil"/>
            </w:tcBorders>
            <w:vAlign w:val="center"/>
          </w:tcPr>
          <w:p w14:paraId="6AF0D08E">
            <w:pPr>
              <w:snapToGrid w:val="0"/>
              <w:spacing w:line="240" w:lineRule="auto"/>
              <w:ind w:left="0" w:leftChars="0" w:right="0" w:rightChars="0" w:firstLine="0" w:firstLineChars="0"/>
              <w:jc w:val="center"/>
              <w:rPr>
                <w:rFonts w:ascii="Times New Roman" w:eastAsia="宋体"/>
                <w:sz w:val="18"/>
              </w:rPr>
            </w:pPr>
            <w:r>
              <w:rPr>
                <w:rFonts w:ascii="Times New Roman" w:hAnsi="Times New Roman"/>
                <w:b w:val="0"/>
                <w:sz w:val="18"/>
              </w:rPr>
              <w:t>28.</w:t>
            </w:r>
            <w:r>
              <w:rPr>
                <w:rFonts w:hint="eastAsia" w:ascii="Times New Roman" w:hAnsi="Times New Roman"/>
                <w:b w:val="0"/>
                <w:sz w:val="18"/>
                <w:lang w:val="en-US" w:eastAsia="zh-CN"/>
              </w:rPr>
              <w:t>38</w:t>
            </w:r>
            <w:r>
              <w:rPr>
                <w:rFonts w:ascii="Times New Roman" w:hAnsi="Times New Roman"/>
                <w:b w:val="0"/>
                <w:sz w:val="18"/>
              </w:rPr>
              <w:t xml:space="preserve"> (25.6</w:t>
            </w:r>
            <w:r>
              <w:rPr>
                <w:rFonts w:hint="eastAsia" w:ascii="Times New Roman" w:hAnsi="Times New Roman"/>
                <w:b w:val="0"/>
                <w:sz w:val="18"/>
                <w:lang w:val="en-US" w:eastAsia="zh-CN"/>
              </w:rPr>
              <w:t>3</w:t>
            </w:r>
            <w:r>
              <w:rPr>
                <w:rFonts w:ascii="Times New Roman" w:hAnsi="Times New Roman"/>
                <w:b w:val="0"/>
                <w:sz w:val="18"/>
              </w:rPr>
              <w:t>-30.</w:t>
            </w:r>
            <w:r>
              <w:rPr>
                <w:rFonts w:hint="eastAsia" w:ascii="Times New Roman" w:hAnsi="Times New Roman"/>
                <w:b w:val="0"/>
                <w:sz w:val="18"/>
                <w:lang w:val="en-US" w:eastAsia="zh-CN"/>
              </w:rPr>
              <w:t>29</w:t>
            </w:r>
            <w:r>
              <w:rPr>
                <w:rFonts w:ascii="Times New Roman" w:hAnsi="Times New Roman"/>
                <w:b w:val="0"/>
                <w:sz w:val="18"/>
              </w:rPr>
              <w:t>)</w:t>
            </w:r>
          </w:p>
        </w:tc>
        <w:tc>
          <w:tcPr>
            <w:tcW w:w="821" w:type="pct"/>
            <w:tcBorders>
              <w:top w:val="nil"/>
              <w:left w:val="nil"/>
              <w:bottom w:val="nil"/>
              <w:right w:val="nil"/>
              <w:insideH w:val="nil"/>
              <w:insideV w:val="nil"/>
            </w:tcBorders>
            <w:vAlign w:val="center"/>
          </w:tcPr>
          <w:p w14:paraId="1BAECAE4">
            <w:pPr>
              <w:snapToGrid w:val="0"/>
              <w:spacing w:line="240" w:lineRule="auto"/>
              <w:ind w:left="0" w:leftChars="0" w:right="0" w:rightChars="0" w:firstLine="0" w:firstLineChars="0"/>
              <w:jc w:val="center"/>
              <w:rPr>
                <w:rFonts w:ascii="Times New Roman" w:eastAsia="宋体"/>
                <w:sz w:val="18"/>
              </w:rPr>
            </w:pPr>
            <w:r>
              <w:rPr>
                <w:rFonts w:ascii="Times New Roman" w:hAnsi="Times New Roman"/>
                <w:b w:val="0"/>
                <w:sz w:val="18"/>
              </w:rPr>
              <w:t>22.0</w:t>
            </w:r>
            <w:r>
              <w:rPr>
                <w:rFonts w:hint="eastAsia" w:ascii="Times New Roman" w:hAnsi="Times New Roman"/>
                <w:b w:val="0"/>
                <w:sz w:val="18"/>
                <w:lang w:val="en-US" w:eastAsia="zh-CN"/>
              </w:rPr>
              <w:t>3</w:t>
            </w:r>
            <w:r>
              <w:rPr>
                <w:rFonts w:ascii="Times New Roman" w:hAnsi="Times New Roman"/>
                <w:b w:val="0"/>
                <w:sz w:val="18"/>
              </w:rPr>
              <w:t>-34.</w:t>
            </w:r>
            <w:r>
              <w:rPr>
                <w:rFonts w:hint="eastAsia" w:ascii="Times New Roman" w:hAnsi="Times New Roman"/>
                <w:b w:val="0"/>
                <w:sz w:val="18"/>
                <w:lang w:val="en-US" w:eastAsia="zh-CN"/>
              </w:rPr>
              <w:t>89</w:t>
            </w:r>
          </w:p>
        </w:tc>
        <w:tc>
          <w:tcPr>
            <w:tcW w:w="1175" w:type="pct"/>
            <w:tcBorders>
              <w:top w:val="nil"/>
              <w:left w:val="nil"/>
              <w:bottom w:val="nil"/>
              <w:right w:val="nil"/>
              <w:insideH w:val="nil"/>
              <w:insideV w:val="nil"/>
            </w:tcBorders>
            <w:vAlign w:val="center"/>
          </w:tcPr>
          <w:p w14:paraId="016EC2F2">
            <w:pPr>
              <w:snapToGrid w:val="0"/>
              <w:spacing w:line="240" w:lineRule="auto"/>
              <w:ind w:left="0" w:leftChars="0" w:right="0" w:rightChars="0" w:firstLine="0" w:firstLineChars="0"/>
              <w:jc w:val="center"/>
              <w:rPr>
                <w:rFonts w:ascii="Times New Roman" w:eastAsia="宋体"/>
                <w:sz w:val="18"/>
              </w:rPr>
            </w:pPr>
            <w:r>
              <w:rPr>
                <w:rFonts w:ascii="Times New Roman" w:hAnsi="Times New Roman"/>
                <w:b w:val="0"/>
                <w:sz w:val="18"/>
              </w:rPr>
              <w:t>28.</w:t>
            </w:r>
            <w:r>
              <w:rPr>
                <w:rFonts w:hint="eastAsia" w:ascii="Times New Roman" w:hAnsi="Times New Roman"/>
                <w:b w:val="0"/>
                <w:sz w:val="18"/>
                <w:lang w:val="en-US" w:eastAsia="zh-CN"/>
              </w:rPr>
              <w:t>38</w:t>
            </w:r>
            <w:r>
              <w:rPr>
                <w:rFonts w:ascii="Times New Roman" w:hAnsi="Times New Roman"/>
                <w:b w:val="0"/>
                <w:sz w:val="18"/>
              </w:rPr>
              <w:t xml:space="preserve"> (25.6</w:t>
            </w:r>
            <w:r>
              <w:rPr>
                <w:rFonts w:hint="eastAsia" w:ascii="Times New Roman" w:hAnsi="Times New Roman"/>
                <w:b w:val="0"/>
                <w:sz w:val="18"/>
                <w:lang w:val="en-US" w:eastAsia="zh-CN"/>
              </w:rPr>
              <w:t>1</w:t>
            </w:r>
            <w:r>
              <w:rPr>
                <w:rFonts w:ascii="Times New Roman" w:hAnsi="Times New Roman"/>
                <w:b w:val="0"/>
                <w:sz w:val="18"/>
              </w:rPr>
              <w:t>-30.1</w:t>
            </w:r>
            <w:r>
              <w:rPr>
                <w:rFonts w:hint="eastAsia" w:ascii="Times New Roman" w:hAnsi="Times New Roman"/>
                <w:b w:val="0"/>
                <w:sz w:val="18"/>
                <w:lang w:val="en-US" w:eastAsia="zh-CN"/>
              </w:rPr>
              <w:t>2</w:t>
            </w:r>
            <w:r>
              <w:rPr>
                <w:rFonts w:ascii="Times New Roman" w:hAnsi="Times New Roman"/>
                <w:b w:val="0"/>
                <w:sz w:val="18"/>
              </w:rPr>
              <w:t>)</w:t>
            </w:r>
          </w:p>
        </w:tc>
        <w:tc>
          <w:tcPr>
            <w:tcW w:w="821" w:type="pct"/>
            <w:tcBorders>
              <w:top w:val="nil"/>
              <w:left w:val="nil"/>
              <w:bottom w:val="nil"/>
              <w:right w:val="nil"/>
              <w:insideH w:val="nil"/>
              <w:insideV w:val="nil"/>
            </w:tcBorders>
            <w:vAlign w:val="center"/>
          </w:tcPr>
          <w:p w14:paraId="53563AD9">
            <w:pPr>
              <w:snapToGrid w:val="0"/>
              <w:spacing w:line="240" w:lineRule="auto"/>
              <w:ind w:left="0" w:leftChars="0" w:right="0" w:rightChars="0" w:firstLine="0" w:firstLineChars="0"/>
              <w:jc w:val="center"/>
              <w:rPr>
                <w:rFonts w:ascii="Times New Roman" w:eastAsia="宋体"/>
                <w:sz w:val="18"/>
              </w:rPr>
            </w:pPr>
            <w:r>
              <w:rPr>
                <w:rFonts w:ascii="Times New Roman" w:hAnsi="Times New Roman"/>
                <w:b w:val="0"/>
                <w:sz w:val="18"/>
              </w:rPr>
              <w:t>22.0-34.</w:t>
            </w:r>
            <w:r>
              <w:rPr>
                <w:rFonts w:hint="eastAsia" w:ascii="Times New Roman" w:hAnsi="Times New Roman"/>
                <w:b w:val="0"/>
                <w:sz w:val="18"/>
                <w:lang w:val="en-US" w:eastAsia="zh-CN"/>
              </w:rPr>
              <w:t>75</w:t>
            </w:r>
          </w:p>
        </w:tc>
      </w:tr>
      <w:tr w14:paraId="48512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1" w:type="pct"/>
            <w:tcBorders>
              <w:top w:val="nil"/>
              <w:left w:val="nil"/>
              <w:bottom w:val="nil"/>
              <w:right w:val="nil"/>
              <w:insideH w:val="nil"/>
              <w:insideV w:val="nil"/>
            </w:tcBorders>
            <w:vAlign w:val="center"/>
          </w:tcPr>
          <w:p w14:paraId="44BCA0E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Cancer</w:t>
            </w:r>
          </w:p>
        </w:tc>
        <w:tc>
          <w:tcPr>
            <w:tcW w:w="285" w:type="pct"/>
            <w:tcBorders>
              <w:top w:val="nil"/>
              <w:left w:val="nil"/>
              <w:bottom w:val="nil"/>
              <w:right w:val="nil"/>
              <w:insideH w:val="nil"/>
              <w:insideV w:val="nil"/>
            </w:tcBorders>
            <w:vAlign w:val="center"/>
          </w:tcPr>
          <w:p w14:paraId="0BC76B64">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275</w:t>
            </w:r>
          </w:p>
        </w:tc>
        <w:tc>
          <w:tcPr>
            <w:tcW w:w="1175" w:type="pct"/>
            <w:tcBorders>
              <w:top w:val="nil"/>
              <w:left w:val="nil"/>
              <w:bottom w:val="nil"/>
              <w:right w:val="nil"/>
              <w:insideH w:val="nil"/>
              <w:insideV w:val="nil"/>
            </w:tcBorders>
            <w:vAlign w:val="center"/>
          </w:tcPr>
          <w:p w14:paraId="719880E2">
            <w:pPr>
              <w:snapToGrid w:val="0"/>
              <w:spacing w:line="240" w:lineRule="auto"/>
              <w:ind w:left="0" w:leftChars="0" w:right="0" w:rightChars="0" w:firstLine="0" w:firstLineChars="0"/>
              <w:jc w:val="center"/>
              <w:rPr>
                <w:rFonts w:ascii="Times New Roman" w:eastAsia="宋体"/>
                <w:sz w:val="18"/>
              </w:rPr>
            </w:pPr>
            <w:r>
              <w:rPr>
                <w:rFonts w:ascii="Times New Roman" w:hAnsi="Times New Roman"/>
                <w:b w:val="0"/>
                <w:sz w:val="18"/>
              </w:rPr>
              <w:t>26.4</w:t>
            </w:r>
            <w:r>
              <w:rPr>
                <w:rFonts w:hint="eastAsia" w:ascii="Times New Roman" w:hAnsi="Times New Roman"/>
                <w:b w:val="0"/>
                <w:sz w:val="18"/>
                <w:lang w:val="en-US" w:eastAsia="zh-CN"/>
              </w:rPr>
              <w:t>2</w:t>
            </w:r>
            <w:r>
              <w:rPr>
                <w:rFonts w:ascii="Times New Roman" w:hAnsi="Times New Roman"/>
                <w:b w:val="0"/>
                <w:sz w:val="18"/>
              </w:rPr>
              <w:t xml:space="preserve"> (24.5</w:t>
            </w:r>
            <w:r>
              <w:rPr>
                <w:rFonts w:hint="eastAsia" w:ascii="Times New Roman" w:hAnsi="Times New Roman"/>
                <w:b w:val="0"/>
                <w:sz w:val="18"/>
                <w:lang w:val="en-US" w:eastAsia="zh-CN"/>
              </w:rPr>
              <w:t>1</w:t>
            </w:r>
            <w:r>
              <w:rPr>
                <w:rFonts w:ascii="Times New Roman" w:hAnsi="Times New Roman"/>
                <w:b w:val="0"/>
                <w:sz w:val="18"/>
              </w:rPr>
              <w:t>-28.4</w:t>
            </w:r>
            <w:r>
              <w:rPr>
                <w:rFonts w:hint="eastAsia" w:ascii="Times New Roman" w:hAnsi="Times New Roman"/>
                <w:b w:val="0"/>
                <w:sz w:val="18"/>
                <w:lang w:val="en-US" w:eastAsia="zh-CN"/>
              </w:rPr>
              <w:t>3</w:t>
            </w:r>
            <w:r>
              <w:rPr>
                <w:rFonts w:ascii="Times New Roman" w:hAnsi="Times New Roman"/>
                <w:b w:val="0"/>
                <w:sz w:val="18"/>
              </w:rPr>
              <w:t>)</w:t>
            </w:r>
          </w:p>
        </w:tc>
        <w:tc>
          <w:tcPr>
            <w:tcW w:w="821" w:type="pct"/>
            <w:tcBorders>
              <w:top w:val="nil"/>
              <w:left w:val="nil"/>
              <w:bottom w:val="nil"/>
              <w:right w:val="nil"/>
              <w:insideH w:val="nil"/>
              <w:insideV w:val="nil"/>
            </w:tcBorders>
            <w:vAlign w:val="center"/>
          </w:tcPr>
          <w:p w14:paraId="391A667E">
            <w:pPr>
              <w:snapToGrid w:val="0"/>
              <w:spacing w:line="240" w:lineRule="auto"/>
              <w:ind w:left="0" w:leftChars="0" w:right="0" w:rightChars="0" w:firstLine="0" w:firstLineChars="0"/>
              <w:jc w:val="center"/>
              <w:rPr>
                <w:rFonts w:ascii="Times New Roman" w:eastAsia="宋体"/>
                <w:sz w:val="18"/>
              </w:rPr>
            </w:pPr>
            <w:r>
              <w:rPr>
                <w:rFonts w:ascii="Times New Roman" w:hAnsi="Times New Roman"/>
                <w:b w:val="0"/>
                <w:sz w:val="18"/>
              </w:rPr>
              <w:t>21.</w:t>
            </w:r>
            <w:r>
              <w:rPr>
                <w:rFonts w:hint="eastAsia" w:ascii="Times New Roman" w:hAnsi="Times New Roman"/>
                <w:b w:val="0"/>
                <w:sz w:val="18"/>
                <w:lang w:val="en-US" w:eastAsia="zh-CN"/>
              </w:rPr>
              <w:t>89</w:t>
            </w:r>
            <w:r>
              <w:rPr>
                <w:rFonts w:ascii="Times New Roman" w:hAnsi="Times New Roman"/>
                <w:b w:val="0"/>
                <w:sz w:val="18"/>
              </w:rPr>
              <w:t>-34.0</w:t>
            </w:r>
            <w:r>
              <w:rPr>
                <w:rFonts w:hint="eastAsia" w:ascii="Times New Roman" w:hAnsi="Times New Roman"/>
                <w:b w:val="0"/>
                <w:sz w:val="18"/>
                <w:lang w:val="en-US" w:eastAsia="zh-CN"/>
              </w:rPr>
              <w:t>4</w:t>
            </w:r>
          </w:p>
        </w:tc>
        <w:tc>
          <w:tcPr>
            <w:tcW w:w="1175" w:type="pct"/>
            <w:tcBorders>
              <w:top w:val="nil"/>
              <w:left w:val="nil"/>
              <w:bottom w:val="nil"/>
              <w:right w:val="nil"/>
              <w:insideH w:val="nil"/>
              <w:insideV w:val="nil"/>
            </w:tcBorders>
            <w:vAlign w:val="center"/>
          </w:tcPr>
          <w:p w14:paraId="06FC9076">
            <w:pPr>
              <w:snapToGrid w:val="0"/>
              <w:spacing w:line="240" w:lineRule="auto"/>
              <w:ind w:left="0" w:leftChars="0" w:right="0" w:rightChars="0" w:firstLine="0" w:firstLineChars="0"/>
              <w:jc w:val="center"/>
              <w:rPr>
                <w:rFonts w:ascii="Times New Roman" w:eastAsia="宋体"/>
                <w:sz w:val="18"/>
              </w:rPr>
            </w:pPr>
            <w:r>
              <w:rPr>
                <w:rFonts w:ascii="Times New Roman" w:hAnsi="Times New Roman"/>
                <w:b w:val="0"/>
                <w:sz w:val="18"/>
              </w:rPr>
              <w:t>26.</w:t>
            </w:r>
            <w:r>
              <w:rPr>
                <w:rFonts w:hint="eastAsia" w:ascii="Times New Roman" w:hAnsi="Times New Roman"/>
                <w:b w:val="0"/>
                <w:sz w:val="18"/>
                <w:lang w:val="en-US" w:eastAsia="zh-CN"/>
              </w:rPr>
              <w:t>29</w:t>
            </w:r>
            <w:r>
              <w:rPr>
                <w:rFonts w:ascii="Times New Roman" w:hAnsi="Times New Roman"/>
                <w:b w:val="0"/>
                <w:sz w:val="18"/>
              </w:rPr>
              <w:t xml:space="preserve"> (24.</w:t>
            </w:r>
            <w:r>
              <w:rPr>
                <w:rFonts w:hint="eastAsia" w:ascii="Times New Roman" w:hAnsi="Times New Roman"/>
                <w:b w:val="0"/>
                <w:sz w:val="18"/>
                <w:lang w:val="en-US" w:eastAsia="zh-CN"/>
              </w:rPr>
              <w:t>55</w:t>
            </w:r>
            <w:r>
              <w:rPr>
                <w:rFonts w:ascii="Times New Roman" w:hAnsi="Times New Roman"/>
                <w:b w:val="0"/>
                <w:sz w:val="18"/>
              </w:rPr>
              <w:t>-28.</w:t>
            </w:r>
            <w:r>
              <w:rPr>
                <w:rFonts w:hint="eastAsia" w:ascii="Times New Roman" w:hAnsi="Times New Roman"/>
                <w:b w:val="0"/>
                <w:sz w:val="18"/>
                <w:lang w:val="en-US" w:eastAsia="zh-CN"/>
              </w:rPr>
              <w:t>49</w:t>
            </w:r>
            <w:r>
              <w:rPr>
                <w:rFonts w:ascii="Times New Roman" w:hAnsi="Times New Roman"/>
                <w:b w:val="0"/>
                <w:sz w:val="18"/>
              </w:rPr>
              <w:t>)</w:t>
            </w:r>
          </w:p>
        </w:tc>
        <w:tc>
          <w:tcPr>
            <w:tcW w:w="821" w:type="pct"/>
            <w:tcBorders>
              <w:top w:val="nil"/>
              <w:left w:val="nil"/>
              <w:bottom w:val="nil"/>
              <w:right w:val="nil"/>
              <w:insideH w:val="nil"/>
              <w:insideV w:val="nil"/>
            </w:tcBorders>
            <w:vAlign w:val="center"/>
          </w:tcPr>
          <w:p w14:paraId="5028C5C1">
            <w:pPr>
              <w:snapToGrid w:val="0"/>
              <w:spacing w:line="240" w:lineRule="auto"/>
              <w:ind w:left="0" w:leftChars="0" w:right="0" w:rightChars="0" w:firstLine="0" w:firstLineChars="0"/>
              <w:jc w:val="center"/>
              <w:rPr>
                <w:rFonts w:ascii="Times New Roman" w:eastAsia="宋体"/>
                <w:sz w:val="18"/>
              </w:rPr>
            </w:pPr>
            <w:r>
              <w:rPr>
                <w:rFonts w:ascii="Times New Roman" w:hAnsi="Times New Roman"/>
                <w:b w:val="0"/>
                <w:sz w:val="18"/>
              </w:rPr>
              <w:t>21.</w:t>
            </w:r>
            <w:r>
              <w:rPr>
                <w:rFonts w:hint="eastAsia" w:ascii="Times New Roman" w:hAnsi="Times New Roman"/>
                <w:b w:val="0"/>
                <w:sz w:val="18"/>
                <w:lang w:val="en-US" w:eastAsia="zh-CN"/>
              </w:rPr>
              <w:t>85</w:t>
            </w:r>
            <w:r>
              <w:rPr>
                <w:rFonts w:ascii="Times New Roman" w:hAnsi="Times New Roman"/>
                <w:b w:val="0"/>
                <w:sz w:val="18"/>
              </w:rPr>
              <w:t>-34.</w:t>
            </w:r>
            <w:r>
              <w:rPr>
                <w:rFonts w:hint="eastAsia" w:ascii="Times New Roman" w:hAnsi="Times New Roman"/>
                <w:b w:val="0"/>
                <w:sz w:val="18"/>
                <w:lang w:val="en-US" w:eastAsia="zh-CN"/>
              </w:rPr>
              <w:t>70</w:t>
            </w:r>
          </w:p>
        </w:tc>
      </w:tr>
      <w:tr w14:paraId="7C80F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1" w:type="pct"/>
            <w:tcBorders>
              <w:top w:val="nil"/>
              <w:left w:val="nil"/>
              <w:bottom w:val="single" w:color="000000" w:sz="12" w:space="0"/>
              <w:right w:val="nil"/>
              <w:insideH w:val="nil"/>
              <w:insideV w:val="nil"/>
            </w:tcBorders>
            <w:vAlign w:val="center"/>
          </w:tcPr>
          <w:p w14:paraId="79061A4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Non-cancer</w:t>
            </w:r>
          </w:p>
        </w:tc>
        <w:tc>
          <w:tcPr>
            <w:tcW w:w="285" w:type="pct"/>
            <w:tcBorders>
              <w:top w:val="nil"/>
              <w:left w:val="nil"/>
              <w:bottom w:val="single" w:color="000000" w:sz="12" w:space="0"/>
              <w:right w:val="nil"/>
              <w:insideH w:val="nil"/>
              <w:insideV w:val="nil"/>
            </w:tcBorders>
            <w:vAlign w:val="center"/>
          </w:tcPr>
          <w:p w14:paraId="39A592A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334</w:t>
            </w:r>
          </w:p>
        </w:tc>
        <w:tc>
          <w:tcPr>
            <w:tcW w:w="1175" w:type="pct"/>
            <w:tcBorders>
              <w:top w:val="nil"/>
              <w:left w:val="nil"/>
              <w:bottom w:val="single" w:color="000000" w:sz="12" w:space="0"/>
              <w:right w:val="nil"/>
              <w:insideH w:val="nil"/>
              <w:insideV w:val="nil"/>
            </w:tcBorders>
            <w:vAlign w:val="center"/>
          </w:tcPr>
          <w:p w14:paraId="100845E9">
            <w:pPr>
              <w:snapToGrid w:val="0"/>
              <w:spacing w:line="240" w:lineRule="auto"/>
              <w:ind w:left="0" w:leftChars="0" w:right="0" w:rightChars="0" w:firstLine="0" w:firstLineChars="0"/>
              <w:jc w:val="center"/>
              <w:rPr>
                <w:rFonts w:ascii="Times New Roman" w:eastAsia="宋体"/>
                <w:sz w:val="18"/>
              </w:rPr>
            </w:pPr>
            <w:r>
              <w:rPr>
                <w:rFonts w:ascii="Times New Roman" w:hAnsi="Times New Roman"/>
                <w:b w:val="0"/>
                <w:sz w:val="18"/>
              </w:rPr>
              <w:t>29.</w:t>
            </w:r>
            <w:r>
              <w:rPr>
                <w:rFonts w:hint="eastAsia" w:ascii="Times New Roman" w:hAnsi="Times New Roman"/>
                <w:b w:val="0"/>
                <w:sz w:val="18"/>
                <w:lang w:val="en-US" w:eastAsia="zh-CN"/>
              </w:rPr>
              <w:t>68</w:t>
            </w:r>
            <w:r>
              <w:rPr>
                <w:rFonts w:ascii="Times New Roman" w:hAnsi="Times New Roman"/>
                <w:b w:val="0"/>
                <w:sz w:val="18"/>
              </w:rPr>
              <w:t xml:space="preserve"> (28.3</w:t>
            </w:r>
            <w:r>
              <w:rPr>
                <w:rFonts w:hint="eastAsia" w:ascii="Times New Roman" w:hAnsi="Times New Roman"/>
                <w:b w:val="0"/>
                <w:sz w:val="18"/>
                <w:lang w:val="en-US" w:eastAsia="zh-CN"/>
              </w:rPr>
              <w:t>0</w:t>
            </w:r>
            <w:r>
              <w:rPr>
                <w:rFonts w:ascii="Times New Roman" w:hAnsi="Times New Roman"/>
                <w:b w:val="0"/>
                <w:sz w:val="18"/>
              </w:rPr>
              <w:t>-31.1</w:t>
            </w:r>
            <w:r>
              <w:rPr>
                <w:rFonts w:hint="eastAsia" w:ascii="Times New Roman" w:hAnsi="Times New Roman"/>
                <w:b w:val="0"/>
                <w:sz w:val="18"/>
                <w:lang w:val="en-US" w:eastAsia="zh-CN"/>
              </w:rPr>
              <w:t>3</w:t>
            </w:r>
            <w:r>
              <w:rPr>
                <w:rFonts w:ascii="Times New Roman" w:hAnsi="Times New Roman"/>
                <w:b w:val="0"/>
                <w:sz w:val="18"/>
              </w:rPr>
              <w:t>)</w:t>
            </w:r>
          </w:p>
        </w:tc>
        <w:tc>
          <w:tcPr>
            <w:tcW w:w="821" w:type="pct"/>
            <w:tcBorders>
              <w:top w:val="nil"/>
              <w:left w:val="nil"/>
              <w:bottom w:val="single" w:color="000000" w:sz="12" w:space="0"/>
              <w:right w:val="nil"/>
              <w:insideH w:val="nil"/>
              <w:insideV w:val="nil"/>
            </w:tcBorders>
            <w:vAlign w:val="center"/>
          </w:tcPr>
          <w:p w14:paraId="6C7FC1BE">
            <w:pPr>
              <w:snapToGrid w:val="0"/>
              <w:spacing w:line="240" w:lineRule="auto"/>
              <w:ind w:left="0" w:leftChars="0" w:right="0" w:rightChars="0" w:firstLine="0" w:firstLineChars="0"/>
              <w:jc w:val="center"/>
              <w:rPr>
                <w:rFonts w:ascii="Times New Roman" w:eastAsia="宋体"/>
                <w:sz w:val="18"/>
              </w:rPr>
            </w:pPr>
            <w:r>
              <w:rPr>
                <w:rFonts w:ascii="Times New Roman" w:hAnsi="Times New Roman"/>
                <w:b w:val="0"/>
                <w:sz w:val="18"/>
              </w:rPr>
              <w:t>23.</w:t>
            </w:r>
            <w:r>
              <w:rPr>
                <w:rFonts w:hint="eastAsia" w:ascii="Times New Roman" w:hAnsi="Times New Roman"/>
                <w:b w:val="0"/>
                <w:sz w:val="18"/>
                <w:lang w:val="en-US" w:eastAsia="zh-CN"/>
              </w:rPr>
              <w:t>85</w:t>
            </w:r>
            <w:r>
              <w:rPr>
                <w:rFonts w:ascii="Times New Roman" w:hAnsi="Times New Roman"/>
                <w:b w:val="0"/>
                <w:sz w:val="18"/>
              </w:rPr>
              <w:t>-34.</w:t>
            </w:r>
            <w:r>
              <w:rPr>
                <w:rFonts w:hint="eastAsia" w:ascii="Times New Roman" w:hAnsi="Times New Roman"/>
                <w:b w:val="0"/>
                <w:sz w:val="18"/>
                <w:lang w:val="en-US" w:eastAsia="zh-CN"/>
              </w:rPr>
              <w:t>89</w:t>
            </w:r>
          </w:p>
        </w:tc>
        <w:tc>
          <w:tcPr>
            <w:tcW w:w="1175" w:type="pct"/>
            <w:tcBorders>
              <w:top w:val="nil"/>
              <w:left w:val="nil"/>
              <w:bottom w:val="single" w:color="000000" w:sz="12" w:space="0"/>
              <w:right w:val="nil"/>
              <w:insideH w:val="nil"/>
              <w:insideV w:val="nil"/>
            </w:tcBorders>
            <w:vAlign w:val="center"/>
          </w:tcPr>
          <w:p w14:paraId="221BBC99">
            <w:pPr>
              <w:snapToGrid w:val="0"/>
              <w:spacing w:line="240" w:lineRule="auto"/>
              <w:ind w:left="0" w:leftChars="0" w:right="0" w:rightChars="0" w:firstLine="0" w:firstLineChars="0"/>
              <w:jc w:val="center"/>
              <w:rPr>
                <w:rFonts w:ascii="Times New Roman" w:eastAsia="宋体"/>
                <w:sz w:val="18"/>
              </w:rPr>
            </w:pPr>
            <w:r>
              <w:rPr>
                <w:rFonts w:ascii="Times New Roman" w:hAnsi="Times New Roman"/>
                <w:b w:val="0"/>
                <w:sz w:val="18"/>
              </w:rPr>
              <w:t>29.6</w:t>
            </w:r>
            <w:r>
              <w:rPr>
                <w:rFonts w:hint="eastAsia" w:ascii="Times New Roman" w:hAnsi="Times New Roman"/>
                <w:b w:val="0"/>
                <w:sz w:val="18"/>
                <w:lang w:val="en-US" w:eastAsia="zh-CN"/>
              </w:rPr>
              <w:t>3</w:t>
            </w:r>
            <w:r>
              <w:rPr>
                <w:rFonts w:ascii="Times New Roman" w:hAnsi="Times New Roman"/>
                <w:b w:val="0"/>
                <w:sz w:val="18"/>
              </w:rPr>
              <w:t xml:space="preserve"> (28.</w:t>
            </w:r>
            <w:r>
              <w:rPr>
                <w:rFonts w:hint="eastAsia" w:ascii="Times New Roman" w:hAnsi="Times New Roman"/>
                <w:b w:val="0"/>
                <w:sz w:val="18"/>
                <w:lang w:val="en-US" w:eastAsia="zh-CN"/>
              </w:rPr>
              <w:t>18</w:t>
            </w:r>
            <w:r>
              <w:rPr>
                <w:rFonts w:ascii="Times New Roman" w:hAnsi="Times New Roman"/>
                <w:b w:val="0"/>
                <w:sz w:val="18"/>
              </w:rPr>
              <w:t>-31.</w:t>
            </w:r>
            <w:r>
              <w:rPr>
                <w:rFonts w:hint="eastAsia" w:ascii="Times New Roman" w:hAnsi="Times New Roman"/>
                <w:b w:val="0"/>
                <w:sz w:val="18"/>
                <w:lang w:val="en-US" w:eastAsia="zh-CN"/>
              </w:rPr>
              <w:t>18</w:t>
            </w:r>
            <w:r>
              <w:rPr>
                <w:rFonts w:ascii="Times New Roman" w:hAnsi="Times New Roman"/>
                <w:b w:val="0"/>
                <w:sz w:val="18"/>
              </w:rPr>
              <w:t>)</w:t>
            </w:r>
          </w:p>
        </w:tc>
        <w:tc>
          <w:tcPr>
            <w:tcW w:w="821" w:type="pct"/>
            <w:tcBorders>
              <w:top w:val="nil"/>
              <w:left w:val="nil"/>
              <w:bottom w:val="single" w:color="000000" w:sz="12" w:space="0"/>
              <w:right w:val="nil"/>
              <w:insideH w:val="nil"/>
              <w:insideV w:val="nil"/>
            </w:tcBorders>
            <w:vAlign w:val="center"/>
          </w:tcPr>
          <w:p w14:paraId="56BDA713">
            <w:pPr>
              <w:snapToGrid w:val="0"/>
              <w:spacing w:line="240" w:lineRule="auto"/>
              <w:ind w:left="0" w:leftChars="0" w:right="0" w:rightChars="0" w:firstLine="0" w:firstLineChars="0"/>
              <w:jc w:val="center"/>
              <w:rPr>
                <w:rFonts w:ascii="Times New Roman" w:eastAsia="宋体"/>
                <w:sz w:val="18"/>
              </w:rPr>
            </w:pPr>
            <w:r>
              <w:rPr>
                <w:rFonts w:ascii="Times New Roman" w:hAnsi="Times New Roman"/>
                <w:b w:val="0"/>
                <w:sz w:val="18"/>
              </w:rPr>
              <w:t>23.</w:t>
            </w:r>
            <w:r>
              <w:rPr>
                <w:rFonts w:hint="eastAsia" w:ascii="Times New Roman" w:hAnsi="Times New Roman"/>
                <w:b w:val="0"/>
                <w:sz w:val="18"/>
                <w:lang w:val="en-US" w:eastAsia="zh-CN"/>
              </w:rPr>
              <w:t>83</w:t>
            </w:r>
            <w:r>
              <w:rPr>
                <w:rFonts w:ascii="Times New Roman" w:hAnsi="Times New Roman"/>
                <w:b w:val="0"/>
                <w:sz w:val="18"/>
              </w:rPr>
              <w:t>-34.</w:t>
            </w:r>
            <w:r>
              <w:rPr>
                <w:rFonts w:hint="eastAsia" w:ascii="Times New Roman" w:hAnsi="Times New Roman"/>
                <w:b w:val="0"/>
                <w:sz w:val="18"/>
                <w:lang w:val="en-US" w:eastAsia="zh-CN"/>
              </w:rPr>
              <w:t>75</w:t>
            </w:r>
          </w:p>
        </w:tc>
      </w:tr>
    </w:tbl>
    <w:p w14:paraId="19064201">
      <w:pPr>
        <w:spacing w:after="120" w:line="240" w:lineRule="auto"/>
      </w:pPr>
    </w:p>
    <w:p w14:paraId="77A76F19">
      <w:pPr>
        <w:spacing w:after="120" w:line="240" w:lineRule="auto"/>
      </w:pPr>
      <w:r>
        <w:rPr>
          <w:rFonts w:ascii="Times New Roman" w:hAnsi="Times New Roman"/>
          <w:b/>
          <w:sz w:val="21"/>
        </w:rPr>
        <w:t>C. ACTB Ct Decile Distribution</w:t>
      </w:r>
    </w:p>
    <w:tbl>
      <w:tblPr>
        <w:tblStyle w:val="4"/>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81"/>
        <w:gridCol w:w="2719"/>
        <w:gridCol w:w="2719"/>
      </w:tblGrid>
      <w:tr w14:paraId="2F013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808" w:type="pct"/>
            <w:tcBorders>
              <w:top w:val="single" w:color="000000" w:sz="12" w:space="0"/>
              <w:left w:val="nil"/>
              <w:bottom w:val="single" w:color="000000" w:sz="6" w:space="0"/>
              <w:right w:val="nil"/>
              <w:insideH w:val="nil"/>
              <w:insideV w:val="nil"/>
            </w:tcBorders>
          </w:tcPr>
          <w:p w14:paraId="727BB116">
            <w:pPr>
              <w:keepNext/>
              <w:snapToGrid w:val="0"/>
              <w:spacing w:line="240" w:lineRule="auto"/>
              <w:jc w:val="center"/>
            </w:pPr>
            <w:r>
              <w:rPr>
                <w:rFonts w:ascii="Times New Roman" w:hAnsi="Times New Roman"/>
                <w:b/>
                <w:sz w:val="18"/>
              </w:rPr>
              <w:t>Percentile</w:t>
            </w:r>
          </w:p>
        </w:tc>
        <w:tc>
          <w:tcPr>
            <w:tcW w:w="1595" w:type="pct"/>
            <w:tcBorders>
              <w:top w:val="single" w:color="000000" w:sz="12" w:space="0"/>
              <w:left w:val="nil"/>
              <w:bottom w:val="single" w:color="000000" w:sz="6" w:space="0"/>
              <w:right w:val="nil"/>
              <w:insideH w:val="nil"/>
              <w:insideV w:val="nil"/>
            </w:tcBorders>
          </w:tcPr>
          <w:p w14:paraId="2296A2DD">
            <w:pPr>
              <w:keepNext/>
              <w:snapToGrid w:val="0"/>
              <w:spacing w:line="240" w:lineRule="auto"/>
              <w:jc w:val="center"/>
            </w:pPr>
            <w:r>
              <w:rPr>
                <w:rFonts w:ascii="Times New Roman" w:hAnsi="Times New Roman"/>
                <w:b/>
                <w:sz w:val="18"/>
              </w:rPr>
              <w:t>ACTB-1</w:t>
            </w:r>
          </w:p>
        </w:tc>
        <w:tc>
          <w:tcPr>
            <w:tcW w:w="1595" w:type="pct"/>
            <w:tcBorders>
              <w:top w:val="single" w:color="000000" w:sz="12" w:space="0"/>
              <w:left w:val="nil"/>
              <w:bottom w:val="single" w:color="000000" w:sz="6" w:space="0"/>
              <w:right w:val="nil"/>
              <w:insideH w:val="nil"/>
              <w:insideV w:val="nil"/>
            </w:tcBorders>
          </w:tcPr>
          <w:p w14:paraId="1D8BA6EC">
            <w:pPr>
              <w:keepNext/>
              <w:snapToGrid w:val="0"/>
              <w:spacing w:line="240" w:lineRule="auto"/>
              <w:jc w:val="center"/>
            </w:pPr>
            <w:r>
              <w:rPr>
                <w:rFonts w:ascii="Times New Roman" w:hAnsi="Times New Roman"/>
                <w:b/>
                <w:sz w:val="18"/>
              </w:rPr>
              <w:t>ACTB-2</w:t>
            </w:r>
          </w:p>
        </w:tc>
      </w:tr>
      <w:tr w14:paraId="2E6C2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808" w:type="pct"/>
            <w:tcBorders>
              <w:top w:val="nil"/>
              <w:left w:val="nil"/>
              <w:bottom w:val="nil"/>
              <w:right w:val="nil"/>
              <w:insideH w:val="nil"/>
              <w:insideV w:val="nil"/>
            </w:tcBorders>
          </w:tcPr>
          <w:p w14:paraId="56847B40">
            <w:pPr>
              <w:keepNext/>
              <w:snapToGrid w:val="0"/>
              <w:spacing w:line="240" w:lineRule="auto"/>
              <w:jc w:val="center"/>
            </w:pPr>
            <w:r>
              <w:rPr>
                <w:rFonts w:ascii="Times New Roman" w:hAnsi="Times New Roman"/>
                <w:b w:val="0"/>
                <w:sz w:val="18"/>
              </w:rPr>
              <w:t>Min</w:t>
            </w:r>
          </w:p>
        </w:tc>
        <w:tc>
          <w:tcPr>
            <w:tcW w:w="1595" w:type="pct"/>
            <w:tcBorders>
              <w:top w:val="nil"/>
              <w:left w:val="nil"/>
              <w:bottom w:val="nil"/>
              <w:right w:val="nil"/>
              <w:insideH w:val="nil"/>
              <w:insideV w:val="nil"/>
            </w:tcBorders>
            <w:vAlign w:val="top"/>
          </w:tcPr>
          <w:p w14:paraId="280D9053">
            <w:pPr>
              <w:snapToGrid w:val="0"/>
              <w:spacing w:line="240" w:lineRule="auto"/>
              <w:jc w:val="center"/>
            </w:pPr>
            <w:r>
              <w:rPr>
                <w:rFonts w:ascii="Times New Roman" w:hAnsi="Times New Roman"/>
                <w:b w:val="0"/>
                <w:sz w:val="18"/>
              </w:rPr>
              <w:t>21.</w:t>
            </w:r>
            <w:r>
              <w:rPr>
                <w:rFonts w:hint="eastAsia" w:ascii="Times New Roman" w:hAnsi="Times New Roman"/>
                <w:b w:val="0"/>
                <w:sz w:val="18"/>
                <w:lang w:val="en-US" w:eastAsia="zh-CN"/>
              </w:rPr>
              <w:t>89</w:t>
            </w:r>
          </w:p>
        </w:tc>
        <w:tc>
          <w:tcPr>
            <w:tcW w:w="1595" w:type="pct"/>
            <w:tcBorders>
              <w:top w:val="nil"/>
              <w:left w:val="nil"/>
              <w:bottom w:val="nil"/>
              <w:right w:val="nil"/>
              <w:insideH w:val="nil"/>
              <w:insideV w:val="nil"/>
            </w:tcBorders>
            <w:vAlign w:val="top"/>
          </w:tcPr>
          <w:p w14:paraId="1DA59441">
            <w:pPr>
              <w:snapToGrid w:val="0"/>
              <w:spacing w:line="240" w:lineRule="auto"/>
              <w:jc w:val="center"/>
            </w:pPr>
            <w:r>
              <w:rPr>
                <w:rFonts w:ascii="Times New Roman" w:hAnsi="Times New Roman"/>
                <w:b w:val="0"/>
                <w:sz w:val="18"/>
              </w:rPr>
              <w:t>21.</w:t>
            </w:r>
            <w:r>
              <w:rPr>
                <w:rFonts w:hint="eastAsia" w:ascii="Times New Roman" w:hAnsi="Times New Roman"/>
                <w:b w:val="0"/>
                <w:sz w:val="18"/>
                <w:lang w:val="en-US" w:eastAsia="zh-CN"/>
              </w:rPr>
              <w:t>85</w:t>
            </w:r>
          </w:p>
        </w:tc>
      </w:tr>
      <w:tr w14:paraId="31B35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808" w:type="pct"/>
            <w:tcBorders>
              <w:top w:val="nil"/>
              <w:left w:val="nil"/>
              <w:bottom w:val="nil"/>
              <w:right w:val="nil"/>
              <w:insideH w:val="nil"/>
              <w:insideV w:val="nil"/>
            </w:tcBorders>
          </w:tcPr>
          <w:p w14:paraId="3EAE3583">
            <w:pPr>
              <w:keepNext/>
              <w:snapToGrid w:val="0"/>
              <w:spacing w:line="240" w:lineRule="auto"/>
              <w:jc w:val="center"/>
            </w:pPr>
            <w:r>
              <w:rPr>
                <w:rFonts w:ascii="Times New Roman" w:hAnsi="Times New Roman"/>
                <w:b w:val="0"/>
                <w:sz w:val="18"/>
              </w:rPr>
              <w:t>10%</w:t>
            </w:r>
          </w:p>
        </w:tc>
        <w:tc>
          <w:tcPr>
            <w:tcW w:w="1595" w:type="pct"/>
            <w:tcBorders>
              <w:top w:val="nil"/>
              <w:left w:val="nil"/>
              <w:bottom w:val="nil"/>
              <w:right w:val="nil"/>
              <w:insideH w:val="nil"/>
              <w:insideV w:val="nil"/>
            </w:tcBorders>
            <w:vAlign w:val="top"/>
          </w:tcPr>
          <w:p w14:paraId="6404EDE1">
            <w:pPr>
              <w:snapToGrid w:val="0"/>
              <w:spacing w:line="240" w:lineRule="auto"/>
              <w:jc w:val="center"/>
            </w:pPr>
            <w:r>
              <w:rPr>
                <w:rFonts w:ascii="Times New Roman" w:hAnsi="Times New Roman"/>
                <w:b w:val="0"/>
                <w:sz w:val="18"/>
              </w:rPr>
              <w:t>24.</w:t>
            </w:r>
            <w:r>
              <w:rPr>
                <w:rFonts w:hint="eastAsia" w:ascii="Times New Roman" w:hAnsi="Times New Roman"/>
                <w:b w:val="0"/>
                <w:sz w:val="18"/>
                <w:lang w:val="en-US" w:eastAsia="zh-CN"/>
              </w:rPr>
              <w:t>29</w:t>
            </w:r>
          </w:p>
        </w:tc>
        <w:tc>
          <w:tcPr>
            <w:tcW w:w="1595" w:type="pct"/>
            <w:tcBorders>
              <w:top w:val="nil"/>
              <w:left w:val="nil"/>
              <w:bottom w:val="nil"/>
              <w:right w:val="nil"/>
              <w:insideH w:val="nil"/>
              <w:insideV w:val="nil"/>
            </w:tcBorders>
            <w:vAlign w:val="top"/>
          </w:tcPr>
          <w:p w14:paraId="37385C47">
            <w:pPr>
              <w:snapToGrid w:val="0"/>
              <w:spacing w:line="240" w:lineRule="auto"/>
              <w:jc w:val="center"/>
            </w:pPr>
            <w:r>
              <w:rPr>
                <w:rFonts w:ascii="Times New Roman" w:hAnsi="Times New Roman"/>
                <w:b w:val="0"/>
                <w:sz w:val="18"/>
              </w:rPr>
              <w:t>24.3</w:t>
            </w:r>
            <w:r>
              <w:rPr>
                <w:rFonts w:hint="eastAsia" w:ascii="Times New Roman" w:hAnsi="Times New Roman"/>
                <w:b w:val="0"/>
                <w:sz w:val="18"/>
                <w:lang w:val="en-US" w:eastAsia="zh-CN"/>
              </w:rPr>
              <w:t>3</w:t>
            </w:r>
          </w:p>
        </w:tc>
      </w:tr>
      <w:tr w14:paraId="5F40E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808" w:type="pct"/>
            <w:tcBorders>
              <w:top w:val="nil"/>
              <w:left w:val="nil"/>
              <w:bottom w:val="nil"/>
              <w:right w:val="nil"/>
              <w:insideH w:val="nil"/>
              <w:insideV w:val="nil"/>
            </w:tcBorders>
          </w:tcPr>
          <w:p w14:paraId="0D76429F">
            <w:pPr>
              <w:keepNext/>
              <w:snapToGrid w:val="0"/>
              <w:spacing w:line="240" w:lineRule="auto"/>
              <w:jc w:val="center"/>
            </w:pPr>
            <w:r>
              <w:rPr>
                <w:rFonts w:ascii="Times New Roman" w:hAnsi="Times New Roman"/>
                <w:b w:val="0"/>
                <w:sz w:val="18"/>
              </w:rPr>
              <w:t>20%</w:t>
            </w:r>
          </w:p>
        </w:tc>
        <w:tc>
          <w:tcPr>
            <w:tcW w:w="1595" w:type="pct"/>
            <w:tcBorders>
              <w:top w:val="nil"/>
              <w:left w:val="nil"/>
              <w:bottom w:val="nil"/>
              <w:right w:val="nil"/>
              <w:insideH w:val="nil"/>
              <w:insideV w:val="nil"/>
            </w:tcBorders>
            <w:vAlign w:val="top"/>
          </w:tcPr>
          <w:p w14:paraId="382C9D9C">
            <w:pPr>
              <w:snapToGrid w:val="0"/>
              <w:spacing w:line="240" w:lineRule="auto"/>
              <w:jc w:val="center"/>
            </w:pPr>
            <w:r>
              <w:rPr>
                <w:rFonts w:ascii="Times New Roman" w:hAnsi="Times New Roman"/>
                <w:b w:val="0"/>
                <w:sz w:val="18"/>
              </w:rPr>
              <w:t>25.</w:t>
            </w:r>
            <w:r>
              <w:rPr>
                <w:rFonts w:hint="eastAsia" w:ascii="Times New Roman" w:hAnsi="Times New Roman"/>
                <w:b w:val="0"/>
                <w:sz w:val="18"/>
                <w:lang w:val="en-US" w:eastAsia="zh-CN"/>
              </w:rPr>
              <w:t>58</w:t>
            </w:r>
          </w:p>
        </w:tc>
        <w:tc>
          <w:tcPr>
            <w:tcW w:w="1595" w:type="pct"/>
            <w:tcBorders>
              <w:top w:val="nil"/>
              <w:left w:val="nil"/>
              <w:bottom w:val="nil"/>
              <w:right w:val="nil"/>
              <w:insideH w:val="nil"/>
              <w:insideV w:val="nil"/>
            </w:tcBorders>
            <w:vAlign w:val="top"/>
          </w:tcPr>
          <w:p w14:paraId="31D80363">
            <w:pPr>
              <w:snapToGrid w:val="0"/>
              <w:spacing w:line="240" w:lineRule="auto"/>
              <w:jc w:val="center"/>
            </w:pPr>
            <w:r>
              <w:rPr>
                <w:rFonts w:ascii="Times New Roman" w:hAnsi="Times New Roman"/>
                <w:b w:val="0"/>
                <w:sz w:val="18"/>
              </w:rPr>
              <w:t>25.5</w:t>
            </w:r>
            <w:r>
              <w:rPr>
                <w:rFonts w:hint="eastAsia" w:ascii="Times New Roman" w:hAnsi="Times New Roman"/>
                <w:b w:val="0"/>
                <w:sz w:val="18"/>
                <w:lang w:val="en-US" w:eastAsia="zh-CN"/>
              </w:rPr>
              <w:t>5</w:t>
            </w:r>
          </w:p>
        </w:tc>
      </w:tr>
      <w:tr w14:paraId="5750D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808" w:type="pct"/>
            <w:tcBorders>
              <w:top w:val="nil"/>
              <w:left w:val="nil"/>
              <w:bottom w:val="nil"/>
              <w:right w:val="nil"/>
              <w:insideH w:val="nil"/>
              <w:insideV w:val="nil"/>
            </w:tcBorders>
          </w:tcPr>
          <w:p w14:paraId="5C49FE17">
            <w:pPr>
              <w:keepNext/>
              <w:snapToGrid w:val="0"/>
              <w:spacing w:line="240" w:lineRule="auto"/>
              <w:jc w:val="center"/>
            </w:pPr>
            <w:r>
              <w:rPr>
                <w:rFonts w:ascii="Times New Roman" w:hAnsi="Times New Roman"/>
                <w:b w:val="0"/>
                <w:sz w:val="18"/>
              </w:rPr>
              <w:t>30%</w:t>
            </w:r>
          </w:p>
        </w:tc>
        <w:tc>
          <w:tcPr>
            <w:tcW w:w="1595" w:type="pct"/>
            <w:tcBorders>
              <w:top w:val="nil"/>
              <w:left w:val="nil"/>
              <w:bottom w:val="nil"/>
              <w:right w:val="nil"/>
              <w:insideH w:val="nil"/>
              <w:insideV w:val="nil"/>
            </w:tcBorders>
            <w:vAlign w:val="top"/>
          </w:tcPr>
          <w:p w14:paraId="3DE65556">
            <w:pPr>
              <w:snapToGrid w:val="0"/>
              <w:spacing w:line="240" w:lineRule="auto"/>
              <w:jc w:val="center"/>
            </w:pPr>
            <w:r>
              <w:rPr>
                <w:rFonts w:ascii="Times New Roman" w:hAnsi="Times New Roman"/>
                <w:b w:val="0"/>
                <w:sz w:val="18"/>
              </w:rPr>
              <w:t>26.6</w:t>
            </w:r>
            <w:r>
              <w:rPr>
                <w:rFonts w:hint="eastAsia" w:ascii="Times New Roman" w:hAnsi="Times New Roman"/>
                <w:b w:val="0"/>
                <w:sz w:val="18"/>
                <w:lang w:val="en-US" w:eastAsia="zh-CN"/>
              </w:rPr>
              <w:t>2</w:t>
            </w:r>
          </w:p>
        </w:tc>
        <w:tc>
          <w:tcPr>
            <w:tcW w:w="1595" w:type="pct"/>
            <w:tcBorders>
              <w:top w:val="nil"/>
              <w:left w:val="nil"/>
              <w:bottom w:val="nil"/>
              <w:right w:val="nil"/>
              <w:insideH w:val="nil"/>
              <w:insideV w:val="nil"/>
            </w:tcBorders>
            <w:vAlign w:val="top"/>
          </w:tcPr>
          <w:p w14:paraId="64733C68">
            <w:pPr>
              <w:snapToGrid w:val="0"/>
              <w:spacing w:line="240" w:lineRule="auto"/>
              <w:jc w:val="center"/>
            </w:pPr>
            <w:r>
              <w:rPr>
                <w:rFonts w:ascii="Times New Roman" w:hAnsi="Times New Roman"/>
                <w:b w:val="0"/>
                <w:sz w:val="18"/>
              </w:rPr>
              <w:t>26.6</w:t>
            </w:r>
            <w:r>
              <w:rPr>
                <w:rFonts w:hint="eastAsia" w:ascii="Times New Roman" w:hAnsi="Times New Roman"/>
                <w:b w:val="0"/>
                <w:sz w:val="18"/>
                <w:lang w:val="en-US" w:eastAsia="zh-CN"/>
              </w:rPr>
              <w:t>3</w:t>
            </w:r>
          </w:p>
        </w:tc>
      </w:tr>
      <w:tr w14:paraId="076C1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808" w:type="pct"/>
            <w:tcBorders>
              <w:top w:val="nil"/>
              <w:left w:val="nil"/>
              <w:bottom w:val="nil"/>
              <w:right w:val="nil"/>
              <w:insideH w:val="nil"/>
              <w:insideV w:val="nil"/>
            </w:tcBorders>
          </w:tcPr>
          <w:p w14:paraId="38DAD532">
            <w:pPr>
              <w:keepNext/>
              <w:snapToGrid w:val="0"/>
              <w:spacing w:line="240" w:lineRule="auto"/>
              <w:jc w:val="center"/>
            </w:pPr>
            <w:r>
              <w:rPr>
                <w:rFonts w:ascii="Times New Roman" w:hAnsi="Times New Roman"/>
                <w:b w:val="0"/>
                <w:sz w:val="18"/>
              </w:rPr>
              <w:t>40%</w:t>
            </w:r>
          </w:p>
        </w:tc>
        <w:tc>
          <w:tcPr>
            <w:tcW w:w="1595" w:type="pct"/>
            <w:tcBorders>
              <w:top w:val="nil"/>
              <w:left w:val="nil"/>
              <w:bottom w:val="nil"/>
              <w:right w:val="nil"/>
              <w:insideH w:val="nil"/>
              <w:insideV w:val="nil"/>
            </w:tcBorders>
            <w:vAlign w:val="top"/>
          </w:tcPr>
          <w:p w14:paraId="4404FDD9">
            <w:pPr>
              <w:snapToGrid w:val="0"/>
              <w:spacing w:line="240" w:lineRule="auto"/>
              <w:jc w:val="center"/>
            </w:pPr>
            <w:r>
              <w:rPr>
                <w:rFonts w:ascii="Times New Roman" w:hAnsi="Times New Roman"/>
                <w:b w:val="0"/>
                <w:sz w:val="18"/>
              </w:rPr>
              <w:t>27.6</w:t>
            </w:r>
            <w:r>
              <w:rPr>
                <w:rFonts w:hint="eastAsia" w:ascii="Times New Roman" w:hAnsi="Times New Roman"/>
                <w:b w:val="0"/>
                <w:sz w:val="18"/>
                <w:lang w:val="en-US" w:eastAsia="zh-CN"/>
              </w:rPr>
              <w:t>4</w:t>
            </w:r>
          </w:p>
        </w:tc>
        <w:tc>
          <w:tcPr>
            <w:tcW w:w="1595" w:type="pct"/>
            <w:tcBorders>
              <w:top w:val="nil"/>
              <w:left w:val="nil"/>
              <w:bottom w:val="nil"/>
              <w:right w:val="nil"/>
              <w:insideH w:val="nil"/>
              <w:insideV w:val="nil"/>
            </w:tcBorders>
            <w:vAlign w:val="top"/>
          </w:tcPr>
          <w:p w14:paraId="6D043B82">
            <w:pPr>
              <w:snapToGrid w:val="0"/>
              <w:spacing w:line="240" w:lineRule="auto"/>
              <w:jc w:val="center"/>
            </w:pPr>
            <w:r>
              <w:rPr>
                <w:rFonts w:ascii="Times New Roman" w:hAnsi="Times New Roman"/>
                <w:b w:val="0"/>
                <w:sz w:val="18"/>
              </w:rPr>
              <w:t>27.6</w:t>
            </w:r>
            <w:r>
              <w:rPr>
                <w:rFonts w:hint="eastAsia" w:ascii="Times New Roman" w:hAnsi="Times New Roman"/>
                <w:b w:val="0"/>
                <w:sz w:val="18"/>
                <w:lang w:val="en-US" w:eastAsia="zh-CN"/>
              </w:rPr>
              <w:t>0</w:t>
            </w:r>
          </w:p>
        </w:tc>
      </w:tr>
      <w:tr w14:paraId="1EBBE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808" w:type="pct"/>
            <w:tcBorders>
              <w:top w:val="nil"/>
              <w:left w:val="nil"/>
              <w:bottom w:val="nil"/>
              <w:right w:val="nil"/>
              <w:insideH w:val="nil"/>
              <w:insideV w:val="nil"/>
            </w:tcBorders>
          </w:tcPr>
          <w:p w14:paraId="3EAE1150">
            <w:pPr>
              <w:keepNext/>
              <w:snapToGrid w:val="0"/>
              <w:spacing w:line="240" w:lineRule="auto"/>
              <w:jc w:val="center"/>
            </w:pPr>
            <w:r>
              <w:rPr>
                <w:rFonts w:ascii="Times New Roman" w:hAnsi="Times New Roman"/>
                <w:b w:val="0"/>
                <w:sz w:val="18"/>
              </w:rPr>
              <w:t>50%</w:t>
            </w:r>
          </w:p>
        </w:tc>
        <w:tc>
          <w:tcPr>
            <w:tcW w:w="1595" w:type="pct"/>
            <w:tcBorders>
              <w:top w:val="nil"/>
              <w:left w:val="nil"/>
              <w:bottom w:val="nil"/>
              <w:right w:val="nil"/>
              <w:insideH w:val="nil"/>
              <w:insideV w:val="nil"/>
            </w:tcBorders>
            <w:vAlign w:val="top"/>
          </w:tcPr>
          <w:p w14:paraId="00017D03">
            <w:pPr>
              <w:snapToGrid w:val="0"/>
              <w:spacing w:line="240" w:lineRule="auto"/>
              <w:jc w:val="center"/>
            </w:pPr>
            <w:r>
              <w:rPr>
                <w:rFonts w:ascii="Times New Roman" w:hAnsi="Times New Roman"/>
                <w:b w:val="0"/>
                <w:sz w:val="18"/>
              </w:rPr>
              <w:t>28.</w:t>
            </w:r>
            <w:r>
              <w:rPr>
                <w:rFonts w:hint="eastAsia" w:ascii="Times New Roman" w:hAnsi="Times New Roman"/>
                <w:b w:val="0"/>
                <w:sz w:val="18"/>
                <w:lang w:val="en-US" w:eastAsia="zh-CN"/>
              </w:rPr>
              <w:t>48</w:t>
            </w:r>
          </w:p>
        </w:tc>
        <w:tc>
          <w:tcPr>
            <w:tcW w:w="1595" w:type="pct"/>
            <w:tcBorders>
              <w:top w:val="nil"/>
              <w:left w:val="nil"/>
              <w:bottom w:val="nil"/>
              <w:right w:val="nil"/>
              <w:insideH w:val="nil"/>
              <w:insideV w:val="nil"/>
            </w:tcBorders>
            <w:vAlign w:val="top"/>
          </w:tcPr>
          <w:p w14:paraId="27B9D364">
            <w:pPr>
              <w:snapToGrid w:val="0"/>
              <w:spacing w:line="240" w:lineRule="auto"/>
              <w:jc w:val="center"/>
            </w:pPr>
            <w:r>
              <w:rPr>
                <w:rFonts w:ascii="Times New Roman" w:hAnsi="Times New Roman"/>
                <w:b w:val="0"/>
                <w:sz w:val="18"/>
              </w:rPr>
              <w:t>28.5</w:t>
            </w:r>
            <w:r>
              <w:rPr>
                <w:rFonts w:hint="eastAsia" w:ascii="Times New Roman" w:hAnsi="Times New Roman"/>
                <w:b w:val="0"/>
                <w:sz w:val="18"/>
                <w:lang w:val="en-US" w:eastAsia="zh-CN"/>
              </w:rPr>
              <w:t>1</w:t>
            </w:r>
          </w:p>
        </w:tc>
      </w:tr>
      <w:tr w14:paraId="74E4B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808" w:type="pct"/>
            <w:tcBorders>
              <w:top w:val="nil"/>
              <w:left w:val="nil"/>
              <w:bottom w:val="nil"/>
              <w:right w:val="nil"/>
              <w:insideH w:val="nil"/>
              <w:insideV w:val="nil"/>
            </w:tcBorders>
          </w:tcPr>
          <w:p w14:paraId="184B607B">
            <w:pPr>
              <w:keepNext/>
              <w:snapToGrid w:val="0"/>
              <w:spacing w:line="240" w:lineRule="auto"/>
              <w:jc w:val="center"/>
            </w:pPr>
            <w:r>
              <w:rPr>
                <w:rFonts w:ascii="Times New Roman" w:hAnsi="Times New Roman"/>
                <w:b w:val="0"/>
                <w:sz w:val="18"/>
              </w:rPr>
              <w:t>60%</w:t>
            </w:r>
          </w:p>
        </w:tc>
        <w:tc>
          <w:tcPr>
            <w:tcW w:w="1595" w:type="pct"/>
            <w:tcBorders>
              <w:top w:val="nil"/>
              <w:left w:val="nil"/>
              <w:bottom w:val="nil"/>
              <w:right w:val="nil"/>
              <w:insideH w:val="nil"/>
              <w:insideV w:val="nil"/>
            </w:tcBorders>
            <w:vAlign w:val="top"/>
          </w:tcPr>
          <w:p w14:paraId="205829BC">
            <w:pPr>
              <w:snapToGrid w:val="0"/>
              <w:spacing w:line="240" w:lineRule="auto"/>
              <w:jc w:val="center"/>
            </w:pPr>
            <w:r>
              <w:rPr>
                <w:rFonts w:ascii="Times New Roman" w:hAnsi="Times New Roman"/>
                <w:b w:val="0"/>
                <w:sz w:val="18"/>
              </w:rPr>
              <w:t>29.2</w:t>
            </w:r>
            <w:r>
              <w:rPr>
                <w:rFonts w:hint="eastAsia" w:ascii="Times New Roman" w:hAnsi="Times New Roman"/>
                <w:b w:val="0"/>
                <w:sz w:val="18"/>
                <w:lang w:val="en-US" w:eastAsia="zh-CN"/>
              </w:rPr>
              <w:t>5</w:t>
            </w:r>
          </w:p>
        </w:tc>
        <w:tc>
          <w:tcPr>
            <w:tcW w:w="1595" w:type="pct"/>
            <w:tcBorders>
              <w:top w:val="nil"/>
              <w:left w:val="nil"/>
              <w:bottom w:val="nil"/>
              <w:right w:val="nil"/>
              <w:insideH w:val="nil"/>
              <w:insideV w:val="nil"/>
            </w:tcBorders>
            <w:vAlign w:val="top"/>
          </w:tcPr>
          <w:p w14:paraId="23E83EB9">
            <w:pPr>
              <w:snapToGrid w:val="0"/>
              <w:spacing w:line="240" w:lineRule="auto"/>
              <w:jc w:val="center"/>
            </w:pPr>
            <w:r>
              <w:rPr>
                <w:rFonts w:ascii="Times New Roman" w:hAnsi="Times New Roman"/>
                <w:b w:val="0"/>
                <w:sz w:val="18"/>
              </w:rPr>
              <w:t>29.2</w:t>
            </w:r>
            <w:r>
              <w:rPr>
                <w:rFonts w:hint="eastAsia" w:ascii="Times New Roman" w:hAnsi="Times New Roman"/>
                <w:b w:val="0"/>
                <w:sz w:val="18"/>
                <w:lang w:val="en-US" w:eastAsia="zh-CN"/>
              </w:rPr>
              <w:t>0</w:t>
            </w:r>
          </w:p>
        </w:tc>
      </w:tr>
      <w:tr w14:paraId="0D094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808" w:type="pct"/>
            <w:tcBorders>
              <w:top w:val="nil"/>
              <w:left w:val="nil"/>
              <w:bottom w:val="nil"/>
              <w:right w:val="nil"/>
              <w:insideH w:val="nil"/>
              <w:insideV w:val="nil"/>
            </w:tcBorders>
          </w:tcPr>
          <w:p w14:paraId="5E804851">
            <w:pPr>
              <w:keepNext/>
              <w:snapToGrid w:val="0"/>
              <w:spacing w:line="240" w:lineRule="auto"/>
              <w:jc w:val="center"/>
            </w:pPr>
            <w:r>
              <w:rPr>
                <w:rFonts w:ascii="Times New Roman" w:hAnsi="Times New Roman"/>
                <w:b w:val="0"/>
                <w:sz w:val="18"/>
              </w:rPr>
              <w:t>70%</w:t>
            </w:r>
          </w:p>
        </w:tc>
        <w:tc>
          <w:tcPr>
            <w:tcW w:w="1595" w:type="pct"/>
            <w:tcBorders>
              <w:top w:val="nil"/>
              <w:left w:val="nil"/>
              <w:bottom w:val="nil"/>
              <w:right w:val="nil"/>
              <w:insideH w:val="nil"/>
              <w:insideV w:val="nil"/>
            </w:tcBorders>
            <w:vAlign w:val="top"/>
          </w:tcPr>
          <w:p w14:paraId="75CD9E92">
            <w:pPr>
              <w:snapToGrid w:val="0"/>
              <w:spacing w:line="240" w:lineRule="auto"/>
              <w:jc w:val="center"/>
            </w:pPr>
            <w:r>
              <w:rPr>
                <w:rFonts w:ascii="Times New Roman" w:hAnsi="Times New Roman"/>
                <w:b w:val="0"/>
                <w:sz w:val="18"/>
              </w:rPr>
              <w:t>29.9</w:t>
            </w:r>
            <w:r>
              <w:rPr>
                <w:rFonts w:hint="eastAsia" w:ascii="Times New Roman" w:hAnsi="Times New Roman"/>
                <w:b w:val="0"/>
                <w:sz w:val="18"/>
                <w:lang w:val="en-US" w:eastAsia="zh-CN"/>
              </w:rPr>
              <w:t>3</w:t>
            </w:r>
          </w:p>
        </w:tc>
        <w:tc>
          <w:tcPr>
            <w:tcW w:w="1595" w:type="pct"/>
            <w:tcBorders>
              <w:top w:val="nil"/>
              <w:left w:val="nil"/>
              <w:bottom w:val="nil"/>
              <w:right w:val="nil"/>
              <w:insideH w:val="nil"/>
              <w:insideV w:val="nil"/>
            </w:tcBorders>
            <w:vAlign w:val="top"/>
          </w:tcPr>
          <w:p w14:paraId="545B76EF">
            <w:pPr>
              <w:snapToGrid w:val="0"/>
              <w:spacing w:line="240" w:lineRule="auto"/>
              <w:jc w:val="center"/>
            </w:pPr>
            <w:r>
              <w:rPr>
                <w:rFonts w:ascii="Times New Roman" w:hAnsi="Times New Roman"/>
                <w:b w:val="0"/>
                <w:sz w:val="18"/>
              </w:rPr>
              <w:t>29.</w:t>
            </w:r>
            <w:r>
              <w:rPr>
                <w:rFonts w:hint="eastAsia" w:ascii="Times New Roman" w:hAnsi="Times New Roman"/>
                <w:b w:val="0"/>
                <w:sz w:val="18"/>
                <w:lang w:val="en-US" w:eastAsia="zh-CN"/>
              </w:rPr>
              <w:t>88</w:t>
            </w:r>
          </w:p>
        </w:tc>
      </w:tr>
      <w:tr w14:paraId="7FECF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808" w:type="pct"/>
            <w:tcBorders>
              <w:top w:val="nil"/>
              <w:left w:val="nil"/>
              <w:bottom w:val="nil"/>
              <w:right w:val="nil"/>
              <w:insideH w:val="nil"/>
              <w:insideV w:val="nil"/>
            </w:tcBorders>
          </w:tcPr>
          <w:p w14:paraId="3356FABC">
            <w:pPr>
              <w:keepNext/>
              <w:snapToGrid w:val="0"/>
              <w:spacing w:line="240" w:lineRule="auto"/>
              <w:jc w:val="center"/>
            </w:pPr>
            <w:r>
              <w:rPr>
                <w:rFonts w:ascii="Times New Roman" w:hAnsi="Times New Roman"/>
                <w:b w:val="0"/>
                <w:sz w:val="18"/>
              </w:rPr>
              <w:t>80%</w:t>
            </w:r>
          </w:p>
        </w:tc>
        <w:tc>
          <w:tcPr>
            <w:tcW w:w="1595" w:type="pct"/>
            <w:tcBorders>
              <w:top w:val="nil"/>
              <w:left w:val="nil"/>
              <w:bottom w:val="nil"/>
              <w:right w:val="nil"/>
              <w:insideH w:val="nil"/>
              <w:insideV w:val="nil"/>
            </w:tcBorders>
            <w:vAlign w:val="top"/>
          </w:tcPr>
          <w:p w14:paraId="43B8334C">
            <w:pPr>
              <w:snapToGrid w:val="0"/>
              <w:spacing w:line="240" w:lineRule="auto"/>
              <w:jc w:val="center"/>
            </w:pPr>
            <w:r>
              <w:rPr>
                <w:rFonts w:ascii="Times New Roman" w:hAnsi="Times New Roman"/>
                <w:b w:val="0"/>
                <w:sz w:val="18"/>
              </w:rPr>
              <w:t>30.7</w:t>
            </w:r>
            <w:r>
              <w:rPr>
                <w:rFonts w:hint="eastAsia" w:ascii="Times New Roman" w:hAnsi="Times New Roman"/>
                <w:b w:val="0"/>
                <w:sz w:val="18"/>
                <w:lang w:val="en-US" w:eastAsia="zh-CN"/>
              </w:rPr>
              <w:t>3</w:t>
            </w:r>
          </w:p>
        </w:tc>
        <w:tc>
          <w:tcPr>
            <w:tcW w:w="1595" w:type="pct"/>
            <w:tcBorders>
              <w:top w:val="nil"/>
              <w:left w:val="nil"/>
              <w:bottom w:val="nil"/>
              <w:right w:val="nil"/>
              <w:insideH w:val="nil"/>
              <w:insideV w:val="nil"/>
            </w:tcBorders>
            <w:vAlign w:val="top"/>
          </w:tcPr>
          <w:p w14:paraId="52FB7941">
            <w:pPr>
              <w:snapToGrid w:val="0"/>
              <w:spacing w:line="240" w:lineRule="auto"/>
              <w:jc w:val="center"/>
            </w:pPr>
            <w:r>
              <w:rPr>
                <w:rFonts w:ascii="Times New Roman" w:hAnsi="Times New Roman"/>
                <w:b w:val="0"/>
                <w:sz w:val="18"/>
              </w:rPr>
              <w:t>30.6</w:t>
            </w:r>
            <w:r>
              <w:rPr>
                <w:rFonts w:hint="eastAsia" w:ascii="Times New Roman" w:hAnsi="Times New Roman"/>
                <w:b w:val="0"/>
                <w:sz w:val="18"/>
                <w:lang w:val="en-US" w:eastAsia="zh-CN"/>
              </w:rPr>
              <w:t>3</w:t>
            </w:r>
          </w:p>
        </w:tc>
      </w:tr>
      <w:tr w14:paraId="6C82C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808" w:type="pct"/>
            <w:tcBorders>
              <w:top w:val="nil"/>
              <w:left w:val="nil"/>
              <w:bottom w:val="nil"/>
              <w:right w:val="nil"/>
              <w:insideH w:val="nil"/>
              <w:insideV w:val="nil"/>
            </w:tcBorders>
          </w:tcPr>
          <w:p w14:paraId="4E081316">
            <w:pPr>
              <w:keepNext/>
              <w:snapToGrid w:val="0"/>
              <w:spacing w:line="240" w:lineRule="auto"/>
              <w:jc w:val="center"/>
            </w:pPr>
            <w:r>
              <w:rPr>
                <w:rFonts w:ascii="Times New Roman" w:hAnsi="Times New Roman"/>
                <w:b w:val="0"/>
                <w:sz w:val="18"/>
              </w:rPr>
              <w:t>90%</w:t>
            </w:r>
          </w:p>
        </w:tc>
        <w:tc>
          <w:tcPr>
            <w:tcW w:w="1595" w:type="pct"/>
            <w:tcBorders>
              <w:top w:val="nil"/>
              <w:left w:val="nil"/>
              <w:bottom w:val="nil"/>
              <w:right w:val="nil"/>
              <w:insideH w:val="nil"/>
              <w:insideV w:val="nil"/>
            </w:tcBorders>
            <w:vAlign w:val="top"/>
          </w:tcPr>
          <w:p w14:paraId="3B66DAAB">
            <w:pPr>
              <w:snapToGrid w:val="0"/>
              <w:spacing w:line="240" w:lineRule="auto"/>
              <w:jc w:val="center"/>
            </w:pPr>
            <w:r>
              <w:rPr>
                <w:rFonts w:ascii="Times New Roman" w:hAnsi="Times New Roman"/>
                <w:b w:val="0"/>
                <w:sz w:val="18"/>
              </w:rPr>
              <w:t>31.</w:t>
            </w:r>
            <w:r>
              <w:rPr>
                <w:rFonts w:hint="eastAsia" w:ascii="Times New Roman" w:hAnsi="Times New Roman"/>
                <w:b w:val="0"/>
                <w:sz w:val="18"/>
                <w:lang w:val="en-US" w:eastAsia="zh-CN"/>
              </w:rPr>
              <w:t>78</w:t>
            </w:r>
          </w:p>
        </w:tc>
        <w:tc>
          <w:tcPr>
            <w:tcW w:w="1595" w:type="pct"/>
            <w:tcBorders>
              <w:top w:val="nil"/>
              <w:left w:val="nil"/>
              <w:bottom w:val="nil"/>
              <w:right w:val="nil"/>
              <w:insideH w:val="nil"/>
              <w:insideV w:val="nil"/>
            </w:tcBorders>
            <w:vAlign w:val="top"/>
          </w:tcPr>
          <w:p w14:paraId="6E65DD54">
            <w:pPr>
              <w:snapToGrid w:val="0"/>
              <w:spacing w:line="240" w:lineRule="auto"/>
              <w:jc w:val="center"/>
            </w:pPr>
            <w:r>
              <w:rPr>
                <w:rFonts w:ascii="Times New Roman" w:hAnsi="Times New Roman"/>
                <w:b w:val="0"/>
                <w:sz w:val="18"/>
              </w:rPr>
              <w:t>31.</w:t>
            </w:r>
            <w:r>
              <w:rPr>
                <w:rFonts w:hint="eastAsia" w:ascii="Times New Roman" w:hAnsi="Times New Roman"/>
                <w:b w:val="0"/>
                <w:sz w:val="18"/>
                <w:lang w:val="en-US" w:eastAsia="zh-CN"/>
              </w:rPr>
              <w:t>67</w:t>
            </w:r>
          </w:p>
        </w:tc>
      </w:tr>
      <w:tr w14:paraId="6E862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808" w:type="pct"/>
            <w:tcBorders>
              <w:top w:val="nil"/>
              <w:left w:val="nil"/>
              <w:bottom w:val="single" w:color="000000" w:sz="12" w:space="0"/>
              <w:right w:val="nil"/>
              <w:insideH w:val="nil"/>
              <w:insideV w:val="nil"/>
            </w:tcBorders>
          </w:tcPr>
          <w:p w14:paraId="358730F8">
            <w:pPr>
              <w:keepNext/>
              <w:snapToGrid w:val="0"/>
              <w:spacing w:line="240" w:lineRule="auto"/>
              <w:jc w:val="center"/>
            </w:pPr>
            <w:r>
              <w:rPr>
                <w:rFonts w:ascii="Times New Roman" w:hAnsi="Times New Roman"/>
                <w:b w:val="0"/>
                <w:sz w:val="18"/>
              </w:rPr>
              <w:t>Max</w:t>
            </w:r>
          </w:p>
        </w:tc>
        <w:tc>
          <w:tcPr>
            <w:tcW w:w="1595" w:type="pct"/>
            <w:tcBorders>
              <w:top w:val="nil"/>
              <w:left w:val="nil"/>
              <w:bottom w:val="single" w:color="000000" w:sz="12" w:space="0"/>
              <w:right w:val="nil"/>
              <w:insideH w:val="nil"/>
              <w:insideV w:val="nil"/>
            </w:tcBorders>
            <w:vAlign w:val="top"/>
          </w:tcPr>
          <w:p w14:paraId="055D6E7F">
            <w:pPr>
              <w:snapToGrid w:val="0"/>
              <w:spacing w:line="240" w:lineRule="auto"/>
              <w:jc w:val="center"/>
            </w:pPr>
            <w:r>
              <w:rPr>
                <w:rFonts w:ascii="Times New Roman" w:hAnsi="Times New Roman"/>
                <w:b w:val="0"/>
                <w:sz w:val="18"/>
              </w:rPr>
              <w:t>34.</w:t>
            </w:r>
            <w:r>
              <w:rPr>
                <w:rFonts w:hint="eastAsia" w:ascii="Times New Roman" w:hAnsi="Times New Roman"/>
                <w:b w:val="0"/>
                <w:sz w:val="18"/>
                <w:lang w:val="en-US" w:eastAsia="zh-CN"/>
              </w:rPr>
              <w:t>89</w:t>
            </w:r>
          </w:p>
        </w:tc>
        <w:tc>
          <w:tcPr>
            <w:tcW w:w="1595" w:type="pct"/>
            <w:tcBorders>
              <w:top w:val="nil"/>
              <w:left w:val="nil"/>
              <w:bottom w:val="single" w:color="000000" w:sz="12" w:space="0"/>
              <w:right w:val="nil"/>
              <w:insideH w:val="nil"/>
              <w:insideV w:val="nil"/>
            </w:tcBorders>
            <w:vAlign w:val="top"/>
          </w:tcPr>
          <w:p w14:paraId="4D6C90DE">
            <w:pPr>
              <w:snapToGrid w:val="0"/>
              <w:spacing w:line="240" w:lineRule="auto"/>
              <w:jc w:val="center"/>
            </w:pPr>
            <w:r>
              <w:rPr>
                <w:rFonts w:ascii="Times New Roman" w:hAnsi="Times New Roman"/>
                <w:b w:val="0"/>
                <w:sz w:val="18"/>
              </w:rPr>
              <w:t>34.</w:t>
            </w:r>
            <w:r>
              <w:rPr>
                <w:rFonts w:hint="eastAsia" w:ascii="Times New Roman" w:hAnsi="Times New Roman"/>
                <w:b w:val="0"/>
                <w:sz w:val="18"/>
                <w:lang w:val="en-US" w:eastAsia="zh-CN"/>
              </w:rPr>
              <w:t>75</w:t>
            </w:r>
          </w:p>
        </w:tc>
      </w:tr>
    </w:tbl>
    <w:p w14:paraId="6D375745">
      <w:pPr>
        <w:spacing w:after="120" w:line="240" w:lineRule="auto"/>
        <w:rPr>
          <w:i/>
          <w:iCs/>
        </w:rPr>
      </w:pPr>
      <w:r>
        <w:rPr>
          <w:rFonts w:ascii="Times New Roman" w:hAnsi="Times New Roman"/>
          <w:b w:val="0"/>
          <w:i/>
          <w:iCs/>
          <w:sz w:val="21"/>
        </w:rPr>
        <w:t>QC protocol: In addition to ACTB as the internal control, each analytical run included a positive control (fully methylated human DNA), a negative control (unmethylated human DNA), and a no-template control (NTC). Bisulfite conversion efficiency was consistently &gt;99% as assessed by the ACTB assay. All controls were required to meet pre-specified acceptance criteria before sample results were reported.</w:t>
      </w:r>
    </w:p>
    <w:p w14:paraId="0CD01EE5">
      <w:pPr>
        <w:spacing w:line="240" w:lineRule="auto"/>
        <w:rPr>
          <w:rFonts w:ascii="Times New Roman" w:hAnsi="Times New Roman"/>
          <w:b/>
          <w:sz w:val="21"/>
        </w:rPr>
      </w:pPr>
    </w:p>
    <w:p w14:paraId="11F1B9A9">
      <w:pPr>
        <w:spacing w:line="240" w:lineRule="auto"/>
      </w:pPr>
      <w:r>
        <w:rPr>
          <w:rFonts w:ascii="Times New Roman" w:hAnsi="Times New Roman"/>
          <w:b/>
          <w:sz w:val="21"/>
        </w:rPr>
        <w:t>Table S</w:t>
      </w:r>
      <w:r>
        <w:rPr>
          <w:rFonts w:hint="eastAsia" w:ascii="Times New Roman" w:hAnsi="Times New Roman"/>
          <w:b/>
          <w:sz w:val="21"/>
          <w:lang w:val="en-US" w:eastAsia="zh-CN"/>
        </w:rPr>
        <w:t>4</w:t>
      </w:r>
      <w:r>
        <w:rPr>
          <w:rFonts w:ascii="Times New Roman" w:hAnsi="Times New Roman"/>
          <w:b/>
          <w:sz w:val="21"/>
        </w:rPr>
        <w:t>. Conversion Between PUCD Score and Predicted Cancer Probability</w:t>
      </w:r>
    </w:p>
    <w:p w14:paraId="2C555319">
      <w:pPr>
        <w:spacing w:line="240" w:lineRule="auto"/>
        <w:rPr>
          <w:iCs/>
        </w:rPr>
      </w:pPr>
      <w:r>
        <w:rPr>
          <w:rFonts w:ascii="Times New Roman" w:hAnsi="Times New Roman"/>
          <w:i w:val="0"/>
          <w:iCs/>
          <w:sz w:val="21"/>
        </w:rPr>
        <w:t>The PUCD score is computed as PUCD = 0.4619 x Logit + 2.2056, where Logit is the linear predictor from the logistic regression model. The predicted cancer probability is obtained via the inverse logit transformation: Probability = 1 / (1 + exp(-Logit)). The PUCD &gt;= 2 cutoff corresponds to a predicted probability of 39.1%.</w:t>
      </w:r>
    </w:p>
    <w:p w14:paraId="5D83D9FA"/>
    <w:tbl>
      <w:tblPr>
        <w:tblStyle w:val="4"/>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7"/>
        <w:gridCol w:w="1973"/>
        <w:gridCol w:w="4419"/>
      </w:tblGrid>
      <w:tr w14:paraId="724F1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248" w:type="pct"/>
            <w:tcBorders>
              <w:top w:val="single" w:color="000000" w:sz="12" w:space="0"/>
              <w:left w:val="nil"/>
              <w:bottom w:val="single" w:color="000000" w:sz="6" w:space="0"/>
              <w:right w:val="nil"/>
              <w:insideH w:val="nil"/>
              <w:insideV w:val="nil"/>
            </w:tcBorders>
            <w:vAlign w:val="center"/>
          </w:tcPr>
          <w:p w14:paraId="359A85A8">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PUCD Score</w:t>
            </w:r>
          </w:p>
        </w:tc>
        <w:tc>
          <w:tcPr>
            <w:tcW w:w="1158" w:type="pct"/>
            <w:tcBorders>
              <w:top w:val="single" w:color="000000" w:sz="12" w:space="0"/>
              <w:left w:val="nil"/>
              <w:bottom w:val="single" w:color="000000" w:sz="6" w:space="0"/>
              <w:right w:val="nil"/>
              <w:insideH w:val="nil"/>
              <w:insideV w:val="nil"/>
            </w:tcBorders>
            <w:vAlign w:val="center"/>
          </w:tcPr>
          <w:p w14:paraId="4591B4DC">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Logit Value</w:t>
            </w:r>
          </w:p>
        </w:tc>
        <w:tc>
          <w:tcPr>
            <w:tcW w:w="2593" w:type="pct"/>
            <w:tcBorders>
              <w:top w:val="single" w:color="000000" w:sz="12" w:space="0"/>
              <w:left w:val="nil"/>
              <w:bottom w:val="single" w:color="000000" w:sz="6" w:space="0"/>
              <w:right w:val="nil"/>
              <w:insideH w:val="nil"/>
              <w:insideV w:val="nil"/>
            </w:tcBorders>
            <w:vAlign w:val="center"/>
          </w:tcPr>
          <w:p w14:paraId="4E8D8B9C">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Predicted Cancer Probability</w:t>
            </w:r>
          </w:p>
        </w:tc>
      </w:tr>
      <w:tr w14:paraId="7A744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48" w:type="pct"/>
            <w:tcBorders>
              <w:top w:val="nil"/>
              <w:left w:val="nil"/>
              <w:bottom w:val="nil"/>
              <w:right w:val="nil"/>
              <w:insideH w:val="nil"/>
              <w:insideV w:val="nil"/>
            </w:tcBorders>
            <w:vAlign w:val="center"/>
          </w:tcPr>
          <w:p w14:paraId="5F8D9F95">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0.0</w:t>
            </w:r>
          </w:p>
        </w:tc>
        <w:tc>
          <w:tcPr>
            <w:tcW w:w="1158" w:type="pct"/>
            <w:tcBorders>
              <w:top w:val="nil"/>
              <w:left w:val="nil"/>
              <w:bottom w:val="nil"/>
              <w:right w:val="nil"/>
              <w:insideH w:val="nil"/>
              <w:insideV w:val="nil"/>
            </w:tcBorders>
            <w:vAlign w:val="center"/>
          </w:tcPr>
          <w:p w14:paraId="65338805">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-4.7751</w:t>
            </w:r>
          </w:p>
        </w:tc>
        <w:tc>
          <w:tcPr>
            <w:tcW w:w="2593" w:type="pct"/>
            <w:tcBorders>
              <w:top w:val="nil"/>
              <w:left w:val="nil"/>
              <w:bottom w:val="nil"/>
              <w:right w:val="nil"/>
              <w:insideH w:val="nil"/>
              <w:insideV w:val="nil"/>
            </w:tcBorders>
            <w:vAlign w:val="center"/>
          </w:tcPr>
          <w:p w14:paraId="0FC120C5">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0.8%</w:t>
            </w:r>
          </w:p>
        </w:tc>
      </w:tr>
      <w:tr w14:paraId="29513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48" w:type="pct"/>
            <w:tcBorders>
              <w:top w:val="nil"/>
              <w:left w:val="nil"/>
              <w:bottom w:val="nil"/>
              <w:right w:val="nil"/>
              <w:insideH w:val="nil"/>
              <w:insideV w:val="nil"/>
            </w:tcBorders>
            <w:vAlign w:val="center"/>
          </w:tcPr>
          <w:p w14:paraId="1103178B">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0.5</w:t>
            </w:r>
          </w:p>
        </w:tc>
        <w:tc>
          <w:tcPr>
            <w:tcW w:w="1158" w:type="pct"/>
            <w:tcBorders>
              <w:top w:val="nil"/>
              <w:left w:val="nil"/>
              <w:bottom w:val="nil"/>
              <w:right w:val="nil"/>
              <w:insideH w:val="nil"/>
              <w:insideV w:val="nil"/>
            </w:tcBorders>
            <w:vAlign w:val="center"/>
          </w:tcPr>
          <w:p w14:paraId="77FB7B08">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-3.6926</w:t>
            </w:r>
          </w:p>
        </w:tc>
        <w:tc>
          <w:tcPr>
            <w:tcW w:w="2593" w:type="pct"/>
            <w:tcBorders>
              <w:top w:val="nil"/>
              <w:left w:val="nil"/>
              <w:bottom w:val="nil"/>
              <w:right w:val="nil"/>
              <w:insideH w:val="nil"/>
              <w:insideV w:val="nil"/>
            </w:tcBorders>
            <w:vAlign w:val="center"/>
          </w:tcPr>
          <w:p w14:paraId="72955274">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2.4%</w:t>
            </w:r>
          </w:p>
        </w:tc>
      </w:tr>
      <w:tr w14:paraId="0058C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48" w:type="pct"/>
            <w:tcBorders>
              <w:top w:val="nil"/>
              <w:left w:val="nil"/>
              <w:bottom w:val="nil"/>
              <w:right w:val="nil"/>
              <w:insideH w:val="nil"/>
              <w:insideV w:val="nil"/>
            </w:tcBorders>
            <w:vAlign w:val="center"/>
          </w:tcPr>
          <w:p w14:paraId="552DCC4C">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w:t>
            </w:r>
          </w:p>
        </w:tc>
        <w:tc>
          <w:tcPr>
            <w:tcW w:w="1158" w:type="pct"/>
            <w:tcBorders>
              <w:top w:val="nil"/>
              <w:left w:val="nil"/>
              <w:bottom w:val="nil"/>
              <w:right w:val="nil"/>
              <w:insideH w:val="nil"/>
              <w:insideV w:val="nil"/>
            </w:tcBorders>
            <w:vAlign w:val="center"/>
          </w:tcPr>
          <w:p w14:paraId="3960B00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-2.6101</w:t>
            </w:r>
          </w:p>
        </w:tc>
        <w:tc>
          <w:tcPr>
            <w:tcW w:w="2593" w:type="pct"/>
            <w:tcBorders>
              <w:top w:val="nil"/>
              <w:left w:val="nil"/>
              <w:bottom w:val="nil"/>
              <w:right w:val="nil"/>
              <w:insideH w:val="nil"/>
              <w:insideV w:val="nil"/>
            </w:tcBorders>
            <w:vAlign w:val="center"/>
          </w:tcPr>
          <w:p w14:paraId="5CA34CE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6.8%</w:t>
            </w:r>
          </w:p>
        </w:tc>
      </w:tr>
      <w:tr w14:paraId="451FD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48" w:type="pct"/>
            <w:tcBorders>
              <w:top w:val="nil"/>
              <w:left w:val="nil"/>
              <w:bottom w:val="nil"/>
              <w:right w:val="nil"/>
              <w:insideH w:val="nil"/>
              <w:insideV w:val="nil"/>
            </w:tcBorders>
            <w:vAlign w:val="center"/>
          </w:tcPr>
          <w:p w14:paraId="5DF1138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1.5</w:t>
            </w:r>
          </w:p>
        </w:tc>
        <w:tc>
          <w:tcPr>
            <w:tcW w:w="1158" w:type="pct"/>
            <w:tcBorders>
              <w:top w:val="nil"/>
              <w:left w:val="nil"/>
              <w:bottom w:val="nil"/>
              <w:right w:val="nil"/>
              <w:insideH w:val="nil"/>
              <w:insideV w:val="nil"/>
            </w:tcBorders>
            <w:vAlign w:val="center"/>
          </w:tcPr>
          <w:p w14:paraId="0F5DDD9D">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-1.5276</w:t>
            </w:r>
          </w:p>
        </w:tc>
        <w:tc>
          <w:tcPr>
            <w:tcW w:w="2593" w:type="pct"/>
            <w:tcBorders>
              <w:top w:val="nil"/>
              <w:left w:val="nil"/>
              <w:bottom w:val="nil"/>
              <w:right w:val="nil"/>
              <w:insideH w:val="nil"/>
              <w:insideV w:val="nil"/>
            </w:tcBorders>
            <w:vAlign w:val="center"/>
          </w:tcPr>
          <w:p w14:paraId="0F5DE04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17.8%</w:t>
            </w:r>
          </w:p>
        </w:tc>
      </w:tr>
      <w:tr w14:paraId="5BFDE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48" w:type="pct"/>
            <w:tcBorders>
              <w:top w:val="nil"/>
              <w:left w:val="nil"/>
              <w:bottom w:val="nil"/>
              <w:right w:val="nil"/>
              <w:insideH w:val="nil"/>
              <w:insideV w:val="nil"/>
            </w:tcBorders>
            <w:vAlign w:val="center"/>
          </w:tcPr>
          <w:p w14:paraId="5D889A12">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2.0</w:t>
            </w:r>
          </w:p>
        </w:tc>
        <w:tc>
          <w:tcPr>
            <w:tcW w:w="1158" w:type="pct"/>
            <w:tcBorders>
              <w:top w:val="nil"/>
              <w:left w:val="nil"/>
              <w:bottom w:val="nil"/>
              <w:right w:val="nil"/>
              <w:insideH w:val="nil"/>
              <w:insideV w:val="nil"/>
            </w:tcBorders>
            <w:vAlign w:val="center"/>
          </w:tcPr>
          <w:p w14:paraId="7BA4D5E2">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-0.4451</w:t>
            </w:r>
          </w:p>
        </w:tc>
        <w:tc>
          <w:tcPr>
            <w:tcW w:w="2593" w:type="pct"/>
            <w:tcBorders>
              <w:top w:val="nil"/>
              <w:left w:val="nil"/>
              <w:bottom w:val="nil"/>
              <w:right w:val="nil"/>
              <w:insideH w:val="nil"/>
              <w:insideV w:val="nil"/>
            </w:tcBorders>
            <w:vAlign w:val="center"/>
          </w:tcPr>
          <w:p w14:paraId="41EB350B">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39.1%</w:t>
            </w:r>
          </w:p>
        </w:tc>
      </w:tr>
      <w:tr w14:paraId="3BE83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48" w:type="pct"/>
            <w:tcBorders>
              <w:top w:val="nil"/>
              <w:left w:val="nil"/>
              <w:bottom w:val="nil"/>
              <w:right w:val="nil"/>
              <w:insideH w:val="nil"/>
              <w:insideV w:val="nil"/>
            </w:tcBorders>
            <w:vAlign w:val="center"/>
          </w:tcPr>
          <w:p w14:paraId="0309DAB4">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2.5</w:t>
            </w:r>
          </w:p>
        </w:tc>
        <w:tc>
          <w:tcPr>
            <w:tcW w:w="1158" w:type="pct"/>
            <w:tcBorders>
              <w:top w:val="nil"/>
              <w:left w:val="nil"/>
              <w:bottom w:val="nil"/>
              <w:right w:val="nil"/>
              <w:insideH w:val="nil"/>
              <w:insideV w:val="nil"/>
            </w:tcBorders>
            <w:vAlign w:val="center"/>
          </w:tcPr>
          <w:p w14:paraId="4A1A3127">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0.6374</w:t>
            </w:r>
          </w:p>
        </w:tc>
        <w:tc>
          <w:tcPr>
            <w:tcW w:w="2593" w:type="pct"/>
            <w:tcBorders>
              <w:top w:val="nil"/>
              <w:left w:val="nil"/>
              <w:bottom w:val="nil"/>
              <w:right w:val="nil"/>
              <w:insideH w:val="nil"/>
              <w:insideV w:val="nil"/>
            </w:tcBorders>
            <w:vAlign w:val="center"/>
          </w:tcPr>
          <w:p w14:paraId="1D686609">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65.4%</w:t>
            </w:r>
          </w:p>
        </w:tc>
      </w:tr>
      <w:tr w14:paraId="1F94C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48" w:type="pct"/>
            <w:tcBorders>
              <w:top w:val="nil"/>
              <w:left w:val="nil"/>
              <w:bottom w:val="nil"/>
              <w:right w:val="nil"/>
              <w:insideH w:val="nil"/>
              <w:insideV w:val="nil"/>
            </w:tcBorders>
            <w:vAlign w:val="center"/>
          </w:tcPr>
          <w:p w14:paraId="7E8BF25C">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3.0</w:t>
            </w:r>
          </w:p>
        </w:tc>
        <w:tc>
          <w:tcPr>
            <w:tcW w:w="1158" w:type="pct"/>
            <w:tcBorders>
              <w:top w:val="nil"/>
              <w:left w:val="nil"/>
              <w:bottom w:val="nil"/>
              <w:right w:val="nil"/>
              <w:insideH w:val="nil"/>
              <w:insideV w:val="nil"/>
            </w:tcBorders>
            <w:vAlign w:val="center"/>
          </w:tcPr>
          <w:p w14:paraId="2B5E6598">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1.7199</w:t>
            </w:r>
          </w:p>
        </w:tc>
        <w:tc>
          <w:tcPr>
            <w:tcW w:w="2593" w:type="pct"/>
            <w:tcBorders>
              <w:top w:val="nil"/>
              <w:left w:val="nil"/>
              <w:bottom w:val="nil"/>
              <w:right w:val="nil"/>
              <w:insideH w:val="nil"/>
              <w:insideV w:val="nil"/>
            </w:tcBorders>
            <w:vAlign w:val="center"/>
          </w:tcPr>
          <w:p w14:paraId="0DE17EA1">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84.8%</w:t>
            </w:r>
          </w:p>
        </w:tc>
      </w:tr>
      <w:tr w14:paraId="7A66E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48" w:type="pct"/>
            <w:tcBorders>
              <w:top w:val="nil"/>
              <w:left w:val="nil"/>
              <w:bottom w:val="nil"/>
              <w:right w:val="nil"/>
              <w:insideH w:val="nil"/>
              <w:insideV w:val="nil"/>
            </w:tcBorders>
            <w:vAlign w:val="center"/>
          </w:tcPr>
          <w:p w14:paraId="5486260D">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3.5</w:t>
            </w:r>
          </w:p>
        </w:tc>
        <w:tc>
          <w:tcPr>
            <w:tcW w:w="1158" w:type="pct"/>
            <w:tcBorders>
              <w:top w:val="nil"/>
              <w:left w:val="nil"/>
              <w:bottom w:val="nil"/>
              <w:right w:val="nil"/>
              <w:insideH w:val="nil"/>
              <w:insideV w:val="nil"/>
            </w:tcBorders>
            <w:vAlign w:val="center"/>
          </w:tcPr>
          <w:p w14:paraId="17C5AC27">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2.8023</w:t>
            </w:r>
          </w:p>
        </w:tc>
        <w:tc>
          <w:tcPr>
            <w:tcW w:w="2593" w:type="pct"/>
            <w:tcBorders>
              <w:top w:val="nil"/>
              <w:left w:val="nil"/>
              <w:bottom w:val="nil"/>
              <w:right w:val="nil"/>
              <w:insideH w:val="nil"/>
              <w:insideV w:val="nil"/>
            </w:tcBorders>
            <w:vAlign w:val="center"/>
          </w:tcPr>
          <w:p w14:paraId="36DC8914">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94.3%</w:t>
            </w:r>
          </w:p>
        </w:tc>
      </w:tr>
      <w:tr w14:paraId="6D4C6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48" w:type="pct"/>
            <w:tcBorders>
              <w:top w:val="nil"/>
              <w:left w:val="nil"/>
              <w:bottom w:val="nil"/>
              <w:right w:val="nil"/>
              <w:insideH w:val="nil"/>
              <w:insideV w:val="nil"/>
            </w:tcBorders>
            <w:vAlign w:val="center"/>
          </w:tcPr>
          <w:p w14:paraId="63509265">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4.0</w:t>
            </w:r>
          </w:p>
        </w:tc>
        <w:tc>
          <w:tcPr>
            <w:tcW w:w="1158" w:type="pct"/>
            <w:tcBorders>
              <w:top w:val="nil"/>
              <w:left w:val="nil"/>
              <w:bottom w:val="nil"/>
              <w:right w:val="nil"/>
              <w:insideH w:val="nil"/>
              <w:insideV w:val="nil"/>
            </w:tcBorders>
            <w:vAlign w:val="center"/>
          </w:tcPr>
          <w:p w14:paraId="12D04F19">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3.8848</w:t>
            </w:r>
          </w:p>
        </w:tc>
        <w:tc>
          <w:tcPr>
            <w:tcW w:w="2593" w:type="pct"/>
            <w:tcBorders>
              <w:top w:val="nil"/>
              <w:left w:val="nil"/>
              <w:bottom w:val="nil"/>
              <w:right w:val="nil"/>
              <w:insideH w:val="nil"/>
              <w:insideV w:val="nil"/>
            </w:tcBorders>
            <w:vAlign w:val="center"/>
          </w:tcPr>
          <w:p w14:paraId="248324CD">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98.0%</w:t>
            </w:r>
          </w:p>
        </w:tc>
      </w:tr>
      <w:tr w14:paraId="7079A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48" w:type="pct"/>
            <w:tcBorders>
              <w:top w:val="nil"/>
              <w:left w:val="nil"/>
              <w:bottom w:val="nil"/>
              <w:right w:val="nil"/>
              <w:insideH w:val="nil"/>
              <w:insideV w:val="nil"/>
            </w:tcBorders>
            <w:vAlign w:val="center"/>
          </w:tcPr>
          <w:p w14:paraId="2789131F">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4.5</w:t>
            </w:r>
          </w:p>
        </w:tc>
        <w:tc>
          <w:tcPr>
            <w:tcW w:w="1158" w:type="pct"/>
            <w:tcBorders>
              <w:top w:val="nil"/>
              <w:left w:val="nil"/>
              <w:bottom w:val="nil"/>
              <w:right w:val="nil"/>
              <w:insideH w:val="nil"/>
              <w:insideV w:val="nil"/>
            </w:tcBorders>
            <w:vAlign w:val="center"/>
          </w:tcPr>
          <w:p w14:paraId="2890C8B0">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4.9673</w:t>
            </w:r>
          </w:p>
        </w:tc>
        <w:tc>
          <w:tcPr>
            <w:tcW w:w="2593" w:type="pct"/>
            <w:tcBorders>
              <w:top w:val="nil"/>
              <w:left w:val="nil"/>
              <w:bottom w:val="nil"/>
              <w:right w:val="nil"/>
              <w:insideH w:val="nil"/>
              <w:insideV w:val="nil"/>
            </w:tcBorders>
            <w:vAlign w:val="center"/>
          </w:tcPr>
          <w:p w14:paraId="21740217">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99.3%</w:t>
            </w:r>
          </w:p>
        </w:tc>
      </w:tr>
      <w:tr w14:paraId="492F4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48" w:type="pct"/>
            <w:tcBorders>
              <w:top w:val="nil"/>
              <w:left w:val="nil"/>
              <w:bottom w:val="nil"/>
              <w:right w:val="nil"/>
              <w:insideH w:val="nil"/>
              <w:insideV w:val="nil"/>
            </w:tcBorders>
            <w:vAlign w:val="center"/>
          </w:tcPr>
          <w:p w14:paraId="2E18FA9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5.0</w:t>
            </w:r>
          </w:p>
        </w:tc>
        <w:tc>
          <w:tcPr>
            <w:tcW w:w="1158" w:type="pct"/>
            <w:tcBorders>
              <w:top w:val="nil"/>
              <w:left w:val="nil"/>
              <w:bottom w:val="nil"/>
              <w:right w:val="nil"/>
              <w:insideH w:val="nil"/>
              <w:insideV w:val="nil"/>
            </w:tcBorders>
            <w:vAlign w:val="center"/>
          </w:tcPr>
          <w:p w14:paraId="3AADDEE8">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6.0498</w:t>
            </w:r>
          </w:p>
        </w:tc>
        <w:tc>
          <w:tcPr>
            <w:tcW w:w="2593" w:type="pct"/>
            <w:tcBorders>
              <w:top w:val="nil"/>
              <w:left w:val="nil"/>
              <w:bottom w:val="nil"/>
              <w:right w:val="nil"/>
              <w:insideH w:val="nil"/>
              <w:insideV w:val="nil"/>
            </w:tcBorders>
            <w:vAlign w:val="center"/>
          </w:tcPr>
          <w:p w14:paraId="60041F5D">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99.8%</w:t>
            </w:r>
          </w:p>
        </w:tc>
      </w:tr>
      <w:tr w14:paraId="597FD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48" w:type="pct"/>
            <w:tcBorders>
              <w:top w:val="nil"/>
              <w:left w:val="nil"/>
              <w:bottom w:val="nil"/>
              <w:right w:val="nil"/>
              <w:insideH w:val="nil"/>
              <w:insideV w:val="nil"/>
            </w:tcBorders>
            <w:vAlign w:val="center"/>
          </w:tcPr>
          <w:p w14:paraId="23DD6C1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5.5</w:t>
            </w:r>
          </w:p>
        </w:tc>
        <w:tc>
          <w:tcPr>
            <w:tcW w:w="1158" w:type="pct"/>
            <w:tcBorders>
              <w:top w:val="nil"/>
              <w:left w:val="nil"/>
              <w:bottom w:val="nil"/>
              <w:right w:val="nil"/>
              <w:insideH w:val="nil"/>
              <w:insideV w:val="nil"/>
            </w:tcBorders>
            <w:vAlign w:val="center"/>
          </w:tcPr>
          <w:p w14:paraId="688D4677">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7.1323</w:t>
            </w:r>
          </w:p>
        </w:tc>
        <w:tc>
          <w:tcPr>
            <w:tcW w:w="2593" w:type="pct"/>
            <w:tcBorders>
              <w:top w:val="nil"/>
              <w:left w:val="nil"/>
              <w:bottom w:val="nil"/>
              <w:right w:val="nil"/>
              <w:insideH w:val="nil"/>
              <w:insideV w:val="nil"/>
            </w:tcBorders>
            <w:vAlign w:val="center"/>
          </w:tcPr>
          <w:p w14:paraId="2F57E50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99.9%</w:t>
            </w:r>
          </w:p>
        </w:tc>
      </w:tr>
      <w:tr w14:paraId="1F8E6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48" w:type="pct"/>
            <w:tcBorders>
              <w:top w:val="nil"/>
              <w:left w:val="nil"/>
              <w:bottom w:val="single" w:color="000000" w:sz="12" w:space="0"/>
              <w:right w:val="nil"/>
              <w:insideH w:val="nil"/>
              <w:insideV w:val="nil"/>
            </w:tcBorders>
            <w:vAlign w:val="center"/>
          </w:tcPr>
          <w:p w14:paraId="6A810D08">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6.0</w:t>
            </w:r>
          </w:p>
        </w:tc>
        <w:tc>
          <w:tcPr>
            <w:tcW w:w="1158" w:type="pct"/>
            <w:tcBorders>
              <w:top w:val="nil"/>
              <w:left w:val="nil"/>
              <w:bottom w:val="single" w:color="000000" w:sz="12" w:space="0"/>
              <w:right w:val="nil"/>
              <w:insideH w:val="nil"/>
              <w:insideV w:val="nil"/>
            </w:tcBorders>
            <w:vAlign w:val="center"/>
          </w:tcPr>
          <w:p w14:paraId="75836BA8">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8.2148</w:t>
            </w:r>
          </w:p>
        </w:tc>
        <w:tc>
          <w:tcPr>
            <w:tcW w:w="2593" w:type="pct"/>
            <w:tcBorders>
              <w:top w:val="nil"/>
              <w:left w:val="nil"/>
              <w:bottom w:val="single" w:color="000000" w:sz="12" w:space="0"/>
              <w:right w:val="nil"/>
              <w:insideH w:val="nil"/>
              <w:insideV w:val="nil"/>
            </w:tcBorders>
            <w:vAlign w:val="center"/>
          </w:tcPr>
          <w:p w14:paraId="732E9E2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r>
    </w:tbl>
    <w:p w14:paraId="6F14A182">
      <w:pPr>
        <w:spacing w:line="240" w:lineRule="auto"/>
        <w:rPr>
          <w:i/>
          <w:iCs/>
        </w:rPr>
      </w:pPr>
      <w:r>
        <w:rPr>
          <w:rFonts w:ascii="Times New Roman" w:hAnsi="Times New Roman"/>
          <w:i/>
          <w:iCs/>
          <w:sz w:val="21"/>
        </w:rPr>
        <w:t>Note: The PUCD &gt;= 2 cutoff (Logit = -0.4451) corresponds to a predicted cancer probability of 39.1%. The relationship between PUCD and Logit is strictly monotonic, so the rank order of risk is preserved.</w:t>
      </w:r>
    </w:p>
    <w:p w14:paraId="6539C697">
      <w:pPr>
        <w:spacing w:after="0" w:line="240" w:lineRule="auto"/>
      </w:pPr>
    </w:p>
    <w:p w14:paraId="67635D42">
      <w:pPr>
        <w:spacing w:after="120" w:line="240" w:lineRule="auto"/>
      </w:pPr>
      <w:r>
        <w:rPr>
          <w:rFonts w:ascii="Times New Roman" w:hAnsi="Times New Roman"/>
          <w:b/>
          <w:sz w:val="21"/>
        </w:rPr>
        <w:t>Table S</w:t>
      </w:r>
      <w:r>
        <w:rPr>
          <w:rFonts w:hint="eastAsia" w:ascii="Times New Roman" w:hAnsi="Times New Roman"/>
          <w:b/>
          <w:sz w:val="21"/>
          <w:lang w:val="en-US" w:eastAsia="zh-CN"/>
        </w:rPr>
        <w:t>5</w:t>
      </w:r>
      <w:r>
        <w:rPr>
          <w:rFonts w:ascii="Times New Roman" w:hAnsi="Times New Roman"/>
          <w:b/>
          <w:sz w:val="21"/>
        </w:rPr>
        <w:t>. Non-Cancer Control Population Breakdown and PUCD Specificity by Diagnostic Category</w:t>
      </w:r>
    </w:p>
    <w:p w14:paraId="17C88F6B">
      <w:pPr>
        <w:spacing w:after="120" w:line="240" w:lineRule="auto"/>
      </w:pPr>
      <w:r>
        <w:rPr>
          <w:rFonts w:ascii="Times New Roman" w:hAnsi="Times New Roman"/>
          <w:b w:val="0"/>
          <w:sz w:val="21"/>
        </w:rPr>
        <w:t>All non-cancer controls were patients presenting at the urology clinic for clinical evaluation. Cancer-free status was confirmed through clinical evaluation, imaging (ultrasound/CT), cystoscopy where clinically indicated, and histopathological confirmation where applicable. As individuals could present with multiple concurrent benign conditions, diagnostic categories were tallied with repeated counting; therefore, the sum of category sample sizes exceeds the total number of controls. 95% confidence intervals for specificity were computed using the Wilson score method. Categories with fewer than 10 individuals were merged into "Other Benign Conditions."</w:t>
      </w:r>
    </w:p>
    <w:tbl>
      <w:tblPr>
        <w:tblStyle w:val="4"/>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12"/>
        <w:gridCol w:w="539"/>
        <w:gridCol w:w="1447"/>
        <w:gridCol w:w="813"/>
        <w:gridCol w:w="767"/>
        <w:gridCol w:w="2241"/>
      </w:tblGrid>
      <w:tr w14:paraId="629C5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591" w:type="pct"/>
            <w:tcBorders>
              <w:top w:val="single" w:color="000000" w:sz="12" w:space="0"/>
              <w:left w:val="nil"/>
              <w:bottom w:val="nil"/>
              <w:right w:val="nil"/>
              <w:insideH w:val="nil"/>
              <w:insideV w:val="nil"/>
            </w:tcBorders>
            <w:noWrap w:val="0"/>
            <w:tcMar>
              <w:top w:w="-1" w:type="dxa"/>
              <w:left w:w="-1" w:type="dxa"/>
              <w:bottom w:w="-1" w:type="dxa"/>
              <w:right w:w="-1" w:type="dxa"/>
            </w:tcMar>
            <w:vAlign w:val="center"/>
          </w:tcPr>
          <w:p w14:paraId="4DB694F4">
            <w:pPr>
              <w:snapToGrid w:val="0"/>
              <w:spacing w:line="240" w:lineRule="auto"/>
              <w:ind w:left="0" w:leftChars="0" w:right="0" w:rightChars="0" w:firstLine="0" w:firstLineChars="0"/>
              <w:jc w:val="center"/>
              <w:rPr>
                <w:rFonts w:ascii="Times New Roman" w:hAnsi="Times New Roman" w:cs="Times New Roman"/>
                <w:b/>
                <w:sz w:val="18"/>
                <w:szCs w:val="18"/>
              </w:rPr>
            </w:pPr>
            <w:r>
              <w:rPr>
                <w:rFonts w:ascii="Times New Roman" w:hAnsi="Times New Roman" w:cs="Times New Roman"/>
                <w:b/>
                <w:sz w:val="18"/>
                <w:szCs w:val="18"/>
              </w:rPr>
              <w:t>Diagnostic Category</w:t>
            </w:r>
          </w:p>
        </w:tc>
        <w:tc>
          <w:tcPr>
            <w:tcW w:w="316" w:type="pct"/>
            <w:tcBorders>
              <w:top w:val="single" w:color="000000" w:sz="12" w:space="0"/>
              <w:left w:val="nil"/>
              <w:bottom w:val="nil"/>
              <w:right w:val="nil"/>
              <w:insideH w:val="nil"/>
              <w:insideV w:val="nil"/>
            </w:tcBorders>
            <w:noWrap w:val="0"/>
            <w:tcMar>
              <w:top w:w="-1" w:type="dxa"/>
              <w:left w:w="-1" w:type="dxa"/>
              <w:bottom w:w="-1" w:type="dxa"/>
              <w:right w:w="-1" w:type="dxa"/>
            </w:tcMar>
            <w:vAlign w:val="center"/>
          </w:tcPr>
          <w:p w14:paraId="78883D42">
            <w:pPr>
              <w:snapToGrid w:val="0"/>
              <w:spacing w:line="240" w:lineRule="auto"/>
              <w:ind w:left="0" w:leftChars="0" w:right="0" w:rightChars="0" w:firstLine="0" w:firstLineChars="0"/>
              <w:jc w:val="center"/>
              <w:rPr>
                <w:rFonts w:ascii="Times New Roman" w:hAnsi="Times New Roman" w:cs="Times New Roman"/>
                <w:b/>
                <w:sz w:val="18"/>
                <w:szCs w:val="18"/>
              </w:rPr>
            </w:pPr>
            <w:r>
              <w:rPr>
                <w:rFonts w:ascii="Times New Roman" w:hAnsi="Times New Roman" w:cs="Times New Roman"/>
                <w:b/>
                <w:sz w:val="18"/>
                <w:szCs w:val="18"/>
              </w:rPr>
              <w:t>N</w:t>
            </w:r>
          </w:p>
        </w:tc>
        <w:tc>
          <w:tcPr>
            <w:tcW w:w="849" w:type="pct"/>
            <w:tcBorders>
              <w:top w:val="single" w:color="000000" w:sz="12" w:space="0"/>
              <w:left w:val="nil"/>
              <w:bottom w:val="nil"/>
              <w:right w:val="nil"/>
              <w:insideH w:val="nil"/>
              <w:insideV w:val="nil"/>
            </w:tcBorders>
            <w:noWrap w:val="0"/>
            <w:tcMar>
              <w:top w:w="-1" w:type="dxa"/>
              <w:left w:w="-1" w:type="dxa"/>
              <w:bottom w:w="-1" w:type="dxa"/>
              <w:right w:w="-1" w:type="dxa"/>
            </w:tcMar>
            <w:vAlign w:val="center"/>
          </w:tcPr>
          <w:p w14:paraId="6F4C67CA">
            <w:pPr>
              <w:snapToGrid w:val="0"/>
              <w:spacing w:line="240" w:lineRule="auto"/>
              <w:ind w:left="0" w:leftChars="0" w:right="0" w:rightChars="0" w:firstLine="0" w:firstLineChars="0"/>
              <w:jc w:val="center"/>
              <w:rPr>
                <w:rFonts w:ascii="Times New Roman" w:hAnsi="Times New Roman" w:cs="Times New Roman"/>
                <w:b/>
                <w:sz w:val="18"/>
                <w:szCs w:val="18"/>
              </w:rPr>
            </w:pPr>
            <w:r>
              <w:rPr>
                <w:rFonts w:ascii="Times New Roman" w:hAnsi="Times New Roman" w:cs="Times New Roman"/>
                <w:b/>
                <w:sz w:val="18"/>
                <w:szCs w:val="18"/>
              </w:rPr>
              <w:t>% of Controls</w:t>
            </w:r>
          </w:p>
        </w:tc>
        <w:tc>
          <w:tcPr>
            <w:tcW w:w="477" w:type="pct"/>
            <w:tcBorders>
              <w:top w:val="single" w:color="000000" w:sz="12" w:space="0"/>
              <w:left w:val="nil"/>
              <w:bottom w:val="nil"/>
              <w:right w:val="nil"/>
              <w:insideH w:val="nil"/>
              <w:insideV w:val="nil"/>
            </w:tcBorders>
            <w:noWrap w:val="0"/>
            <w:tcMar>
              <w:top w:w="-1" w:type="dxa"/>
              <w:left w:w="-1" w:type="dxa"/>
              <w:bottom w:w="-1" w:type="dxa"/>
              <w:right w:w="-1" w:type="dxa"/>
            </w:tcMar>
            <w:vAlign w:val="center"/>
          </w:tcPr>
          <w:p w14:paraId="3B952425">
            <w:pPr>
              <w:snapToGrid w:val="0"/>
              <w:spacing w:line="240" w:lineRule="auto"/>
              <w:ind w:left="0" w:leftChars="0" w:right="0" w:rightChars="0" w:firstLine="0" w:firstLineChars="0"/>
              <w:jc w:val="center"/>
              <w:rPr>
                <w:rFonts w:ascii="Times New Roman" w:hAnsi="Times New Roman" w:cs="Times New Roman"/>
                <w:b/>
                <w:sz w:val="18"/>
                <w:szCs w:val="18"/>
              </w:rPr>
            </w:pPr>
            <w:r>
              <w:rPr>
                <w:rFonts w:ascii="Times New Roman" w:hAnsi="Times New Roman" w:cs="Times New Roman"/>
                <w:b/>
                <w:sz w:val="18"/>
                <w:szCs w:val="18"/>
              </w:rPr>
              <w:t>TN (n)</w:t>
            </w:r>
          </w:p>
        </w:tc>
        <w:tc>
          <w:tcPr>
            <w:tcW w:w="450" w:type="pct"/>
            <w:tcBorders>
              <w:top w:val="single" w:color="000000" w:sz="12" w:space="0"/>
              <w:left w:val="nil"/>
              <w:bottom w:val="nil"/>
              <w:right w:val="nil"/>
              <w:insideH w:val="nil"/>
              <w:insideV w:val="nil"/>
            </w:tcBorders>
            <w:noWrap w:val="0"/>
            <w:tcMar>
              <w:top w:w="-1" w:type="dxa"/>
              <w:left w:w="-1" w:type="dxa"/>
              <w:bottom w:w="-1" w:type="dxa"/>
              <w:right w:w="-1" w:type="dxa"/>
            </w:tcMar>
            <w:vAlign w:val="center"/>
          </w:tcPr>
          <w:p w14:paraId="12DC07F6">
            <w:pPr>
              <w:snapToGrid w:val="0"/>
              <w:spacing w:line="240" w:lineRule="auto"/>
              <w:ind w:left="0" w:leftChars="0" w:right="0" w:rightChars="0" w:firstLine="0" w:firstLineChars="0"/>
              <w:jc w:val="center"/>
              <w:rPr>
                <w:rFonts w:ascii="Times New Roman" w:hAnsi="Times New Roman" w:cs="Times New Roman"/>
                <w:b/>
                <w:sz w:val="18"/>
                <w:szCs w:val="18"/>
              </w:rPr>
            </w:pPr>
            <w:r>
              <w:rPr>
                <w:rFonts w:ascii="Times New Roman" w:hAnsi="Times New Roman" w:cs="Times New Roman"/>
                <w:b/>
                <w:sz w:val="18"/>
                <w:szCs w:val="18"/>
              </w:rPr>
              <w:t>FP (n)</w:t>
            </w:r>
          </w:p>
        </w:tc>
        <w:tc>
          <w:tcPr>
            <w:tcW w:w="1315" w:type="pct"/>
            <w:tcBorders>
              <w:top w:val="single" w:color="000000" w:sz="12" w:space="0"/>
              <w:left w:val="nil"/>
              <w:bottom w:val="nil"/>
              <w:right w:val="nil"/>
              <w:insideH w:val="nil"/>
              <w:insideV w:val="nil"/>
            </w:tcBorders>
            <w:noWrap w:val="0"/>
            <w:tcMar>
              <w:top w:w="-1" w:type="dxa"/>
              <w:left w:w="-1" w:type="dxa"/>
              <w:bottom w:w="-1" w:type="dxa"/>
              <w:right w:w="-1" w:type="dxa"/>
            </w:tcMar>
            <w:vAlign w:val="center"/>
          </w:tcPr>
          <w:p w14:paraId="751B0CF9">
            <w:pPr>
              <w:snapToGrid w:val="0"/>
              <w:spacing w:line="240" w:lineRule="auto"/>
              <w:ind w:left="0" w:leftChars="0" w:right="0" w:rightChars="0" w:firstLine="0" w:firstLineChars="0"/>
              <w:jc w:val="center"/>
              <w:rPr>
                <w:rFonts w:ascii="Times New Roman" w:hAnsi="Times New Roman" w:cs="Times New Roman"/>
                <w:b/>
                <w:sz w:val="18"/>
                <w:szCs w:val="18"/>
              </w:rPr>
            </w:pPr>
            <w:r>
              <w:rPr>
                <w:rFonts w:ascii="Times New Roman" w:hAnsi="Times New Roman" w:cs="Times New Roman"/>
                <w:b/>
                <w:sz w:val="18"/>
                <w:szCs w:val="18"/>
              </w:rPr>
              <w:t>Specificity (95% CI)</w:t>
            </w:r>
          </w:p>
        </w:tc>
      </w:tr>
      <w:tr w14:paraId="78772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91" w:type="pct"/>
            <w:tcBorders>
              <w:top w:val="single" w:color="auto" w:sz="4" w:space="0"/>
              <w:left w:val="nil"/>
              <w:bottom w:val="nil"/>
              <w:right w:val="nil"/>
              <w:insideH w:val="nil"/>
              <w:insideV w:val="nil"/>
            </w:tcBorders>
            <w:noWrap w:val="0"/>
            <w:tcMar>
              <w:top w:w="-1" w:type="dxa"/>
              <w:left w:w="-1" w:type="dxa"/>
              <w:bottom w:w="-1" w:type="dxa"/>
              <w:right w:w="-1" w:type="dxa"/>
            </w:tcMar>
            <w:vAlign w:val="center"/>
          </w:tcPr>
          <w:p w14:paraId="6351DD9B">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No Specific Abnormal Finding</w:t>
            </w:r>
          </w:p>
        </w:tc>
        <w:tc>
          <w:tcPr>
            <w:tcW w:w="316" w:type="pct"/>
            <w:tcBorders>
              <w:top w:val="single" w:color="auto" w:sz="4" w:space="0"/>
              <w:left w:val="nil"/>
              <w:bottom w:val="nil"/>
              <w:right w:val="nil"/>
              <w:insideH w:val="nil"/>
              <w:insideV w:val="nil"/>
            </w:tcBorders>
            <w:noWrap w:val="0"/>
            <w:tcMar>
              <w:top w:w="-1" w:type="dxa"/>
              <w:left w:w="-1" w:type="dxa"/>
              <w:bottom w:w="-1" w:type="dxa"/>
              <w:right w:w="-1" w:type="dxa"/>
            </w:tcMar>
            <w:vAlign w:val="center"/>
          </w:tcPr>
          <w:p w14:paraId="64C813A6">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189</w:t>
            </w:r>
          </w:p>
        </w:tc>
        <w:tc>
          <w:tcPr>
            <w:tcW w:w="849" w:type="pct"/>
            <w:tcBorders>
              <w:top w:val="single" w:color="auto" w:sz="4" w:space="0"/>
              <w:left w:val="nil"/>
              <w:bottom w:val="nil"/>
              <w:right w:val="nil"/>
              <w:insideH w:val="nil"/>
              <w:insideV w:val="nil"/>
            </w:tcBorders>
            <w:noWrap w:val="0"/>
            <w:tcMar>
              <w:top w:w="-1" w:type="dxa"/>
              <w:left w:w="-1" w:type="dxa"/>
              <w:bottom w:w="-1" w:type="dxa"/>
              <w:right w:w="-1" w:type="dxa"/>
            </w:tcMar>
            <w:vAlign w:val="center"/>
          </w:tcPr>
          <w:p w14:paraId="40C833AC">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56.6%</w:t>
            </w:r>
          </w:p>
        </w:tc>
        <w:tc>
          <w:tcPr>
            <w:tcW w:w="477" w:type="pct"/>
            <w:tcBorders>
              <w:top w:val="single" w:color="auto" w:sz="4" w:space="0"/>
              <w:left w:val="nil"/>
              <w:bottom w:val="nil"/>
              <w:right w:val="nil"/>
              <w:insideH w:val="nil"/>
              <w:insideV w:val="nil"/>
            </w:tcBorders>
            <w:noWrap w:val="0"/>
            <w:tcMar>
              <w:top w:w="-1" w:type="dxa"/>
              <w:left w:w="-1" w:type="dxa"/>
              <w:bottom w:w="-1" w:type="dxa"/>
              <w:right w:w="-1" w:type="dxa"/>
            </w:tcMar>
            <w:vAlign w:val="center"/>
          </w:tcPr>
          <w:p w14:paraId="1368F5A3">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174</w:t>
            </w:r>
          </w:p>
        </w:tc>
        <w:tc>
          <w:tcPr>
            <w:tcW w:w="450" w:type="pct"/>
            <w:tcBorders>
              <w:top w:val="single" w:color="auto" w:sz="4" w:space="0"/>
              <w:left w:val="nil"/>
              <w:bottom w:val="nil"/>
              <w:right w:val="nil"/>
              <w:insideH w:val="nil"/>
              <w:insideV w:val="nil"/>
            </w:tcBorders>
            <w:noWrap w:val="0"/>
            <w:tcMar>
              <w:top w:w="-1" w:type="dxa"/>
              <w:left w:w="-1" w:type="dxa"/>
              <w:bottom w:w="-1" w:type="dxa"/>
              <w:right w:w="-1" w:type="dxa"/>
            </w:tcMar>
            <w:vAlign w:val="center"/>
          </w:tcPr>
          <w:p w14:paraId="1C2546B7">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15</w:t>
            </w:r>
          </w:p>
        </w:tc>
        <w:tc>
          <w:tcPr>
            <w:tcW w:w="1315" w:type="pct"/>
            <w:tcBorders>
              <w:top w:val="single" w:color="auto" w:sz="4" w:space="0"/>
              <w:left w:val="nil"/>
              <w:bottom w:val="nil"/>
              <w:right w:val="nil"/>
              <w:insideH w:val="nil"/>
              <w:insideV w:val="nil"/>
            </w:tcBorders>
            <w:noWrap w:val="0"/>
            <w:tcMar>
              <w:top w:w="-1" w:type="dxa"/>
              <w:left w:w="-1" w:type="dxa"/>
              <w:bottom w:w="-1" w:type="dxa"/>
              <w:right w:w="-1" w:type="dxa"/>
            </w:tcMar>
            <w:vAlign w:val="center"/>
          </w:tcPr>
          <w:p w14:paraId="456B6B16">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92.1% (87.3%-95.1%)</w:t>
            </w:r>
          </w:p>
        </w:tc>
      </w:tr>
      <w:tr w14:paraId="63298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91" w:type="pct"/>
            <w:tcBorders>
              <w:top w:val="nil"/>
              <w:left w:val="nil"/>
              <w:bottom w:val="nil"/>
              <w:right w:val="nil"/>
              <w:insideH w:val="nil"/>
              <w:insideV w:val="nil"/>
            </w:tcBorders>
            <w:noWrap w:val="0"/>
            <w:tcMar>
              <w:top w:w="-1" w:type="dxa"/>
              <w:left w:w="-1" w:type="dxa"/>
              <w:bottom w:w="-1" w:type="dxa"/>
              <w:right w:w="-1" w:type="dxa"/>
            </w:tcMar>
            <w:vAlign w:val="center"/>
          </w:tcPr>
          <w:p w14:paraId="20C7F2D7">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Renal Crystals</w:t>
            </w:r>
          </w:p>
        </w:tc>
        <w:tc>
          <w:tcPr>
            <w:tcW w:w="316" w:type="pct"/>
            <w:tcBorders>
              <w:top w:val="nil"/>
              <w:left w:val="nil"/>
              <w:bottom w:val="nil"/>
              <w:right w:val="nil"/>
              <w:insideH w:val="nil"/>
              <w:insideV w:val="nil"/>
            </w:tcBorders>
            <w:noWrap w:val="0"/>
            <w:tcMar>
              <w:top w:w="-1" w:type="dxa"/>
              <w:left w:w="-1" w:type="dxa"/>
              <w:bottom w:w="-1" w:type="dxa"/>
              <w:right w:w="-1" w:type="dxa"/>
            </w:tcMar>
            <w:vAlign w:val="center"/>
          </w:tcPr>
          <w:p w14:paraId="00A00DA1">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85</w:t>
            </w:r>
          </w:p>
        </w:tc>
        <w:tc>
          <w:tcPr>
            <w:tcW w:w="849" w:type="pct"/>
            <w:tcBorders>
              <w:top w:val="nil"/>
              <w:left w:val="nil"/>
              <w:bottom w:val="nil"/>
              <w:right w:val="nil"/>
              <w:insideH w:val="nil"/>
              <w:insideV w:val="nil"/>
            </w:tcBorders>
            <w:noWrap w:val="0"/>
            <w:tcMar>
              <w:top w:w="-1" w:type="dxa"/>
              <w:left w:w="-1" w:type="dxa"/>
              <w:bottom w:w="-1" w:type="dxa"/>
              <w:right w:w="-1" w:type="dxa"/>
            </w:tcMar>
            <w:vAlign w:val="center"/>
          </w:tcPr>
          <w:p w14:paraId="111CFC0E">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25.4%</w:t>
            </w:r>
          </w:p>
        </w:tc>
        <w:tc>
          <w:tcPr>
            <w:tcW w:w="477" w:type="pct"/>
            <w:tcBorders>
              <w:top w:val="nil"/>
              <w:left w:val="nil"/>
              <w:bottom w:val="nil"/>
              <w:right w:val="nil"/>
              <w:insideH w:val="nil"/>
              <w:insideV w:val="nil"/>
            </w:tcBorders>
            <w:noWrap w:val="0"/>
            <w:tcMar>
              <w:top w:w="-1" w:type="dxa"/>
              <w:left w:w="-1" w:type="dxa"/>
              <w:bottom w:w="-1" w:type="dxa"/>
              <w:right w:w="-1" w:type="dxa"/>
            </w:tcMar>
            <w:vAlign w:val="center"/>
          </w:tcPr>
          <w:p w14:paraId="672799F2">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78</w:t>
            </w:r>
          </w:p>
        </w:tc>
        <w:tc>
          <w:tcPr>
            <w:tcW w:w="450" w:type="pct"/>
            <w:tcBorders>
              <w:top w:val="nil"/>
              <w:left w:val="nil"/>
              <w:bottom w:val="nil"/>
              <w:right w:val="nil"/>
              <w:insideH w:val="nil"/>
              <w:insideV w:val="nil"/>
            </w:tcBorders>
            <w:noWrap w:val="0"/>
            <w:tcMar>
              <w:top w:w="-1" w:type="dxa"/>
              <w:left w:w="-1" w:type="dxa"/>
              <w:bottom w:w="-1" w:type="dxa"/>
              <w:right w:w="-1" w:type="dxa"/>
            </w:tcMar>
            <w:vAlign w:val="center"/>
          </w:tcPr>
          <w:p w14:paraId="22C56D6B">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7</w:t>
            </w:r>
          </w:p>
        </w:tc>
        <w:tc>
          <w:tcPr>
            <w:tcW w:w="1315" w:type="pct"/>
            <w:tcBorders>
              <w:top w:val="nil"/>
              <w:left w:val="nil"/>
              <w:bottom w:val="nil"/>
              <w:right w:val="nil"/>
              <w:insideH w:val="nil"/>
              <w:insideV w:val="nil"/>
            </w:tcBorders>
            <w:noWrap w:val="0"/>
            <w:tcMar>
              <w:top w:w="-1" w:type="dxa"/>
              <w:left w:w="-1" w:type="dxa"/>
              <w:bottom w:w="-1" w:type="dxa"/>
              <w:right w:w="-1" w:type="dxa"/>
            </w:tcMar>
            <w:vAlign w:val="center"/>
          </w:tcPr>
          <w:p w14:paraId="62C931F4">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91.8% (84.0%-96.0%)</w:t>
            </w:r>
          </w:p>
        </w:tc>
      </w:tr>
      <w:tr w14:paraId="7F879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91" w:type="pct"/>
            <w:tcBorders>
              <w:top w:val="nil"/>
              <w:left w:val="nil"/>
              <w:bottom w:val="nil"/>
              <w:right w:val="nil"/>
              <w:insideH w:val="nil"/>
              <w:insideV w:val="nil"/>
            </w:tcBorders>
            <w:noWrap w:val="0"/>
            <w:tcMar>
              <w:top w:w="-1" w:type="dxa"/>
              <w:left w:w="-1" w:type="dxa"/>
              <w:bottom w:w="-1" w:type="dxa"/>
              <w:right w:w="-1" w:type="dxa"/>
            </w:tcMar>
            <w:vAlign w:val="center"/>
          </w:tcPr>
          <w:p w14:paraId="192840AD">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Prostatic Calcification/Cyst</w:t>
            </w:r>
          </w:p>
        </w:tc>
        <w:tc>
          <w:tcPr>
            <w:tcW w:w="316" w:type="pct"/>
            <w:tcBorders>
              <w:top w:val="nil"/>
              <w:left w:val="nil"/>
              <w:bottom w:val="nil"/>
              <w:right w:val="nil"/>
              <w:insideH w:val="nil"/>
              <w:insideV w:val="nil"/>
            </w:tcBorders>
            <w:noWrap w:val="0"/>
            <w:tcMar>
              <w:top w:w="-1" w:type="dxa"/>
              <w:left w:w="-1" w:type="dxa"/>
              <w:bottom w:w="-1" w:type="dxa"/>
              <w:right w:w="-1" w:type="dxa"/>
            </w:tcMar>
            <w:vAlign w:val="center"/>
          </w:tcPr>
          <w:p w14:paraId="3FA75BF5">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45</w:t>
            </w:r>
          </w:p>
        </w:tc>
        <w:tc>
          <w:tcPr>
            <w:tcW w:w="849" w:type="pct"/>
            <w:tcBorders>
              <w:top w:val="nil"/>
              <w:left w:val="nil"/>
              <w:bottom w:val="nil"/>
              <w:right w:val="nil"/>
              <w:insideH w:val="nil"/>
              <w:insideV w:val="nil"/>
            </w:tcBorders>
            <w:noWrap w:val="0"/>
            <w:tcMar>
              <w:top w:w="-1" w:type="dxa"/>
              <w:left w:w="-1" w:type="dxa"/>
              <w:bottom w:w="-1" w:type="dxa"/>
              <w:right w:w="-1" w:type="dxa"/>
            </w:tcMar>
            <w:vAlign w:val="center"/>
          </w:tcPr>
          <w:p w14:paraId="793C4A51">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13.5%</w:t>
            </w:r>
          </w:p>
        </w:tc>
        <w:tc>
          <w:tcPr>
            <w:tcW w:w="477" w:type="pct"/>
            <w:tcBorders>
              <w:top w:val="nil"/>
              <w:left w:val="nil"/>
              <w:bottom w:val="nil"/>
              <w:right w:val="nil"/>
              <w:insideH w:val="nil"/>
              <w:insideV w:val="nil"/>
            </w:tcBorders>
            <w:noWrap w:val="0"/>
            <w:tcMar>
              <w:top w:w="-1" w:type="dxa"/>
              <w:left w:w="-1" w:type="dxa"/>
              <w:bottom w:w="-1" w:type="dxa"/>
              <w:right w:w="-1" w:type="dxa"/>
            </w:tcMar>
            <w:vAlign w:val="center"/>
          </w:tcPr>
          <w:p w14:paraId="4695F0E7">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39</w:t>
            </w:r>
          </w:p>
        </w:tc>
        <w:tc>
          <w:tcPr>
            <w:tcW w:w="450" w:type="pct"/>
            <w:tcBorders>
              <w:top w:val="nil"/>
              <w:left w:val="nil"/>
              <w:bottom w:val="nil"/>
              <w:right w:val="nil"/>
              <w:insideH w:val="nil"/>
              <w:insideV w:val="nil"/>
            </w:tcBorders>
            <w:noWrap w:val="0"/>
            <w:tcMar>
              <w:top w:w="-1" w:type="dxa"/>
              <w:left w:w="-1" w:type="dxa"/>
              <w:bottom w:w="-1" w:type="dxa"/>
              <w:right w:w="-1" w:type="dxa"/>
            </w:tcMar>
            <w:vAlign w:val="center"/>
          </w:tcPr>
          <w:p w14:paraId="131D64BD">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6</w:t>
            </w:r>
          </w:p>
        </w:tc>
        <w:tc>
          <w:tcPr>
            <w:tcW w:w="1315" w:type="pct"/>
            <w:tcBorders>
              <w:top w:val="nil"/>
              <w:left w:val="nil"/>
              <w:bottom w:val="nil"/>
              <w:right w:val="nil"/>
              <w:insideH w:val="nil"/>
              <w:insideV w:val="nil"/>
            </w:tcBorders>
            <w:noWrap w:val="0"/>
            <w:tcMar>
              <w:top w:w="-1" w:type="dxa"/>
              <w:left w:w="-1" w:type="dxa"/>
              <w:bottom w:w="-1" w:type="dxa"/>
              <w:right w:w="-1" w:type="dxa"/>
            </w:tcMar>
            <w:vAlign w:val="center"/>
          </w:tcPr>
          <w:p w14:paraId="15F4924F">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86.7% (73.8%-93.7%)</w:t>
            </w:r>
          </w:p>
        </w:tc>
      </w:tr>
      <w:tr w14:paraId="33654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91" w:type="pct"/>
            <w:tcBorders>
              <w:top w:val="nil"/>
              <w:left w:val="nil"/>
              <w:bottom w:val="nil"/>
              <w:right w:val="nil"/>
              <w:insideH w:val="nil"/>
              <w:insideV w:val="nil"/>
            </w:tcBorders>
            <w:noWrap w:val="0"/>
            <w:tcMar>
              <w:top w:w="-1" w:type="dxa"/>
              <w:left w:w="-1" w:type="dxa"/>
              <w:bottom w:w="-1" w:type="dxa"/>
              <w:right w:w="-1" w:type="dxa"/>
            </w:tcMar>
            <w:vAlign w:val="center"/>
          </w:tcPr>
          <w:p w14:paraId="29A4F70F">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Gynecological Conditions</w:t>
            </w:r>
          </w:p>
        </w:tc>
        <w:tc>
          <w:tcPr>
            <w:tcW w:w="316" w:type="pct"/>
            <w:tcBorders>
              <w:top w:val="nil"/>
              <w:left w:val="nil"/>
              <w:bottom w:val="nil"/>
              <w:right w:val="nil"/>
              <w:insideH w:val="nil"/>
              <w:insideV w:val="nil"/>
            </w:tcBorders>
            <w:noWrap w:val="0"/>
            <w:tcMar>
              <w:top w:w="-1" w:type="dxa"/>
              <w:left w:w="-1" w:type="dxa"/>
              <w:bottom w:w="-1" w:type="dxa"/>
              <w:right w:w="-1" w:type="dxa"/>
            </w:tcMar>
            <w:vAlign w:val="center"/>
          </w:tcPr>
          <w:p w14:paraId="04DF5CB7">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45</w:t>
            </w:r>
          </w:p>
        </w:tc>
        <w:tc>
          <w:tcPr>
            <w:tcW w:w="849" w:type="pct"/>
            <w:tcBorders>
              <w:top w:val="nil"/>
              <w:left w:val="nil"/>
              <w:bottom w:val="nil"/>
              <w:right w:val="nil"/>
              <w:insideH w:val="nil"/>
              <w:insideV w:val="nil"/>
            </w:tcBorders>
            <w:noWrap w:val="0"/>
            <w:tcMar>
              <w:top w:w="-1" w:type="dxa"/>
              <w:left w:w="-1" w:type="dxa"/>
              <w:bottom w:w="-1" w:type="dxa"/>
              <w:right w:w="-1" w:type="dxa"/>
            </w:tcMar>
            <w:vAlign w:val="center"/>
          </w:tcPr>
          <w:p w14:paraId="20CA4189">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13.5%</w:t>
            </w:r>
          </w:p>
        </w:tc>
        <w:tc>
          <w:tcPr>
            <w:tcW w:w="477" w:type="pct"/>
            <w:tcBorders>
              <w:top w:val="nil"/>
              <w:left w:val="nil"/>
              <w:bottom w:val="nil"/>
              <w:right w:val="nil"/>
              <w:insideH w:val="nil"/>
              <w:insideV w:val="nil"/>
            </w:tcBorders>
            <w:noWrap w:val="0"/>
            <w:tcMar>
              <w:top w:w="-1" w:type="dxa"/>
              <w:left w:w="-1" w:type="dxa"/>
              <w:bottom w:w="-1" w:type="dxa"/>
              <w:right w:w="-1" w:type="dxa"/>
            </w:tcMar>
            <w:vAlign w:val="center"/>
          </w:tcPr>
          <w:p w14:paraId="42ABA91A">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41</w:t>
            </w:r>
          </w:p>
        </w:tc>
        <w:tc>
          <w:tcPr>
            <w:tcW w:w="450" w:type="pct"/>
            <w:tcBorders>
              <w:top w:val="nil"/>
              <w:left w:val="nil"/>
              <w:bottom w:val="nil"/>
              <w:right w:val="nil"/>
              <w:insideH w:val="nil"/>
              <w:insideV w:val="nil"/>
            </w:tcBorders>
            <w:noWrap w:val="0"/>
            <w:tcMar>
              <w:top w:w="-1" w:type="dxa"/>
              <w:left w:w="-1" w:type="dxa"/>
              <w:bottom w:w="-1" w:type="dxa"/>
              <w:right w:w="-1" w:type="dxa"/>
            </w:tcMar>
            <w:vAlign w:val="center"/>
          </w:tcPr>
          <w:p w14:paraId="175C8CCC">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4</w:t>
            </w:r>
          </w:p>
        </w:tc>
        <w:tc>
          <w:tcPr>
            <w:tcW w:w="1315" w:type="pct"/>
            <w:tcBorders>
              <w:top w:val="nil"/>
              <w:left w:val="nil"/>
              <w:bottom w:val="nil"/>
              <w:right w:val="nil"/>
              <w:insideH w:val="nil"/>
              <w:insideV w:val="nil"/>
            </w:tcBorders>
            <w:noWrap w:val="0"/>
            <w:tcMar>
              <w:top w:w="-1" w:type="dxa"/>
              <w:left w:w="-1" w:type="dxa"/>
              <w:bottom w:w="-1" w:type="dxa"/>
              <w:right w:w="-1" w:type="dxa"/>
            </w:tcMar>
            <w:vAlign w:val="center"/>
          </w:tcPr>
          <w:p w14:paraId="1D9291B1">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91.1% (79.3%-96.5%)</w:t>
            </w:r>
          </w:p>
        </w:tc>
      </w:tr>
      <w:tr w14:paraId="7D8DB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91" w:type="pct"/>
            <w:tcBorders>
              <w:top w:val="nil"/>
              <w:left w:val="nil"/>
              <w:bottom w:val="nil"/>
              <w:right w:val="nil"/>
              <w:insideH w:val="nil"/>
              <w:insideV w:val="nil"/>
            </w:tcBorders>
            <w:noWrap w:val="0"/>
            <w:tcMar>
              <w:top w:w="-1" w:type="dxa"/>
              <w:left w:w="-1" w:type="dxa"/>
              <w:bottom w:w="-1" w:type="dxa"/>
              <w:right w:w="-1" w:type="dxa"/>
            </w:tcMar>
            <w:vAlign w:val="center"/>
          </w:tcPr>
          <w:p w14:paraId="59C160C8">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Renal Cysts</w:t>
            </w:r>
          </w:p>
        </w:tc>
        <w:tc>
          <w:tcPr>
            <w:tcW w:w="316" w:type="pct"/>
            <w:tcBorders>
              <w:top w:val="nil"/>
              <w:left w:val="nil"/>
              <w:bottom w:val="nil"/>
              <w:right w:val="nil"/>
              <w:insideH w:val="nil"/>
              <w:insideV w:val="nil"/>
            </w:tcBorders>
            <w:noWrap w:val="0"/>
            <w:tcMar>
              <w:top w:w="-1" w:type="dxa"/>
              <w:left w:w="-1" w:type="dxa"/>
              <w:bottom w:w="-1" w:type="dxa"/>
              <w:right w:w="-1" w:type="dxa"/>
            </w:tcMar>
            <w:vAlign w:val="center"/>
          </w:tcPr>
          <w:p w14:paraId="7E461295">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31</w:t>
            </w:r>
          </w:p>
        </w:tc>
        <w:tc>
          <w:tcPr>
            <w:tcW w:w="849" w:type="pct"/>
            <w:tcBorders>
              <w:top w:val="nil"/>
              <w:left w:val="nil"/>
              <w:bottom w:val="nil"/>
              <w:right w:val="nil"/>
              <w:insideH w:val="nil"/>
              <w:insideV w:val="nil"/>
            </w:tcBorders>
            <w:noWrap w:val="0"/>
            <w:tcMar>
              <w:top w:w="-1" w:type="dxa"/>
              <w:left w:w="-1" w:type="dxa"/>
              <w:bottom w:w="-1" w:type="dxa"/>
              <w:right w:w="-1" w:type="dxa"/>
            </w:tcMar>
            <w:vAlign w:val="center"/>
          </w:tcPr>
          <w:p w14:paraId="608D8BA4">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9.3%</w:t>
            </w:r>
          </w:p>
        </w:tc>
        <w:tc>
          <w:tcPr>
            <w:tcW w:w="477" w:type="pct"/>
            <w:tcBorders>
              <w:top w:val="nil"/>
              <w:left w:val="nil"/>
              <w:bottom w:val="nil"/>
              <w:right w:val="nil"/>
              <w:insideH w:val="nil"/>
              <w:insideV w:val="nil"/>
            </w:tcBorders>
            <w:noWrap w:val="0"/>
            <w:tcMar>
              <w:top w:w="-1" w:type="dxa"/>
              <w:left w:w="-1" w:type="dxa"/>
              <w:bottom w:w="-1" w:type="dxa"/>
              <w:right w:w="-1" w:type="dxa"/>
            </w:tcMar>
            <w:vAlign w:val="center"/>
          </w:tcPr>
          <w:p w14:paraId="19BDD620">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29</w:t>
            </w:r>
          </w:p>
        </w:tc>
        <w:tc>
          <w:tcPr>
            <w:tcW w:w="450" w:type="pct"/>
            <w:tcBorders>
              <w:top w:val="nil"/>
              <w:left w:val="nil"/>
              <w:bottom w:val="nil"/>
              <w:right w:val="nil"/>
              <w:insideH w:val="nil"/>
              <w:insideV w:val="nil"/>
            </w:tcBorders>
            <w:noWrap w:val="0"/>
            <w:tcMar>
              <w:top w:w="-1" w:type="dxa"/>
              <w:left w:w="-1" w:type="dxa"/>
              <w:bottom w:w="-1" w:type="dxa"/>
              <w:right w:w="-1" w:type="dxa"/>
            </w:tcMar>
            <w:vAlign w:val="center"/>
          </w:tcPr>
          <w:p w14:paraId="572A502E">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2</w:t>
            </w:r>
          </w:p>
        </w:tc>
        <w:tc>
          <w:tcPr>
            <w:tcW w:w="1315" w:type="pct"/>
            <w:tcBorders>
              <w:top w:val="nil"/>
              <w:left w:val="nil"/>
              <w:bottom w:val="nil"/>
              <w:right w:val="nil"/>
              <w:insideH w:val="nil"/>
              <w:insideV w:val="nil"/>
            </w:tcBorders>
            <w:noWrap w:val="0"/>
            <w:tcMar>
              <w:top w:w="-1" w:type="dxa"/>
              <w:left w:w="-1" w:type="dxa"/>
              <w:bottom w:w="-1" w:type="dxa"/>
              <w:right w:w="-1" w:type="dxa"/>
            </w:tcMar>
            <w:vAlign w:val="center"/>
          </w:tcPr>
          <w:p w14:paraId="22628FC0">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93.5% (79.3%-98.2%)</w:t>
            </w:r>
          </w:p>
        </w:tc>
      </w:tr>
      <w:tr w14:paraId="15CDC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91" w:type="pct"/>
            <w:tcBorders>
              <w:top w:val="nil"/>
              <w:left w:val="nil"/>
              <w:bottom w:val="nil"/>
              <w:right w:val="nil"/>
              <w:insideH w:val="nil"/>
              <w:insideV w:val="nil"/>
            </w:tcBorders>
            <w:noWrap w:val="0"/>
            <w:tcMar>
              <w:top w:w="-1" w:type="dxa"/>
              <w:left w:w="-1" w:type="dxa"/>
              <w:bottom w:w="-1" w:type="dxa"/>
              <w:right w:w="-1" w:type="dxa"/>
            </w:tcMar>
            <w:vAlign w:val="center"/>
          </w:tcPr>
          <w:p w14:paraId="74735E14">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Benign Prostatic Hyperplasia</w:t>
            </w:r>
          </w:p>
        </w:tc>
        <w:tc>
          <w:tcPr>
            <w:tcW w:w="316" w:type="pct"/>
            <w:tcBorders>
              <w:top w:val="nil"/>
              <w:left w:val="nil"/>
              <w:bottom w:val="nil"/>
              <w:right w:val="nil"/>
              <w:insideH w:val="nil"/>
              <w:insideV w:val="nil"/>
            </w:tcBorders>
            <w:noWrap w:val="0"/>
            <w:tcMar>
              <w:top w:w="-1" w:type="dxa"/>
              <w:left w:w="-1" w:type="dxa"/>
              <w:bottom w:w="-1" w:type="dxa"/>
              <w:right w:w="-1" w:type="dxa"/>
            </w:tcMar>
            <w:vAlign w:val="center"/>
          </w:tcPr>
          <w:p w14:paraId="5E8210B3">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18</w:t>
            </w:r>
          </w:p>
        </w:tc>
        <w:tc>
          <w:tcPr>
            <w:tcW w:w="849" w:type="pct"/>
            <w:tcBorders>
              <w:top w:val="nil"/>
              <w:left w:val="nil"/>
              <w:bottom w:val="nil"/>
              <w:right w:val="nil"/>
              <w:insideH w:val="nil"/>
              <w:insideV w:val="nil"/>
            </w:tcBorders>
            <w:noWrap w:val="0"/>
            <w:tcMar>
              <w:top w:w="-1" w:type="dxa"/>
              <w:left w:w="-1" w:type="dxa"/>
              <w:bottom w:w="-1" w:type="dxa"/>
              <w:right w:w="-1" w:type="dxa"/>
            </w:tcMar>
            <w:vAlign w:val="center"/>
          </w:tcPr>
          <w:p w14:paraId="1185F7A5">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5.4%</w:t>
            </w:r>
          </w:p>
        </w:tc>
        <w:tc>
          <w:tcPr>
            <w:tcW w:w="477" w:type="pct"/>
            <w:tcBorders>
              <w:top w:val="nil"/>
              <w:left w:val="nil"/>
              <w:bottom w:val="nil"/>
              <w:right w:val="nil"/>
              <w:insideH w:val="nil"/>
              <w:insideV w:val="nil"/>
            </w:tcBorders>
            <w:noWrap w:val="0"/>
            <w:tcMar>
              <w:top w:w="-1" w:type="dxa"/>
              <w:left w:w="-1" w:type="dxa"/>
              <w:bottom w:w="-1" w:type="dxa"/>
              <w:right w:w="-1" w:type="dxa"/>
            </w:tcMar>
            <w:vAlign w:val="center"/>
          </w:tcPr>
          <w:p w14:paraId="0F1A31BF">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13</w:t>
            </w:r>
          </w:p>
        </w:tc>
        <w:tc>
          <w:tcPr>
            <w:tcW w:w="450" w:type="pct"/>
            <w:tcBorders>
              <w:top w:val="nil"/>
              <w:left w:val="nil"/>
              <w:bottom w:val="nil"/>
              <w:right w:val="nil"/>
              <w:insideH w:val="nil"/>
              <w:insideV w:val="nil"/>
            </w:tcBorders>
            <w:noWrap w:val="0"/>
            <w:tcMar>
              <w:top w:w="-1" w:type="dxa"/>
              <w:left w:w="-1" w:type="dxa"/>
              <w:bottom w:w="-1" w:type="dxa"/>
              <w:right w:w="-1" w:type="dxa"/>
            </w:tcMar>
            <w:vAlign w:val="center"/>
          </w:tcPr>
          <w:p w14:paraId="4ABE8C3D">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5</w:t>
            </w:r>
          </w:p>
        </w:tc>
        <w:tc>
          <w:tcPr>
            <w:tcW w:w="1315" w:type="pct"/>
            <w:tcBorders>
              <w:top w:val="nil"/>
              <w:left w:val="nil"/>
              <w:bottom w:val="nil"/>
              <w:right w:val="nil"/>
              <w:insideH w:val="nil"/>
              <w:insideV w:val="nil"/>
            </w:tcBorders>
            <w:noWrap w:val="0"/>
            <w:tcMar>
              <w:top w:w="-1" w:type="dxa"/>
              <w:left w:w="-1" w:type="dxa"/>
              <w:bottom w:w="-1" w:type="dxa"/>
              <w:right w:w="-1" w:type="dxa"/>
            </w:tcMar>
            <w:vAlign w:val="center"/>
          </w:tcPr>
          <w:p w14:paraId="4A792880">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72.2% (49.1%-87.5%)</w:t>
            </w:r>
          </w:p>
        </w:tc>
      </w:tr>
      <w:tr w14:paraId="20D13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91" w:type="pct"/>
            <w:tcBorders>
              <w:top w:val="nil"/>
              <w:left w:val="nil"/>
              <w:bottom w:val="nil"/>
              <w:right w:val="nil"/>
              <w:insideH w:val="nil"/>
              <w:insideV w:val="nil"/>
            </w:tcBorders>
            <w:noWrap w:val="0"/>
            <w:tcMar>
              <w:top w:w="-1" w:type="dxa"/>
              <w:left w:w="-1" w:type="dxa"/>
              <w:bottom w:w="-1" w:type="dxa"/>
              <w:right w:w="-1" w:type="dxa"/>
            </w:tcMar>
            <w:vAlign w:val="center"/>
          </w:tcPr>
          <w:p w14:paraId="0BAF20FC">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Urinary Tract Stones</w:t>
            </w:r>
          </w:p>
        </w:tc>
        <w:tc>
          <w:tcPr>
            <w:tcW w:w="316" w:type="pct"/>
            <w:tcBorders>
              <w:top w:val="nil"/>
              <w:left w:val="nil"/>
              <w:bottom w:val="nil"/>
              <w:right w:val="nil"/>
              <w:insideH w:val="nil"/>
              <w:insideV w:val="nil"/>
            </w:tcBorders>
            <w:noWrap w:val="0"/>
            <w:tcMar>
              <w:top w:w="-1" w:type="dxa"/>
              <w:left w:w="-1" w:type="dxa"/>
              <w:bottom w:w="-1" w:type="dxa"/>
              <w:right w:w="-1" w:type="dxa"/>
            </w:tcMar>
            <w:vAlign w:val="center"/>
          </w:tcPr>
          <w:p w14:paraId="012E8E7C">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16</w:t>
            </w:r>
          </w:p>
        </w:tc>
        <w:tc>
          <w:tcPr>
            <w:tcW w:w="849" w:type="pct"/>
            <w:tcBorders>
              <w:top w:val="nil"/>
              <w:left w:val="nil"/>
              <w:bottom w:val="nil"/>
              <w:right w:val="nil"/>
              <w:insideH w:val="nil"/>
              <w:insideV w:val="nil"/>
            </w:tcBorders>
            <w:noWrap w:val="0"/>
            <w:tcMar>
              <w:top w:w="-1" w:type="dxa"/>
              <w:left w:w="-1" w:type="dxa"/>
              <w:bottom w:w="-1" w:type="dxa"/>
              <w:right w:w="-1" w:type="dxa"/>
            </w:tcMar>
            <w:vAlign w:val="center"/>
          </w:tcPr>
          <w:p w14:paraId="200591B2">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4.8%</w:t>
            </w:r>
          </w:p>
        </w:tc>
        <w:tc>
          <w:tcPr>
            <w:tcW w:w="477" w:type="pct"/>
            <w:tcBorders>
              <w:top w:val="nil"/>
              <w:left w:val="nil"/>
              <w:bottom w:val="nil"/>
              <w:right w:val="nil"/>
              <w:insideH w:val="nil"/>
              <w:insideV w:val="nil"/>
            </w:tcBorders>
            <w:noWrap w:val="0"/>
            <w:tcMar>
              <w:top w:w="-1" w:type="dxa"/>
              <w:left w:w="-1" w:type="dxa"/>
              <w:bottom w:w="-1" w:type="dxa"/>
              <w:right w:w="-1" w:type="dxa"/>
            </w:tcMar>
            <w:vAlign w:val="center"/>
          </w:tcPr>
          <w:p w14:paraId="19C35AED">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14</w:t>
            </w:r>
          </w:p>
        </w:tc>
        <w:tc>
          <w:tcPr>
            <w:tcW w:w="450" w:type="pct"/>
            <w:tcBorders>
              <w:top w:val="nil"/>
              <w:left w:val="nil"/>
              <w:bottom w:val="nil"/>
              <w:right w:val="nil"/>
              <w:insideH w:val="nil"/>
              <w:insideV w:val="nil"/>
            </w:tcBorders>
            <w:noWrap w:val="0"/>
            <w:tcMar>
              <w:top w:w="-1" w:type="dxa"/>
              <w:left w:w="-1" w:type="dxa"/>
              <w:bottom w:w="-1" w:type="dxa"/>
              <w:right w:w="-1" w:type="dxa"/>
            </w:tcMar>
            <w:vAlign w:val="center"/>
          </w:tcPr>
          <w:p w14:paraId="52021768">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2</w:t>
            </w:r>
          </w:p>
        </w:tc>
        <w:tc>
          <w:tcPr>
            <w:tcW w:w="1315" w:type="pct"/>
            <w:tcBorders>
              <w:top w:val="nil"/>
              <w:left w:val="nil"/>
              <w:bottom w:val="nil"/>
              <w:right w:val="nil"/>
              <w:insideH w:val="nil"/>
              <w:insideV w:val="nil"/>
            </w:tcBorders>
            <w:noWrap w:val="0"/>
            <w:tcMar>
              <w:top w:w="-1" w:type="dxa"/>
              <w:left w:w="-1" w:type="dxa"/>
              <w:bottom w:w="-1" w:type="dxa"/>
              <w:right w:w="-1" w:type="dxa"/>
            </w:tcMar>
            <w:vAlign w:val="center"/>
          </w:tcPr>
          <w:p w14:paraId="36FA19B6">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87.5% (64.0%-96.5%)</w:t>
            </w:r>
          </w:p>
        </w:tc>
      </w:tr>
      <w:tr w14:paraId="7DF55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91" w:type="pct"/>
            <w:tcBorders>
              <w:top w:val="nil"/>
              <w:left w:val="nil"/>
              <w:bottom w:val="nil"/>
              <w:right w:val="nil"/>
              <w:insideH w:val="nil"/>
              <w:insideV w:val="nil"/>
            </w:tcBorders>
            <w:noWrap w:val="0"/>
            <w:tcMar>
              <w:top w:w="-1" w:type="dxa"/>
              <w:left w:w="-1" w:type="dxa"/>
              <w:bottom w:w="-1" w:type="dxa"/>
              <w:right w:w="-1" w:type="dxa"/>
            </w:tcMar>
            <w:vAlign w:val="center"/>
          </w:tcPr>
          <w:p w14:paraId="72492508">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Other Benign Conditions</w:t>
            </w:r>
          </w:p>
        </w:tc>
        <w:tc>
          <w:tcPr>
            <w:tcW w:w="316" w:type="pct"/>
            <w:tcBorders>
              <w:top w:val="nil"/>
              <w:left w:val="nil"/>
              <w:bottom w:val="nil"/>
              <w:right w:val="nil"/>
              <w:insideH w:val="nil"/>
              <w:insideV w:val="nil"/>
            </w:tcBorders>
            <w:noWrap w:val="0"/>
            <w:tcMar>
              <w:top w:w="-1" w:type="dxa"/>
              <w:left w:w="-1" w:type="dxa"/>
              <w:bottom w:w="-1" w:type="dxa"/>
              <w:right w:w="-1" w:type="dxa"/>
            </w:tcMar>
            <w:vAlign w:val="center"/>
          </w:tcPr>
          <w:p w14:paraId="4941E341">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20</w:t>
            </w:r>
          </w:p>
        </w:tc>
        <w:tc>
          <w:tcPr>
            <w:tcW w:w="849" w:type="pct"/>
            <w:tcBorders>
              <w:top w:val="nil"/>
              <w:left w:val="nil"/>
              <w:bottom w:val="nil"/>
              <w:right w:val="nil"/>
              <w:insideH w:val="nil"/>
              <w:insideV w:val="nil"/>
            </w:tcBorders>
            <w:noWrap w:val="0"/>
            <w:tcMar>
              <w:top w:w="-1" w:type="dxa"/>
              <w:left w:w="-1" w:type="dxa"/>
              <w:bottom w:w="-1" w:type="dxa"/>
              <w:right w:w="-1" w:type="dxa"/>
            </w:tcMar>
            <w:vAlign w:val="center"/>
          </w:tcPr>
          <w:p w14:paraId="1C62E181">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6.0%</w:t>
            </w:r>
          </w:p>
        </w:tc>
        <w:tc>
          <w:tcPr>
            <w:tcW w:w="477" w:type="pct"/>
            <w:tcBorders>
              <w:top w:val="nil"/>
              <w:left w:val="nil"/>
              <w:bottom w:val="nil"/>
              <w:right w:val="nil"/>
              <w:insideH w:val="nil"/>
              <w:insideV w:val="nil"/>
            </w:tcBorders>
            <w:noWrap w:val="0"/>
            <w:tcMar>
              <w:top w:w="-1" w:type="dxa"/>
              <w:left w:w="-1" w:type="dxa"/>
              <w:bottom w:w="-1" w:type="dxa"/>
              <w:right w:w="-1" w:type="dxa"/>
            </w:tcMar>
            <w:vAlign w:val="center"/>
          </w:tcPr>
          <w:p w14:paraId="1E595D47">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20</w:t>
            </w:r>
          </w:p>
        </w:tc>
        <w:tc>
          <w:tcPr>
            <w:tcW w:w="450" w:type="pct"/>
            <w:tcBorders>
              <w:top w:val="nil"/>
              <w:left w:val="nil"/>
              <w:bottom w:val="nil"/>
              <w:right w:val="nil"/>
              <w:insideH w:val="nil"/>
              <w:insideV w:val="nil"/>
            </w:tcBorders>
            <w:noWrap w:val="0"/>
            <w:tcMar>
              <w:top w:w="-1" w:type="dxa"/>
              <w:left w:w="-1" w:type="dxa"/>
              <w:bottom w:w="-1" w:type="dxa"/>
              <w:right w:w="-1" w:type="dxa"/>
            </w:tcMar>
            <w:vAlign w:val="center"/>
          </w:tcPr>
          <w:p w14:paraId="29724AB9">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0</w:t>
            </w:r>
          </w:p>
        </w:tc>
        <w:tc>
          <w:tcPr>
            <w:tcW w:w="1315" w:type="pct"/>
            <w:tcBorders>
              <w:top w:val="nil"/>
              <w:left w:val="nil"/>
              <w:bottom w:val="nil"/>
              <w:right w:val="nil"/>
              <w:insideH w:val="nil"/>
              <w:insideV w:val="nil"/>
            </w:tcBorders>
            <w:noWrap w:val="0"/>
            <w:tcMar>
              <w:top w:w="-1" w:type="dxa"/>
              <w:left w:w="-1" w:type="dxa"/>
              <w:bottom w:w="-1" w:type="dxa"/>
              <w:right w:w="-1" w:type="dxa"/>
            </w:tcMar>
            <w:vAlign w:val="center"/>
          </w:tcPr>
          <w:p w14:paraId="42E619C1">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100.0% (83.9%-100.0%)</w:t>
            </w:r>
          </w:p>
        </w:tc>
      </w:tr>
      <w:tr w14:paraId="02408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91" w:type="pct"/>
            <w:tcBorders>
              <w:top w:val="nil"/>
              <w:left w:val="nil"/>
              <w:bottom w:val="single" w:color="auto" w:sz="12" w:space="0"/>
              <w:right w:val="nil"/>
              <w:insideH w:val="nil"/>
              <w:insideV w:val="nil"/>
            </w:tcBorders>
            <w:noWrap w:val="0"/>
            <w:tcMar>
              <w:top w:w="-1" w:type="dxa"/>
              <w:left w:w="-1" w:type="dxa"/>
              <w:bottom w:w="-1" w:type="dxa"/>
              <w:right w:w="-1" w:type="dxa"/>
            </w:tcMar>
            <w:vAlign w:val="center"/>
          </w:tcPr>
          <w:p w14:paraId="10EC47DE">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OVERALL</w:t>
            </w:r>
          </w:p>
        </w:tc>
        <w:tc>
          <w:tcPr>
            <w:tcW w:w="316" w:type="pct"/>
            <w:tcBorders>
              <w:top w:val="nil"/>
              <w:left w:val="nil"/>
              <w:bottom w:val="single" w:color="auto" w:sz="12" w:space="0"/>
              <w:right w:val="nil"/>
              <w:insideH w:val="nil"/>
              <w:insideV w:val="nil"/>
            </w:tcBorders>
            <w:noWrap w:val="0"/>
            <w:tcMar>
              <w:top w:w="-1" w:type="dxa"/>
              <w:left w:w="-1" w:type="dxa"/>
              <w:bottom w:w="-1" w:type="dxa"/>
              <w:right w:w="-1" w:type="dxa"/>
            </w:tcMar>
            <w:vAlign w:val="center"/>
          </w:tcPr>
          <w:p w14:paraId="7BD8ADED">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334</w:t>
            </w:r>
          </w:p>
        </w:tc>
        <w:tc>
          <w:tcPr>
            <w:tcW w:w="849" w:type="pct"/>
            <w:tcBorders>
              <w:top w:val="nil"/>
              <w:left w:val="nil"/>
              <w:bottom w:val="single" w:color="auto" w:sz="12" w:space="0"/>
              <w:right w:val="nil"/>
              <w:insideH w:val="nil"/>
              <w:insideV w:val="nil"/>
            </w:tcBorders>
            <w:noWrap w:val="0"/>
            <w:tcMar>
              <w:top w:w="-1" w:type="dxa"/>
              <w:left w:w="-1" w:type="dxa"/>
              <w:bottom w:w="-1" w:type="dxa"/>
              <w:right w:w="-1" w:type="dxa"/>
            </w:tcMar>
            <w:vAlign w:val="center"/>
          </w:tcPr>
          <w:p w14:paraId="4F5169AD">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100.0%</w:t>
            </w:r>
          </w:p>
        </w:tc>
        <w:tc>
          <w:tcPr>
            <w:tcW w:w="477" w:type="pct"/>
            <w:tcBorders>
              <w:top w:val="nil"/>
              <w:left w:val="nil"/>
              <w:bottom w:val="single" w:color="auto" w:sz="12" w:space="0"/>
              <w:right w:val="nil"/>
              <w:insideH w:val="nil"/>
              <w:insideV w:val="nil"/>
            </w:tcBorders>
            <w:noWrap w:val="0"/>
            <w:tcMar>
              <w:top w:w="-1" w:type="dxa"/>
              <w:left w:w="-1" w:type="dxa"/>
              <w:bottom w:w="-1" w:type="dxa"/>
              <w:right w:w="-1" w:type="dxa"/>
            </w:tcMar>
            <w:vAlign w:val="center"/>
          </w:tcPr>
          <w:p w14:paraId="42AFB9BD">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301</w:t>
            </w:r>
          </w:p>
        </w:tc>
        <w:tc>
          <w:tcPr>
            <w:tcW w:w="450" w:type="pct"/>
            <w:tcBorders>
              <w:top w:val="nil"/>
              <w:left w:val="nil"/>
              <w:bottom w:val="single" w:color="auto" w:sz="12" w:space="0"/>
              <w:right w:val="nil"/>
              <w:insideH w:val="nil"/>
              <w:insideV w:val="nil"/>
            </w:tcBorders>
            <w:noWrap w:val="0"/>
            <w:tcMar>
              <w:top w:w="-1" w:type="dxa"/>
              <w:left w:w="-1" w:type="dxa"/>
              <w:bottom w:w="-1" w:type="dxa"/>
              <w:right w:w="-1" w:type="dxa"/>
            </w:tcMar>
            <w:vAlign w:val="center"/>
          </w:tcPr>
          <w:p w14:paraId="1A7091A1">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33</w:t>
            </w:r>
          </w:p>
        </w:tc>
        <w:tc>
          <w:tcPr>
            <w:tcW w:w="1315" w:type="pct"/>
            <w:tcBorders>
              <w:top w:val="nil"/>
              <w:left w:val="nil"/>
              <w:bottom w:val="single" w:color="auto" w:sz="12" w:space="0"/>
              <w:right w:val="nil"/>
              <w:insideH w:val="nil"/>
              <w:insideV w:val="nil"/>
            </w:tcBorders>
            <w:noWrap w:val="0"/>
            <w:tcMar>
              <w:top w:w="-1" w:type="dxa"/>
              <w:left w:w="-1" w:type="dxa"/>
              <w:bottom w:w="-1" w:type="dxa"/>
              <w:right w:w="-1" w:type="dxa"/>
            </w:tcMar>
            <w:vAlign w:val="center"/>
          </w:tcPr>
          <w:p w14:paraId="02D86CC6">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90.1% (86.4%-92.9%)</w:t>
            </w:r>
          </w:p>
        </w:tc>
      </w:tr>
    </w:tbl>
    <w:p w14:paraId="67B439B7">
      <w:pPr>
        <w:spacing w:after="120" w:line="240" w:lineRule="auto"/>
        <w:rPr>
          <w:rFonts w:ascii="Times New Roman" w:hAnsi="Times New Roman" w:cs="Times New Roman"/>
          <w:i/>
          <w:iCs/>
        </w:rPr>
      </w:pPr>
      <w:r>
        <w:rPr>
          <w:rFonts w:ascii="Times New Roman" w:hAnsi="Times New Roman" w:cs="Times New Roman"/>
          <w:b w:val="0"/>
          <w:i/>
          <w:iCs/>
          <w:sz w:val="21"/>
        </w:rPr>
        <w:t>Demographics of non-cancer controls: median age 53 years (range: 25-79); 59.3% male (198/334), 40.7% female (136/334). Cancer group demographics: median age 66 years (range: 30-80); 83.3% male (229/275), 16.7% female (46/275).</w:t>
      </w:r>
    </w:p>
    <w:p w14:paraId="511450DC">
      <w:pPr>
        <w:rPr>
          <w:rFonts w:ascii="Times New Roman" w:hAnsi="Times New Roman" w:cs="Times New Roman"/>
          <w:b/>
          <w:i w:val="0"/>
          <w:sz w:val="21"/>
          <w:szCs w:val="21"/>
        </w:rPr>
      </w:pPr>
    </w:p>
    <w:p w14:paraId="54A44605">
      <w:pPr>
        <w:rPr>
          <w:rFonts w:ascii="Times New Roman" w:hAnsi="Times New Roman" w:cs="Times New Roman"/>
          <w:b/>
          <w:sz w:val="21"/>
          <w:szCs w:val="21"/>
        </w:rPr>
      </w:pPr>
      <w:r>
        <w:rPr>
          <w:rFonts w:ascii="Times New Roman" w:hAnsi="Times New Roman" w:cs="Times New Roman"/>
          <w:b/>
          <w:i w:val="0"/>
          <w:sz w:val="21"/>
          <w:szCs w:val="21"/>
        </w:rPr>
        <w:t>Table S</w:t>
      </w:r>
      <w:r>
        <w:rPr>
          <w:rFonts w:hint="eastAsia" w:ascii="Times New Roman" w:hAnsi="Times New Roman" w:cs="Times New Roman"/>
          <w:b/>
          <w:i w:val="0"/>
          <w:sz w:val="21"/>
          <w:szCs w:val="21"/>
          <w:lang w:val="en-US" w:eastAsia="zh-CN"/>
        </w:rPr>
        <w:t>6</w:t>
      </w:r>
      <w:r>
        <w:rPr>
          <w:rFonts w:ascii="Times New Roman" w:hAnsi="Times New Roman" w:cs="Times New Roman"/>
          <w:b/>
          <w:i w:val="0"/>
          <w:sz w:val="21"/>
          <w:szCs w:val="21"/>
        </w:rPr>
        <w:t xml:space="preserve">. Alternative clinically meaningful operating points of the PUCD score (validation set). </w:t>
      </w:r>
    </w:p>
    <w:tbl>
      <w:tblPr>
        <w:tblStyle w:val="4"/>
        <w:tblW w:w="5000" w:type="pct"/>
        <w:jc w:val="center"/>
        <w:tblLayout w:type="autofit"/>
        <w:tblCellMar>
          <w:top w:w="0" w:type="dxa"/>
          <w:left w:w="108" w:type="dxa"/>
          <w:bottom w:w="0" w:type="dxa"/>
          <w:right w:w="108" w:type="dxa"/>
        </w:tblCellMar>
      </w:tblPr>
      <w:tblGrid>
        <w:gridCol w:w="1990"/>
        <w:gridCol w:w="1257"/>
        <w:gridCol w:w="1381"/>
        <w:gridCol w:w="1380"/>
        <w:gridCol w:w="1253"/>
        <w:gridCol w:w="1261"/>
      </w:tblGrid>
      <w:tr w14:paraId="342E56BF">
        <w:tblPrEx>
          <w:tblCellMar>
            <w:top w:w="0" w:type="dxa"/>
            <w:left w:w="108" w:type="dxa"/>
            <w:bottom w:w="0" w:type="dxa"/>
            <w:right w:w="108" w:type="dxa"/>
          </w:tblCellMar>
        </w:tblPrEx>
        <w:trPr>
          <w:trHeight w:val="0" w:hRule="atLeast"/>
          <w:tblHeader/>
          <w:jc w:val="center"/>
        </w:trPr>
        <w:tc>
          <w:tcPr>
            <w:tcW w:w="1167" w:type="pct"/>
            <w:tcBorders>
              <w:top w:val="single" w:color="auto" w:sz="12" w:space="0"/>
              <w:left w:val="nil"/>
              <w:bottom w:val="nil"/>
              <w:right w:val="nil"/>
            </w:tcBorders>
            <w:noWrap w:val="0"/>
            <w:tcMar>
              <w:top w:w="-1" w:type="dxa"/>
              <w:left w:w="-1" w:type="dxa"/>
              <w:bottom w:w="-1" w:type="dxa"/>
              <w:right w:w="-1" w:type="dxa"/>
            </w:tcMar>
            <w:vAlign w:val="center"/>
          </w:tcPr>
          <w:p w14:paraId="160F0574">
            <w:pPr>
              <w:snapToGrid w:val="0"/>
              <w:ind w:left="0" w:leftChars="0" w:right="0" w:rightChars="0" w:firstLine="0" w:firstLineChars="0"/>
              <w:jc w:val="center"/>
              <w:rPr>
                <w:rFonts w:ascii="Times New Roman" w:hAnsi="Times New Roman" w:cs="Times New Roman"/>
                <w:b/>
                <w:bCs/>
                <w:sz w:val="18"/>
                <w:szCs w:val="18"/>
              </w:rPr>
            </w:pPr>
            <w:r>
              <w:rPr>
                <w:rFonts w:ascii="Times New Roman" w:hAnsi="Times New Roman" w:cs="Times New Roman"/>
                <w:b/>
                <w:bCs/>
                <w:sz w:val="18"/>
                <w:szCs w:val="18"/>
              </w:rPr>
              <w:t>Operating point</w:t>
            </w:r>
          </w:p>
        </w:tc>
        <w:tc>
          <w:tcPr>
            <w:tcW w:w="737" w:type="pct"/>
            <w:tcBorders>
              <w:top w:val="single" w:color="auto" w:sz="12" w:space="0"/>
              <w:left w:val="nil"/>
              <w:bottom w:val="nil"/>
              <w:right w:val="nil"/>
            </w:tcBorders>
            <w:noWrap w:val="0"/>
            <w:tcMar>
              <w:top w:w="-1" w:type="dxa"/>
              <w:left w:w="-1" w:type="dxa"/>
              <w:bottom w:w="-1" w:type="dxa"/>
              <w:right w:w="-1" w:type="dxa"/>
            </w:tcMar>
            <w:vAlign w:val="center"/>
          </w:tcPr>
          <w:p w14:paraId="1351352A">
            <w:pPr>
              <w:snapToGrid w:val="0"/>
              <w:ind w:left="0" w:leftChars="0" w:right="0" w:rightChars="0" w:firstLine="0" w:firstLineChars="0"/>
              <w:jc w:val="center"/>
              <w:rPr>
                <w:rFonts w:ascii="Times New Roman" w:hAnsi="Times New Roman" w:cs="Times New Roman"/>
                <w:b/>
                <w:bCs/>
                <w:sz w:val="18"/>
                <w:szCs w:val="18"/>
              </w:rPr>
            </w:pPr>
            <w:r>
              <w:rPr>
                <w:rFonts w:ascii="Times New Roman" w:hAnsi="Times New Roman" w:cs="Times New Roman"/>
                <w:b/>
                <w:bCs/>
                <w:sz w:val="18"/>
                <w:szCs w:val="18"/>
              </w:rPr>
              <w:t>PUCD score threshold</w:t>
            </w:r>
          </w:p>
        </w:tc>
        <w:tc>
          <w:tcPr>
            <w:tcW w:w="810" w:type="pct"/>
            <w:tcBorders>
              <w:top w:val="single" w:color="auto" w:sz="12" w:space="0"/>
              <w:left w:val="nil"/>
              <w:bottom w:val="nil"/>
              <w:right w:val="nil"/>
            </w:tcBorders>
            <w:noWrap w:val="0"/>
            <w:tcMar>
              <w:top w:w="-1" w:type="dxa"/>
              <w:left w:w="-1" w:type="dxa"/>
              <w:bottom w:w="-1" w:type="dxa"/>
              <w:right w:w="-1" w:type="dxa"/>
            </w:tcMar>
            <w:vAlign w:val="center"/>
          </w:tcPr>
          <w:p w14:paraId="2E52818A">
            <w:pPr>
              <w:snapToGrid w:val="0"/>
              <w:ind w:left="0" w:leftChars="0" w:right="0" w:rightChars="0" w:firstLine="0" w:firstLineChars="0"/>
              <w:jc w:val="center"/>
              <w:rPr>
                <w:rFonts w:ascii="Times New Roman" w:hAnsi="Times New Roman" w:cs="Times New Roman"/>
                <w:b/>
                <w:bCs/>
                <w:sz w:val="18"/>
                <w:szCs w:val="18"/>
              </w:rPr>
            </w:pPr>
            <w:r>
              <w:rPr>
                <w:rFonts w:ascii="Times New Roman" w:hAnsi="Times New Roman" w:cs="Times New Roman"/>
                <w:b/>
                <w:bCs/>
                <w:sz w:val="18"/>
                <w:szCs w:val="18"/>
              </w:rPr>
              <w:t>Sensitivity (%) (95% CI)</w:t>
            </w:r>
          </w:p>
        </w:tc>
        <w:tc>
          <w:tcPr>
            <w:tcW w:w="809" w:type="pct"/>
            <w:tcBorders>
              <w:top w:val="single" w:color="auto" w:sz="12" w:space="0"/>
              <w:left w:val="nil"/>
              <w:bottom w:val="nil"/>
              <w:right w:val="nil"/>
            </w:tcBorders>
            <w:noWrap w:val="0"/>
            <w:tcMar>
              <w:top w:w="-1" w:type="dxa"/>
              <w:left w:w="-1" w:type="dxa"/>
              <w:bottom w:w="-1" w:type="dxa"/>
              <w:right w:w="-1" w:type="dxa"/>
            </w:tcMar>
            <w:vAlign w:val="center"/>
          </w:tcPr>
          <w:p w14:paraId="348F6656">
            <w:pPr>
              <w:snapToGrid w:val="0"/>
              <w:ind w:left="0" w:leftChars="0" w:right="0" w:rightChars="0" w:firstLine="0" w:firstLineChars="0"/>
              <w:jc w:val="center"/>
              <w:rPr>
                <w:rFonts w:ascii="Times New Roman" w:hAnsi="Times New Roman" w:cs="Times New Roman"/>
                <w:b/>
                <w:bCs/>
                <w:sz w:val="18"/>
                <w:szCs w:val="18"/>
              </w:rPr>
            </w:pPr>
            <w:r>
              <w:rPr>
                <w:rFonts w:ascii="Times New Roman" w:hAnsi="Times New Roman" w:cs="Times New Roman"/>
                <w:b/>
                <w:bCs/>
                <w:sz w:val="18"/>
                <w:szCs w:val="18"/>
              </w:rPr>
              <w:t>Specificity (%) (95% CI)</w:t>
            </w:r>
          </w:p>
        </w:tc>
        <w:tc>
          <w:tcPr>
            <w:tcW w:w="735" w:type="pct"/>
            <w:tcBorders>
              <w:top w:val="single" w:color="auto" w:sz="12" w:space="0"/>
              <w:left w:val="nil"/>
              <w:bottom w:val="nil"/>
              <w:right w:val="nil"/>
            </w:tcBorders>
            <w:noWrap w:val="0"/>
            <w:tcMar>
              <w:top w:w="-1" w:type="dxa"/>
              <w:left w:w="-1" w:type="dxa"/>
              <w:bottom w:w="-1" w:type="dxa"/>
              <w:right w:w="-1" w:type="dxa"/>
            </w:tcMar>
            <w:vAlign w:val="center"/>
          </w:tcPr>
          <w:p w14:paraId="6C0A68DD">
            <w:pPr>
              <w:snapToGrid w:val="0"/>
              <w:ind w:left="0" w:leftChars="0" w:right="0" w:rightChars="0" w:firstLine="0" w:firstLineChars="0"/>
              <w:jc w:val="center"/>
              <w:rPr>
                <w:rFonts w:ascii="Times New Roman" w:hAnsi="Times New Roman" w:cs="Times New Roman"/>
                <w:b/>
                <w:bCs/>
                <w:sz w:val="18"/>
                <w:szCs w:val="18"/>
              </w:rPr>
            </w:pPr>
            <w:r>
              <w:rPr>
                <w:rFonts w:ascii="Times New Roman" w:hAnsi="Times New Roman" w:cs="Times New Roman"/>
                <w:b/>
                <w:bCs/>
                <w:sz w:val="18"/>
                <w:szCs w:val="18"/>
              </w:rPr>
              <w:t>PPV (%) (95% CI)</w:t>
            </w:r>
          </w:p>
        </w:tc>
        <w:tc>
          <w:tcPr>
            <w:tcW w:w="739" w:type="pct"/>
            <w:tcBorders>
              <w:top w:val="single" w:color="auto" w:sz="12" w:space="0"/>
              <w:left w:val="nil"/>
              <w:bottom w:val="nil"/>
              <w:right w:val="nil"/>
            </w:tcBorders>
            <w:noWrap w:val="0"/>
            <w:tcMar>
              <w:top w:w="-1" w:type="dxa"/>
              <w:left w:w="-1" w:type="dxa"/>
              <w:bottom w:w="-1" w:type="dxa"/>
              <w:right w:w="-1" w:type="dxa"/>
            </w:tcMar>
            <w:vAlign w:val="center"/>
          </w:tcPr>
          <w:p w14:paraId="07073374">
            <w:pPr>
              <w:snapToGrid w:val="0"/>
              <w:ind w:left="0" w:leftChars="0" w:right="0" w:rightChars="0" w:firstLine="0" w:firstLineChars="0"/>
              <w:jc w:val="center"/>
              <w:rPr>
                <w:rFonts w:ascii="Times New Roman" w:hAnsi="Times New Roman" w:cs="Times New Roman"/>
                <w:b/>
                <w:bCs/>
                <w:sz w:val="18"/>
                <w:szCs w:val="18"/>
              </w:rPr>
            </w:pPr>
            <w:r>
              <w:rPr>
                <w:rFonts w:ascii="Times New Roman" w:hAnsi="Times New Roman" w:cs="Times New Roman"/>
                <w:b/>
                <w:bCs/>
                <w:sz w:val="18"/>
                <w:szCs w:val="18"/>
              </w:rPr>
              <w:t>NPV (%) (95% CI)</w:t>
            </w:r>
          </w:p>
        </w:tc>
      </w:tr>
      <w:tr w14:paraId="412E86CB">
        <w:tblPrEx>
          <w:tblCellMar>
            <w:top w:w="0" w:type="dxa"/>
            <w:left w:w="108" w:type="dxa"/>
            <w:bottom w:w="0" w:type="dxa"/>
            <w:right w:w="108" w:type="dxa"/>
          </w:tblCellMar>
        </w:tblPrEx>
        <w:trPr>
          <w:trHeight w:val="0" w:hRule="atLeast"/>
          <w:jc w:val="center"/>
        </w:trPr>
        <w:tc>
          <w:tcPr>
            <w:tcW w:w="1167" w:type="pct"/>
            <w:tcBorders>
              <w:top w:val="single" w:color="auto" w:sz="4" w:space="0"/>
              <w:left w:val="nil"/>
              <w:bottom w:val="nil"/>
              <w:right w:val="nil"/>
            </w:tcBorders>
            <w:noWrap w:val="0"/>
            <w:tcMar>
              <w:top w:w="-1" w:type="dxa"/>
              <w:left w:w="-1" w:type="dxa"/>
              <w:bottom w:w="-1" w:type="dxa"/>
              <w:right w:w="-1" w:type="dxa"/>
            </w:tcMar>
            <w:vAlign w:val="center"/>
          </w:tcPr>
          <w:p w14:paraId="3CAD3799">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Primary (Youden, PUCD ≥ 2.00)</w:t>
            </w:r>
          </w:p>
        </w:tc>
        <w:tc>
          <w:tcPr>
            <w:tcW w:w="737" w:type="pct"/>
            <w:tcBorders>
              <w:top w:val="single" w:color="auto" w:sz="4" w:space="0"/>
              <w:left w:val="nil"/>
              <w:bottom w:val="nil"/>
              <w:right w:val="nil"/>
            </w:tcBorders>
            <w:noWrap w:val="0"/>
            <w:tcMar>
              <w:top w:w="-1" w:type="dxa"/>
              <w:left w:w="-1" w:type="dxa"/>
              <w:bottom w:w="-1" w:type="dxa"/>
              <w:right w:w="-1" w:type="dxa"/>
            </w:tcMar>
            <w:vAlign w:val="center"/>
          </w:tcPr>
          <w:p w14:paraId="1A952DA2">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2.00</w:t>
            </w:r>
          </w:p>
        </w:tc>
        <w:tc>
          <w:tcPr>
            <w:tcW w:w="810" w:type="pct"/>
            <w:tcBorders>
              <w:top w:val="single" w:color="auto" w:sz="4" w:space="0"/>
              <w:left w:val="nil"/>
              <w:bottom w:val="nil"/>
              <w:right w:val="nil"/>
            </w:tcBorders>
            <w:noWrap w:val="0"/>
            <w:tcMar>
              <w:top w:w="-1" w:type="dxa"/>
              <w:left w:w="-1" w:type="dxa"/>
              <w:bottom w:w="-1" w:type="dxa"/>
              <w:right w:w="-1" w:type="dxa"/>
            </w:tcMar>
            <w:vAlign w:val="center"/>
          </w:tcPr>
          <w:p w14:paraId="49C95197">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88.1 (79.5–93.4)</w:t>
            </w:r>
          </w:p>
        </w:tc>
        <w:tc>
          <w:tcPr>
            <w:tcW w:w="809" w:type="pct"/>
            <w:tcBorders>
              <w:top w:val="single" w:color="auto" w:sz="4" w:space="0"/>
              <w:left w:val="nil"/>
              <w:bottom w:val="nil"/>
              <w:right w:val="nil"/>
            </w:tcBorders>
            <w:noWrap w:val="0"/>
            <w:tcMar>
              <w:top w:w="-1" w:type="dxa"/>
              <w:left w:w="-1" w:type="dxa"/>
              <w:bottom w:w="-1" w:type="dxa"/>
              <w:right w:w="-1" w:type="dxa"/>
            </w:tcMar>
            <w:vAlign w:val="center"/>
          </w:tcPr>
          <w:p w14:paraId="5C2051BE">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90.0 (82.6–94.5)</w:t>
            </w:r>
          </w:p>
        </w:tc>
        <w:tc>
          <w:tcPr>
            <w:tcW w:w="735" w:type="pct"/>
            <w:tcBorders>
              <w:top w:val="single" w:color="auto" w:sz="4" w:space="0"/>
              <w:left w:val="nil"/>
              <w:bottom w:val="nil"/>
              <w:right w:val="nil"/>
            </w:tcBorders>
            <w:noWrap w:val="0"/>
            <w:tcMar>
              <w:top w:w="-1" w:type="dxa"/>
              <w:left w:w="-1" w:type="dxa"/>
              <w:bottom w:w="-1" w:type="dxa"/>
              <w:right w:w="-1" w:type="dxa"/>
            </w:tcMar>
            <w:vAlign w:val="center"/>
          </w:tcPr>
          <w:p w14:paraId="36051C78">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88.1 (79.5–93.4)</w:t>
            </w:r>
          </w:p>
        </w:tc>
        <w:tc>
          <w:tcPr>
            <w:tcW w:w="739" w:type="pct"/>
            <w:tcBorders>
              <w:top w:val="single" w:color="auto" w:sz="4" w:space="0"/>
              <w:left w:val="nil"/>
              <w:bottom w:val="nil"/>
              <w:right w:val="nil"/>
            </w:tcBorders>
            <w:noWrap w:val="0"/>
            <w:tcMar>
              <w:top w:w="-1" w:type="dxa"/>
              <w:left w:w="-1" w:type="dxa"/>
              <w:bottom w:w="-1" w:type="dxa"/>
              <w:right w:w="-1" w:type="dxa"/>
            </w:tcMar>
            <w:vAlign w:val="center"/>
          </w:tcPr>
          <w:p w14:paraId="73009129">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90.0 (82.6–94.5)</w:t>
            </w:r>
          </w:p>
        </w:tc>
      </w:tr>
      <w:tr w14:paraId="11DE1A93">
        <w:tblPrEx>
          <w:tblCellMar>
            <w:top w:w="0" w:type="dxa"/>
            <w:left w:w="108" w:type="dxa"/>
            <w:bottom w:w="0" w:type="dxa"/>
            <w:right w:w="108" w:type="dxa"/>
          </w:tblCellMar>
        </w:tblPrEx>
        <w:trPr>
          <w:trHeight w:val="0" w:hRule="atLeast"/>
          <w:jc w:val="center"/>
        </w:trPr>
        <w:tc>
          <w:tcPr>
            <w:tcW w:w="1167" w:type="pct"/>
            <w:tcBorders>
              <w:top w:val="nil"/>
              <w:left w:val="nil"/>
              <w:bottom w:val="nil"/>
              <w:right w:val="nil"/>
            </w:tcBorders>
            <w:noWrap w:val="0"/>
            <w:tcMar>
              <w:top w:w="-1" w:type="dxa"/>
              <w:left w:w="-1" w:type="dxa"/>
              <w:bottom w:w="-1" w:type="dxa"/>
              <w:right w:w="-1" w:type="dxa"/>
            </w:tcMar>
            <w:vAlign w:val="center"/>
          </w:tcPr>
          <w:p w14:paraId="638A2DDF">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Sensitivity-priority (PUCD ≥ 1.72)</w:t>
            </w:r>
          </w:p>
        </w:tc>
        <w:tc>
          <w:tcPr>
            <w:tcW w:w="737" w:type="pct"/>
            <w:tcBorders>
              <w:top w:val="nil"/>
              <w:left w:val="nil"/>
              <w:bottom w:val="nil"/>
              <w:right w:val="nil"/>
            </w:tcBorders>
            <w:noWrap w:val="0"/>
            <w:tcMar>
              <w:top w:w="-1" w:type="dxa"/>
              <w:left w:w="-1" w:type="dxa"/>
              <w:bottom w:w="-1" w:type="dxa"/>
              <w:right w:w="-1" w:type="dxa"/>
            </w:tcMar>
            <w:vAlign w:val="center"/>
          </w:tcPr>
          <w:p w14:paraId="57C87839">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1.72</w:t>
            </w:r>
          </w:p>
        </w:tc>
        <w:tc>
          <w:tcPr>
            <w:tcW w:w="810" w:type="pct"/>
            <w:tcBorders>
              <w:top w:val="nil"/>
              <w:left w:val="nil"/>
              <w:bottom w:val="nil"/>
              <w:right w:val="nil"/>
            </w:tcBorders>
            <w:noWrap w:val="0"/>
            <w:tcMar>
              <w:top w:w="-1" w:type="dxa"/>
              <w:left w:w="-1" w:type="dxa"/>
              <w:bottom w:w="-1" w:type="dxa"/>
              <w:right w:w="-1" w:type="dxa"/>
            </w:tcMar>
            <w:vAlign w:val="center"/>
          </w:tcPr>
          <w:p w14:paraId="5D32C418">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94.0 (86.8–97.4)</w:t>
            </w:r>
          </w:p>
        </w:tc>
        <w:tc>
          <w:tcPr>
            <w:tcW w:w="809" w:type="pct"/>
            <w:tcBorders>
              <w:top w:val="nil"/>
              <w:left w:val="nil"/>
              <w:bottom w:val="nil"/>
              <w:right w:val="nil"/>
            </w:tcBorders>
            <w:noWrap w:val="0"/>
            <w:tcMar>
              <w:top w:w="-1" w:type="dxa"/>
              <w:left w:w="-1" w:type="dxa"/>
              <w:bottom w:w="-1" w:type="dxa"/>
              <w:right w:w="-1" w:type="dxa"/>
            </w:tcMar>
            <w:vAlign w:val="center"/>
          </w:tcPr>
          <w:p w14:paraId="5EDDEDA5">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80.0 (71.1–86.7)</w:t>
            </w:r>
          </w:p>
        </w:tc>
        <w:tc>
          <w:tcPr>
            <w:tcW w:w="735" w:type="pct"/>
            <w:tcBorders>
              <w:top w:val="nil"/>
              <w:left w:val="nil"/>
              <w:bottom w:val="nil"/>
              <w:right w:val="nil"/>
            </w:tcBorders>
            <w:noWrap w:val="0"/>
            <w:tcMar>
              <w:top w:w="-1" w:type="dxa"/>
              <w:left w:w="-1" w:type="dxa"/>
              <w:bottom w:w="-1" w:type="dxa"/>
              <w:right w:w="-1" w:type="dxa"/>
            </w:tcMar>
            <w:vAlign w:val="center"/>
          </w:tcPr>
          <w:p w14:paraId="469E47C5">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79.8 (70.8–86.5)</w:t>
            </w:r>
          </w:p>
        </w:tc>
        <w:tc>
          <w:tcPr>
            <w:tcW w:w="739" w:type="pct"/>
            <w:tcBorders>
              <w:top w:val="nil"/>
              <w:left w:val="nil"/>
              <w:bottom w:val="nil"/>
              <w:right w:val="nil"/>
            </w:tcBorders>
            <w:noWrap w:val="0"/>
            <w:tcMar>
              <w:top w:w="-1" w:type="dxa"/>
              <w:left w:w="-1" w:type="dxa"/>
              <w:bottom w:w="-1" w:type="dxa"/>
              <w:right w:w="-1" w:type="dxa"/>
            </w:tcMar>
            <w:vAlign w:val="center"/>
          </w:tcPr>
          <w:p w14:paraId="7AB45AC5">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94.1 (87.0–97.5)</w:t>
            </w:r>
          </w:p>
        </w:tc>
      </w:tr>
      <w:tr w14:paraId="09E935EF">
        <w:tblPrEx>
          <w:tblCellMar>
            <w:top w:w="0" w:type="dxa"/>
            <w:left w:w="108" w:type="dxa"/>
            <w:bottom w:w="0" w:type="dxa"/>
            <w:right w:w="108" w:type="dxa"/>
          </w:tblCellMar>
        </w:tblPrEx>
        <w:trPr>
          <w:trHeight w:val="0" w:hRule="atLeast"/>
          <w:jc w:val="center"/>
        </w:trPr>
        <w:tc>
          <w:tcPr>
            <w:tcW w:w="1167" w:type="pct"/>
            <w:tcBorders>
              <w:top w:val="nil"/>
              <w:left w:val="nil"/>
              <w:bottom w:val="single" w:color="auto" w:sz="12" w:space="0"/>
              <w:right w:val="nil"/>
            </w:tcBorders>
            <w:noWrap w:val="0"/>
            <w:tcMar>
              <w:top w:w="-1" w:type="dxa"/>
              <w:left w:w="-1" w:type="dxa"/>
              <w:bottom w:w="-1" w:type="dxa"/>
              <w:right w:w="-1" w:type="dxa"/>
            </w:tcMar>
            <w:vAlign w:val="center"/>
          </w:tcPr>
          <w:p w14:paraId="70A09538">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Specificity-priority (PUCD ≥ 2.28)</w:t>
            </w:r>
          </w:p>
        </w:tc>
        <w:tc>
          <w:tcPr>
            <w:tcW w:w="737" w:type="pct"/>
            <w:tcBorders>
              <w:top w:val="nil"/>
              <w:left w:val="nil"/>
              <w:bottom w:val="single" w:color="auto" w:sz="12" w:space="0"/>
              <w:right w:val="nil"/>
            </w:tcBorders>
            <w:noWrap w:val="0"/>
            <w:tcMar>
              <w:top w:w="-1" w:type="dxa"/>
              <w:left w:w="-1" w:type="dxa"/>
              <w:bottom w:w="-1" w:type="dxa"/>
              <w:right w:w="-1" w:type="dxa"/>
            </w:tcMar>
            <w:vAlign w:val="center"/>
          </w:tcPr>
          <w:p w14:paraId="7AD77970">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2.28</w:t>
            </w:r>
          </w:p>
        </w:tc>
        <w:tc>
          <w:tcPr>
            <w:tcW w:w="810" w:type="pct"/>
            <w:tcBorders>
              <w:top w:val="nil"/>
              <w:left w:val="nil"/>
              <w:bottom w:val="single" w:color="auto" w:sz="12" w:space="0"/>
              <w:right w:val="nil"/>
            </w:tcBorders>
            <w:noWrap w:val="0"/>
            <w:tcMar>
              <w:top w:w="-1" w:type="dxa"/>
              <w:left w:w="-1" w:type="dxa"/>
              <w:bottom w:w="-1" w:type="dxa"/>
              <w:right w:w="-1" w:type="dxa"/>
            </w:tcMar>
            <w:vAlign w:val="center"/>
          </w:tcPr>
          <w:p w14:paraId="5EF4AC40">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81.0 (71.3–87.9)</w:t>
            </w:r>
          </w:p>
        </w:tc>
        <w:tc>
          <w:tcPr>
            <w:tcW w:w="809" w:type="pct"/>
            <w:tcBorders>
              <w:top w:val="nil"/>
              <w:left w:val="nil"/>
              <w:bottom w:val="single" w:color="auto" w:sz="12" w:space="0"/>
              <w:right w:val="nil"/>
            </w:tcBorders>
            <w:noWrap w:val="0"/>
            <w:tcMar>
              <w:top w:w="-1" w:type="dxa"/>
              <w:left w:w="-1" w:type="dxa"/>
              <w:bottom w:w="-1" w:type="dxa"/>
              <w:right w:w="-1" w:type="dxa"/>
            </w:tcMar>
            <w:vAlign w:val="center"/>
          </w:tcPr>
          <w:p w14:paraId="1E6AE3B6">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95.0 (88.8–97.8)</w:t>
            </w:r>
          </w:p>
        </w:tc>
        <w:tc>
          <w:tcPr>
            <w:tcW w:w="735" w:type="pct"/>
            <w:tcBorders>
              <w:top w:val="nil"/>
              <w:left w:val="nil"/>
              <w:bottom w:val="single" w:color="auto" w:sz="12" w:space="0"/>
              <w:right w:val="nil"/>
            </w:tcBorders>
            <w:noWrap w:val="0"/>
            <w:tcMar>
              <w:top w:w="-1" w:type="dxa"/>
              <w:left w:w="-1" w:type="dxa"/>
              <w:bottom w:w="-1" w:type="dxa"/>
              <w:right w:w="-1" w:type="dxa"/>
            </w:tcMar>
            <w:vAlign w:val="center"/>
          </w:tcPr>
          <w:p w14:paraId="797FF982">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93.2 (84.9–97.0)</w:t>
            </w:r>
          </w:p>
        </w:tc>
        <w:tc>
          <w:tcPr>
            <w:tcW w:w="739" w:type="pct"/>
            <w:tcBorders>
              <w:top w:val="nil"/>
              <w:left w:val="nil"/>
              <w:bottom w:val="single" w:color="auto" w:sz="12" w:space="0"/>
              <w:right w:val="nil"/>
            </w:tcBorders>
            <w:noWrap w:val="0"/>
            <w:tcMar>
              <w:top w:w="-1" w:type="dxa"/>
              <w:left w:w="-1" w:type="dxa"/>
              <w:bottom w:w="-1" w:type="dxa"/>
              <w:right w:w="-1" w:type="dxa"/>
            </w:tcMar>
            <w:vAlign w:val="center"/>
          </w:tcPr>
          <w:p w14:paraId="34C311DB">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85.6 (77.9–90.9)</w:t>
            </w:r>
          </w:p>
        </w:tc>
      </w:tr>
    </w:tbl>
    <w:p w14:paraId="7019B96D">
      <w:pPr>
        <w:spacing w:after="120" w:line="240" w:lineRule="auto"/>
      </w:pPr>
      <w:r>
        <w:rPr>
          <w:rFonts w:ascii="Times New Roman" w:hAnsi="Times New Roman" w:cs="Times New Roman"/>
          <w:i/>
          <w:iCs/>
          <w:sz w:val="21"/>
        </w:rPr>
        <w:t xml:space="preserve">Operating points were defined on the PUCD score in the training set (n = 425; 191 cancers / 234 controls): Primary = cutoff maximizing Youden’s index; Sensitivity-priority = highest-sensitivity cutoff with training specificity ≥ 80%; Specificity-priority = highest-specificity cutoff with training sensitivity ≥ 80%. Performance is reported on the held-out validation set (n = 184; 84 cancers / 100 controls). </w:t>
      </w:r>
    </w:p>
    <w:p w14:paraId="169B03E0">
      <w:pPr>
        <w:spacing w:line="240" w:lineRule="auto"/>
        <w:rPr>
          <w:rFonts w:ascii="Times New Roman" w:hAnsi="Times New Roman"/>
          <w:b/>
          <w:sz w:val="21"/>
        </w:rPr>
      </w:pPr>
    </w:p>
    <w:p w14:paraId="7D349043">
      <w:pPr>
        <w:spacing w:line="240" w:lineRule="auto"/>
      </w:pPr>
      <w:r>
        <w:rPr>
          <w:rFonts w:ascii="Times New Roman" w:hAnsi="Times New Roman"/>
          <w:b/>
          <w:sz w:val="21"/>
        </w:rPr>
        <w:t>Table S</w:t>
      </w:r>
      <w:r>
        <w:rPr>
          <w:rFonts w:hint="eastAsia" w:ascii="Times New Roman" w:hAnsi="Times New Roman"/>
          <w:b/>
          <w:sz w:val="21"/>
          <w:lang w:val="en-US" w:eastAsia="zh-CN"/>
        </w:rPr>
        <w:t>7</w:t>
      </w:r>
      <w:r>
        <w:rPr>
          <w:rFonts w:ascii="Times New Roman" w:hAnsi="Times New Roman"/>
          <w:b/>
          <w:sz w:val="21"/>
        </w:rPr>
        <w:t>. Stage-Specific Sensitivity of the PUCD Assay by Cancer Type in the Validation Set</w:t>
      </w:r>
    </w:p>
    <w:tbl>
      <w:tblPr>
        <w:tblStyle w:val="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69"/>
        <w:gridCol w:w="729"/>
        <w:gridCol w:w="396"/>
        <w:gridCol w:w="1149"/>
        <w:gridCol w:w="1359"/>
        <w:gridCol w:w="1364"/>
        <w:gridCol w:w="1356"/>
      </w:tblGrid>
      <w:tr w14:paraId="7662D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272" w:type="pct"/>
            <w:tcBorders>
              <w:top w:val="single" w:color="000000" w:sz="12" w:space="0"/>
              <w:left w:val="nil"/>
              <w:bottom w:val="single" w:color="000000" w:sz="6" w:space="0"/>
              <w:right w:val="nil"/>
              <w:insideH w:val="nil"/>
              <w:insideV w:val="nil"/>
            </w:tcBorders>
            <w:vAlign w:val="center"/>
          </w:tcPr>
          <w:p w14:paraId="3CDBA594">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Cancer Type</w:t>
            </w:r>
          </w:p>
        </w:tc>
        <w:tc>
          <w:tcPr>
            <w:tcW w:w="427" w:type="pct"/>
            <w:tcBorders>
              <w:top w:val="single" w:color="000000" w:sz="12" w:space="0"/>
              <w:left w:val="nil"/>
              <w:bottom w:val="single" w:color="000000" w:sz="6" w:space="0"/>
              <w:right w:val="nil"/>
              <w:insideH w:val="nil"/>
              <w:insideV w:val="nil"/>
            </w:tcBorders>
            <w:vAlign w:val="center"/>
          </w:tcPr>
          <w:p w14:paraId="568046A1">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Stage</w:t>
            </w:r>
          </w:p>
        </w:tc>
        <w:tc>
          <w:tcPr>
            <w:tcW w:w="232" w:type="pct"/>
            <w:tcBorders>
              <w:top w:val="single" w:color="000000" w:sz="12" w:space="0"/>
              <w:left w:val="nil"/>
              <w:bottom w:val="single" w:color="000000" w:sz="6" w:space="0"/>
              <w:right w:val="nil"/>
              <w:insideH w:val="nil"/>
              <w:insideV w:val="nil"/>
            </w:tcBorders>
            <w:vAlign w:val="center"/>
          </w:tcPr>
          <w:p w14:paraId="0BBCFFC0">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N</w:t>
            </w:r>
          </w:p>
        </w:tc>
        <w:tc>
          <w:tcPr>
            <w:tcW w:w="674" w:type="pct"/>
            <w:tcBorders>
              <w:top w:val="single" w:color="000000" w:sz="12" w:space="0"/>
              <w:left w:val="nil"/>
              <w:bottom w:val="single" w:color="000000" w:sz="6" w:space="0"/>
              <w:right w:val="nil"/>
              <w:insideH w:val="nil"/>
              <w:insideV w:val="nil"/>
            </w:tcBorders>
            <w:vAlign w:val="center"/>
          </w:tcPr>
          <w:p w14:paraId="70ABEEE0">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Detected (n)</w:t>
            </w:r>
          </w:p>
        </w:tc>
        <w:tc>
          <w:tcPr>
            <w:tcW w:w="797" w:type="pct"/>
            <w:tcBorders>
              <w:top w:val="single" w:color="000000" w:sz="12" w:space="0"/>
              <w:left w:val="nil"/>
              <w:bottom w:val="single" w:color="000000" w:sz="6" w:space="0"/>
              <w:right w:val="nil"/>
              <w:insideH w:val="nil"/>
              <w:insideV w:val="nil"/>
            </w:tcBorders>
            <w:vAlign w:val="center"/>
          </w:tcPr>
          <w:p w14:paraId="23C5E557">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Sensitivity (%)</w:t>
            </w:r>
          </w:p>
        </w:tc>
        <w:tc>
          <w:tcPr>
            <w:tcW w:w="800" w:type="pct"/>
            <w:tcBorders>
              <w:top w:val="single" w:color="000000" w:sz="12" w:space="0"/>
              <w:left w:val="nil"/>
              <w:bottom w:val="single" w:color="000000" w:sz="6" w:space="0"/>
              <w:right w:val="nil"/>
              <w:insideH w:val="nil"/>
              <w:insideV w:val="nil"/>
            </w:tcBorders>
            <w:vAlign w:val="center"/>
          </w:tcPr>
          <w:p w14:paraId="4E663419">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95% CI Lower</w:t>
            </w:r>
          </w:p>
        </w:tc>
        <w:tc>
          <w:tcPr>
            <w:tcW w:w="795" w:type="pct"/>
            <w:tcBorders>
              <w:top w:val="single" w:color="000000" w:sz="12" w:space="0"/>
              <w:left w:val="nil"/>
              <w:bottom w:val="single" w:color="000000" w:sz="6" w:space="0"/>
              <w:right w:val="nil"/>
              <w:insideH w:val="nil"/>
              <w:insideV w:val="nil"/>
            </w:tcBorders>
            <w:vAlign w:val="center"/>
          </w:tcPr>
          <w:p w14:paraId="3AA27377">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95% CI Upper</w:t>
            </w:r>
          </w:p>
        </w:tc>
      </w:tr>
      <w:tr w14:paraId="24523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3C0ABB4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Bladder cancer</w:t>
            </w:r>
          </w:p>
        </w:tc>
        <w:tc>
          <w:tcPr>
            <w:tcW w:w="427" w:type="pct"/>
            <w:tcBorders>
              <w:top w:val="nil"/>
              <w:left w:val="nil"/>
              <w:bottom w:val="nil"/>
              <w:right w:val="nil"/>
              <w:insideH w:val="nil"/>
              <w:insideV w:val="nil"/>
            </w:tcBorders>
            <w:vAlign w:val="center"/>
          </w:tcPr>
          <w:p w14:paraId="58EE3A7D">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w:t>
            </w:r>
          </w:p>
        </w:tc>
        <w:tc>
          <w:tcPr>
            <w:tcW w:w="232" w:type="pct"/>
            <w:tcBorders>
              <w:top w:val="nil"/>
              <w:left w:val="nil"/>
              <w:bottom w:val="nil"/>
              <w:right w:val="nil"/>
              <w:insideH w:val="nil"/>
              <w:insideV w:val="nil"/>
            </w:tcBorders>
            <w:vAlign w:val="center"/>
          </w:tcPr>
          <w:p w14:paraId="2C416A2B">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24</w:t>
            </w:r>
          </w:p>
        </w:tc>
        <w:tc>
          <w:tcPr>
            <w:tcW w:w="674" w:type="pct"/>
            <w:tcBorders>
              <w:top w:val="nil"/>
              <w:left w:val="nil"/>
              <w:bottom w:val="nil"/>
              <w:right w:val="nil"/>
              <w:insideH w:val="nil"/>
              <w:insideV w:val="nil"/>
            </w:tcBorders>
            <w:vAlign w:val="center"/>
          </w:tcPr>
          <w:p w14:paraId="54873C6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22</w:t>
            </w:r>
          </w:p>
        </w:tc>
        <w:tc>
          <w:tcPr>
            <w:tcW w:w="797" w:type="pct"/>
            <w:tcBorders>
              <w:top w:val="nil"/>
              <w:left w:val="nil"/>
              <w:bottom w:val="nil"/>
              <w:right w:val="nil"/>
              <w:insideH w:val="nil"/>
              <w:insideV w:val="nil"/>
            </w:tcBorders>
            <w:vAlign w:val="center"/>
          </w:tcPr>
          <w:p w14:paraId="074913FB">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91.7%</w:t>
            </w:r>
          </w:p>
        </w:tc>
        <w:tc>
          <w:tcPr>
            <w:tcW w:w="800" w:type="pct"/>
            <w:tcBorders>
              <w:top w:val="nil"/>
              <w:left w:val="nil"/>
              <w:bottom w:val="nil"/>
              <w:right w:val="nil"/>
              <w:insideH w:val="nil"/>
              <w:insideV w:val="nil"/>
            </w:tcBorders>
            <w:vAlign w:val="center"/>
          </w:tcPr>
          <w:p w14:paraId="2B0CBF98">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74.2%</w:t>
            </w:r>
          </w:p>
        </w:tc>
        <w:tc>
          <w:tcPr>
            <w:tcW w:w="795" w:type="pct"/>
            <w:tcBorders>
              <w:top w:val="nil"/>
              <w:left w:val="nil"/>
              <w:bottom w:val="nil"/>
              <w:right w:val="nil"/>
              <w:insideH w:val="nil"/>
              <w:insideV w:val="nil"/>
            </w:tcBorders>
            <w:vAlign w:val="center"/>
          </w:tcPr>
          <w:p w14:paraId="7F432A12">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97.7%</w:t>
            </w:r>
          </w:p>
        </w:tc>
      </w:tr>
      <w:tr w14:paraId="7E701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1FCCA15B">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Bladder cancer</w:t>
            </w:r>
          </w:p>
        </w:tc>
        <w:tc>
          <w:tcPr>
            <w:tcW w:w="427" w:type="pct"/>
            <w:tcBorders>
              <w:top w:val="nil"/>
              <w:left w:val="nil"/>
              <w:bottom w:val="nil"/>
              <w:right w:val="nil"/>
              <w:insideH w:val="nil"/>
              <w:insideV w:val="nil"/>
            </w:tcBorders>
            <w:vAlign w:val="center"/>
          </w:tcPr>
          <w:p w14:paraId="61928A0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II</w:t>
            </w:r>
          </w:p>
        </w:tc>
        <w:tc>
          <w:tcPr>
            <w:tcW w:w="232" w:type="pct"/>
            <w:tcBorders>
              <w:top w:val="nil"/>
              <w:left w:val="nil"/>
              <w:bottom w:val="nil"/>
              <w:right w:val="nil"/>
              <w:insideH w:val="nil"/>
              <w:insideV w:val="nil"/>
            </w:tcBorders>
            <w:vAlign w:val="center"/>
          </w:tcPr>
          <w:p w14:paraId="5AF7E164">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12</w:t>
            </w:r>
          </w:p>
        </w:tc>
        <w:tc>
          <w:tcPr>
            <w:tcW w:w="674" w:type="pct"/>
            <w:tcBorders>
              <w:top w:val="nil"/>
              <w:left w:val="nil"/>
              <w:bottom w:val="nil"/>
              <w:right w:val="nil"/>
              <w:insideH w:val="nil"/>
              <w:insideV w:val="nil"/>
            </w:tcBorders>
            <w:vAlign w:val="center"/>
          </w:tcPr>
          <w:p w14:paraId="1025579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12</w:t>
            </w:r>
          </w:p>
        </w:tc>
        <w:tc>
          <w:tcPr>
            <w:tcW w:w="797" w:type="pct"/>
            <w:tcBorders>
              <w:top w:val="nil"/>
              <w:left w:val="nil"/>
              <w:bottom w:val="nil"/>
              <w:right w:val="nil"/>
              <w:insideH w:val="nil"/>
              <w:insideV w:val="nil"/>
            </w:tcBorders>
            <w:vAlign w:val="center"/>
          </w:tcPr>
          <w:p w14:paraId="576E3B01">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c>
          <w:tcPr>
            <w:tcW w:w="800" w:type="pct"/>
            <w:tcBorders>
              <w:top w:val="nil"/>
              <w:left w:val="nil"/>
              <w:bottom w:val="nil"/>
              <w:right w:val="nil"/>
              <w:insideH w:val="nil"/>
              <w:insideV w:val="nil"/>
            </w:tcBorders>
            <w:vAlign w:val="center"/>
          </w:tcPr>
          <w:p w14:paraId="3CBA56E7">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75.8%</w:t>
            </w:r>
          </w:p>
        </w:tc>
        <w:tc>
          <w:tcPr>
            <w:tcW w:w="795" w:type="pct"/>
            <w:tcBorders>
              <w:top w:val="nil"/>
              <w:left w:val="nil"/>
              <w:bottom w:val="nil"/>
              <w:right w:val="nil"/>
              <w:insideH w:val="nil"/>
              <w:insideV w:val="nil"/>
            </w:tcBorders>
            <w:vAlign w:val="center"/>
          </w:tcPr>
          <w:p w14:paraId="6820C982">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r>
      <w:tr w14:paraId="385FF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31696D6B">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Bladder cancer</w:t>
            </w:r>
          </w:p>
        </w:tc>
        <w:tc>
          <w:tcPr>
            <w:tcW w:w="427" w:type="pct"/>
            <w:tcBorders>
              <w:top w:val="nil"/>
              <w:left w:val="nil"/>
              <w:bottom w:val="nil"/>
              <w:right w:val="nil"/>
              <w:insideH w:val="nil"/>
              <w:insideV w:val="nil"/>
            </w:tcBorders>
            <w:vAlign w:val="center"/>
          </w:tcPr>
          <w:p w14:paraId="23E4C6A5">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III</w:t>
            </w:r>
          </w:p>
        </w:tc>
        <w:tc>
          <w:tcPr>
            <w:tcW w:w="232" w:type="pct"/>
            <w:tcBorders>
              <w:top w:val="nil"/>
              <w:left w:val="nil"/>
              <w:bottom w:val="nil"/>
              <w:right w:val="nil"/>
              <w:insideH w:val="nil"/>
              <w:insideV w:val="nil"/>
            </w:tcBorders>
            <w:vAlign w:val="center"/>
          </w:tcPr>
          <w:p w14:paraId="3E61F51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w:t>
            </w:r>
          </w:p>
        </w:tc>
        <w:tc>
          <w:tcPr>
            <w:tcW w:w="674" w:type="pct"/>
            <w:tcBorders>
              <w:top w:val="nil"/>
              <w:left w:val="nil"/>
              <w:bottom w:val="nil"/>
              <w:right w:val="nil"/>
              <w:insideH w:val="nil"/>
              <w:insideV w:val="nil"/>
            </w:tcBorders>
            <w:vAlign w:val="center"/>
          </w:tcPr>
          <w:p w14:paraId="7D32D301">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w:t>
            </w:r>
          </w:p>
        </w:tc>
        <w:tc>
          <w:tcPr>
            <w:tcW w:w="797" w:type="pct"/>
            <w:tcBorders>
              <w:top w:val="nil"/>
              <w:left w:val="nil"/>
              <w:bottom w:val="nil"/>
              <w:right w:val="nil"/>
              <w:insideH w:val="nil"/>
              <w:insideV w:val="nil"/>
            </w:tcBorders>
            <w:vAlign w:val="center"/>
          </w:tcPr>
          <w:p w14:paraId="09D1867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c>
          <w:tcPr>
            <w:tcW w:w="800" w:type="pct"/>
            <w:tcBorders>
              <w:top w:val="nil"/>
              <w:left w:val="nil"/>
              <w:bottom w:val="nil"/>
              <w:right w:val="nil"/>
              <w:insideH w:val="nil"/>
              <w:insideV w:val="nil"/>
            </w:tcBorders>
            <w:vAlign w:val="center"/>
          </w:tcPr>
          <w:p w14:paraId="39E7AEF2">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20.7%</w:t>
            </w:r>
          </w:p>
        </w:tc>
        <w:tc>
          <w:tcPr>
            <w:tcW w:w="795" w:type="pct"/>
            <w:tcBorders>
              <w:top w:val="nil"/>
              <w:left w:val="nil"/>
              <w:bottom w:val="nil"/>
              <w:right w:val="nil"/>
              <w:insideH w:val="nil"/>
              <w:insideV w:val="nil"/>
            </w:tcBorders>
            <w:vAlign w:val="center"/>
          </w:tcPr>
          <w:p w14:paraId="6907229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r>
      <w:tr w14:paraId="7C7F1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570AEC77">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Bladder cancer</w:t>
            </w:r>
          </w:p>
        </w:tc>
        <w:tc>
          <w:tcPr>
            <w:tcW w:w="427" w:type="pct"/>
            <w:tcBorders>
              <w:top w:val="nil"/>
              <w:left w:val="nil"/>
              <w:bottom w:val="nil"/>
              <w:right w:val="nil"/>
              <w:insideH w:val="nil"/>
              <w:insideV w:val="nil"/>
            </w:tcBorders>
            <w:vAlign w:val="center"/>
          </w:tcPr>
          <w:p w14:paraId="442FEAEB">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IV</w:t>
            </w:r>
          </w:p>
        </w:tc>
        <w:tc>
          <w:tcPr>
            <w:tcW w:w="232" w:type="pct"/>
            <w:tcBorders>
              <w:top w:val="nil"/>
              <w:left w:val="nil"/>
              <w:bottom w:val="nil"/>
              <w:right w:val="nil"/>
              <w:insideH w:val="nil"/>
              <w:insideV w:val="nil"/>
            </w:tcBorders>
            <w:vAlign w:val="center"/>
          </w:tcPr>
          <w:p w14:paraId="5C39D090">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w:t>
            </w:r>
          </w:p>
        </w:tc>
        <w:tc>
          <w:tcPr>
            <w:tcW w:w="674" w:type="pct"/>
            <w:tcBorders>
              <w:top w:val="nil"/>
              <w:left w:val="nil"/>
              <w:bottom w:val="nil"/>
              <w:right w:val="nil"/>
              <w:insideH w:val="nil"/>
              <w:insideV w:val="nil"/>
            </w:tcBorders>
            <w:vAlign w:val="center"/>
          </w:tcPr>
          <w:p w14:paraId="39D813C4">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0</w:t>
            </w:r>
          </w:p>
        </w:tc>
        <w:tc>
          <w:tcPr>
            <w:tcW w:w="797" w:type="pct"/>
            <w:tcBorders>
              <w:top w:val="nil"/>
              <w:left w:val="nil"/>
              <w:bottom w:val="nil"/>
              <w:right w:val="nil"/>
              <w:insideH w:val="nil"/>
              <w:insideV w:val="nil"/>
            </w:tcBorders>
            <w:vAlign w:val="center"/>
          </w:tcPr>
          <w:p w14:paraId="1D7EA780">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0.0%</w:t>
            </w:r>
          </w:p>
        </w:tc>
        <w:tc>
          <w:tcPr>
            <w:tcW w:w="800" w:type="pct"/>
            <w:tcBorders>
              <w:top w:val="nil"/>
              <w:left w:val="nil"/>
              <w:bottom w:val="nil"/>
              <w:right w:val="nil"/>
              <w:insideH w:val="nil"/>
              <w:insideV w:val="nil"/>
            </w:tcBorders>
            <w:vAlign w:val="center"/>
          </w:tcPr>
          <w:p w14:paraId="20CF4118">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0.0%</w:t>
            </w:r>
          </w:p>
        </w:tc>
        <w:tc>
          <w:tcPr>
            <w:tcW w:w="795" w:type="pct"/>
            <w:tcBorders>
              <w:top w:val="nil"/>
              <w:left w:val="nil"/>
              <w:bottom w:val="nil"/>
              <w:right w:val="nil"/>
              <w:insideH w:val="nil"/>
              <w:insideV w:val="nil"/>
            </w:tcBorders>
            <w:vAlign w:val="center"/>
          </w:tcPr>
          <w:p w14:paraId="06C92A40">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79.3%</w:t>
            </w:r>
          </w:p>
        </w:tc>
      </w:tr>
      <w:tr w14:paraId="06931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3EF2A698">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Prostate cancer</w:t>
            </w:r>
          </w:p>
        </w:tc>
        <w:tc>
          <w:tcPr>
            <w:tcW w:w="427" w:type="pct"/>
            <w:tcBorders>
              <w:top w:val="nil"/>
              <w:left w:val="nil"/>
              <w:bottom w:val="nil"/>
              <w:right w:val="nil"/>
              <w:insideH w:val="nil"/>
              <w:insideV w:val="nil"/>
            </w:tcBorders>
            <w:vAlign w:val="center"/>
          </w:tcPr>
          <w:p w14:paraId="1F25B4B1">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w:t>
            </w:r>
          </w:p>
        </w:tc>
        <w:tc>
          <w:tcPr>
            <w:tcW w:w="232" w:type="pct"/>
            <w:tcBorders>
              <w:top w:val="nil"/>
              <w:left w:val="nil"/>
              <w:bottom w:val="nil"/>
              <w:right w:val="nil"/>
              <w:insideH w:val="nil"/>
              <w:insideV w:val="nil"/>
            </w:tcBorders>
            <w:vAlign w:val="center"/>
          </w:tcPr>
          <w:p w14:paraId="755A5C1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8</w:t>
            </w:r>
          </w:p>
        </w:tc>
        <w:tc>
          <w:tcPr>
            <w:tcW w:w="674" w:type="pct"/>
            <w:tcBorders>
              <w:top w:val="nil"/>
              <w:left w:val="nil"/>
              <w:bottom w:val="nil"/>
              <w:right w:val="nil"/>
              <w:insideH w:val="nil"/>
              <w:insideV w:val="nil"/>
            </w:tcBorders>
            <w:vAlign w:val="center"/>
          </w:tcPr>
          <w:p w14:paraId="2ECA38CF">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6</w:t>
            </w:r>
          </w:p>
        </w:tc>
        <w:tc>
          <w:tcPr>
            <w:tcW w:w="797" w:type="pct"/>
            <w:tcBorders>
              <w:top w:val="nil"/>
              <w:left w:val="nil"/>
              <w:bottom w:val="nil"/>
              <w:right w:val="nil"/>
              <w:insideH w:val="nil"/>
              <w:insideV w:val="nil"/>
            </w:tcBorders>
            <w:vAlign w:val="center"/>
          </w:tcPr>
          <w:p w14:paraId="621C4E69">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75.0%</w:t>
            </w:r>
          </w:p>
        </w:tc>
        <w:tc>
          <w:tcPr>
            <w:tcW w:w="800" w:type="pct"/>
            <w:tcBorders>
              <w:top w:val="nil"/>
              <w:left w:val="nil"/>
              <w:bottom w:val="nil"/>
              <w:right w:val="nil"/>
              <w:insideH w:val="nil"/>
              <w:insideV w:val="nil"/>
            </w:tcBorders>
            <w:vAlign w:val="center"/>
          </w:tcPr>
          <w:p w14:paraId="2BC151A2">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40.9%</w:t>
            </w:r>
          </w:p>
        </w:tc>
        <w:tc>
          <w:tcPr>
            <w:tcW w:w="795" w:type="pct"/>
            <w:tcBorders>
              <w:top w:val="nil"/>
              <w:left w:val="nil"/>
              <w:bottom w:val="nil"/>
              <w:right w:val="nil"/>
              <w:insideH w:val="nil"/>
              <w:insideV w:val="nil"/>
            </w:tcBorders>
            <w:vAlign w:val="center"/>
          </w:tcPr>
          <w:p w14:paraId="427131F8">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92.9%</w:t>
            </w:r>
          </w:p>
        </w:tc>
      </w:tr>
      <w:tr w14:paraId="12E97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5AAF837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Prostate cancer</w:t>
            </w:r>
          </w:p>
        </w:tc>
        <w:tc>
          <w:tcPr>
            <w:tcW w:w="427" w:type="pct"/>
            <w:tcBorders>
              <w:top w:val="nil"/>
              <w:left w:val="nil"/>
              <w:bottom w:val="nil"/>
              <w:right w:val="nil"/>
              <w:insideH w:val="nil"/>
              <w:insideV w:val="nil"/>
            </w:tcBorders>
            <w:vAlign w:val="center"/>
          </w:tcPr>
          <w:p w14:paraId="0F95E663">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II</w:t>
            </w:r>
          </w:p>
        </w:tc>
        <w:tc>
          <w:tcPr>
            <w:tcW w:w="232" w:type="pct"/>
            <w:tcBorders>
              <w:top w:val="nil"/>
              <w:left w:val="nil"/>
              <w:bottom w:val="nil"/>
              <w:right w:val="nil"/>
              <w:insideH w:val="nil"/>
              <w:insideV w:val="nil"/>
            </w:tcBorders>
            <w:vAlign w:val="center"/>
          </w:tcPr>
          <w:p w14:paraId="2BD18FE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7</w:t>
            </w:r>
          </w:p>
        </w:tc>
        <w:tc>
          <w:tcPr>
            <w:tcW w:w="674" w:type="pct"/>
            <w:tcBorders>
              <w:top w:val="nil"/>
              <w:left w:val="nil"/>
              <w:bottom w:val="nil"/>
              <w:right w:val="nil"/>
              <w:insideH w:val="nil"/>
              <w:insideV w:val="nil"/>
            </w:tcBorders>
            <w:vAlign w:val="center"/>
          </w:tcPr>
          <w:p w14:paraId="2C535302">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5</w:t>
            </w:r>
          </w:p>
        </w:tc>
        <w:tc>
          <w:tcPr>
            <w:tcW w:w="797" w:type="pct"/>
            <w:tcBorders>
              <w:top w:val="nil"/>
              <w:left w:val="nil"/>
              <w:bottom w:val="nil"/>
              <w:right w:val="nil"/>
              <w:insideH w:val="nil"/>
              <w:insideV w:val="nil"/>
            </w:tcBorders>
            <w:vAlign w:val="center"/>
          </w:tcPr>
          <w:p w14:paraId="6150103C">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71.4%</w:t>
            </w:r>
          </w:p>
        </w:tc>
        <w:tc>
          <w:tcPr>
            <w:tcW w:w="800" w:type="pct"/>
            <w:tcBorders>
              <w:top w:val="nil"/>
              <w:left w:val="nil"/>
              <w:bottom w:val="nil"/>
              <w:right w:val="nil"/>
              <w:insideH w:val="nil"/>
              <w:insideV w:val="nil"/>
            </w:tcBorders>
            <w:vAlign w:val="center"/>
          </w:tcPr>
          <w:p w14:paraId="7577EF7C">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35.9%</w:t>
            </w:r>
          </w:p>
        </w:tc>
        <w:tc>
          <w:tcPr>
            <w:tcW w:w="795" w:type="pct"/>
            <w:tcBorders>
              <w:top w:val="nil"/>
              <w:left w:val="nil"/>
              <w:bottom w:val="nil"/>
              <w:right w:val="nil"/>
              <w:insideH w:val="nil"/>
              <w:insideV w:val="nil"/>
            </w:tcBorders>
            <w:vAlign w:val="center"/>
          </w:tcPr>
          <w:p w14:paraId="3832EEED">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91.8%</w:t>
            </w:r>
          </w:p>
        </w:tc>
      </w:tr>
      <w:tr w14:paraId="0ADA9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7162776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Prostate cancer</w:t>
            </w:r>
          </w:p>
        </w:tc>
        <w:tc>
          <w:tcPr>
            <w:tcW w:w="427" w:type="pct"/>
            <w:tcBorders>
              <w:top w:val="nil"/>
              <w:left w:val="nil"/>
              <w:bottom w:val="nil"/>
              <w:right w:val="nil"/>
              <w:insideH w:val="nil"/>
              <w:insideV w:val="nil"/>
            </w:tcBorders>
            <w:vAlign w:val="center"/>
          </w:tcPr>
          <w:p w14:paraId="64D19840">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III</w:t>
            </w:r>
          </w:p>
        </w:tc>
        <w:tc>
          <w:tcPr>
            <w:tcW w:w="232" w:type="pct"/>
            <w:tcBorders>
              <w:top w:val="nil"/>
              <w:left w:val="nil"/>
              <w:bottom w:val="nil"/>
              <w:right w:val="nil"/>
              <w:insideH w:val="nil"/>
              <w:insideV w:val="nil"/>
            </w:tcBorders>
            <w:vAlign w:val="center"/>
          </w:tcPr>
          <w:p w14:paraId="2A7AE601">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w:t>
            </w:r>
          </w:p>
        </w:tc>
        <w:tc>
          <w:tcPr>
            <w:tcW w:w="674" w:type="pct"/>
            <w:tcBorders>
              <w:top w:val="nil"/>
              <w:left w:val="nil"/>
              <w:bottom w:val="nil"/>
              <w:right w:val="nil"/>
              <w:insideH w:val="nil"/>
              <w:insideV w:val="nil"/>
            </w:tcBorders>
            <w:vAlign w:val="center"/>
          </w:tcPr>
          <w:p w14:paraId="0994C46D">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0</w:t>
            </w:r>
          </w:p>
        </w:tc>
        <w:tc>
          <w:tcPr>
            <w:tcW w:w="797" w:type="pct"/>
            <w:tcBorders>
              <w:top w:val="nil"/>
              <w:left w:val="nil"/>
              <w:bottom w:val="nil"/>
              <w:right w:val="nil"/>
              <w:insideH w:val="nil"/>
              <w:insideV w:val="nil"/>
            </w:tcBorders>
            <w:vAlign w:val="center"/>
          </w:tcPr>
          <w:p w14:paraId="6B794BB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0.0%</w:t>
            </w:r>
          </w:p>
        </w:tc>
        <w:tc>
          <w:tcPr>
            <w:tcW w:w="800" w:type="pct"/>
            <w:tcBorders>
              <w:top w:val="nil"/>
              <w:left w:val="nil"/>
              <w:bottom w:val="nil"/>
              <w:right w:val="nil"/>
              <w:insideH w:val="nil"/>
              <w:insideV w:val="nil"/>
            </w:tcBorders>
            <w:vAlign w:val="center"/>
          </w:tcPr>
          <w:p w14:paraId="04D78F82">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0.0%</w:t>
            </w:r>
          </w:p>
        </w:tc>
        <w:tc>
          <w:tcPr>
            <w:tcW w:w="795" w:type="pct"/>
            <w:tcBorders>
              <w:top w:val="nil"/>
              <w:left w:val="nil"/>
              <w:bottom w:val="nil"/>
              <w:right w:val="nil"/>
              <w:insideH w:val="nil"/>
              <w:insideV w:val="nil"/>
            </w:tcBorders>
            <w:vAlign w:val="center"/>
          </w:tcPr>
          <w:p w14:paraId="6AA2C28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79.3%</w:t>
            </w:r>
          </w:p>
        </w:tc>
      </w:tr>
      <w:tr w14:paraId="1C28E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1DB7F464">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Prostate cancer</w:t>
            </w:r>
          </w:p>
        </w:tc>
        <w:tc>
          <w:tcPr>
            <w:tcW w:w="427" w:type="pct"/>
            <w:tcBorders>
              <w:top w:val="nil"/>
              <w:left w:val="nil"/>
              <w:bottom w:val="nil"/>
              <w:right w:val="nil"/>
              <w:insideH w:val="nil"/>
              <w:insideV w:val="nil"/>
            </w:tcBorders>
            <w:vAlign w:val="center"/>
          </w:tcPr>
          <w:p w14:paraId="5E23EF2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IV</w:t>
            </w:r>
          </w:p>
        </w:tc>
        <w:tc>
          <w:tcPr>
            <w:tcW w:w="232" w:type="pct"/>
            <w:tcBorders>
              <w:top w:val="nil"/>
              <w:left w:val="nil"/>
              <w:bottom w:val="nil"/>
              <w:right w:val="nil"/>
              <w:insideH w:val="nil"/>
              <w:insideV w:val="nil"/>
            </w:tcBorders>
            <w:vAlign w:val="center"/>
          </w:tcPr>
          <w:p w14:paraId="20B8A329">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w:t>
            </w:r>
          </w:p>
        </w:tc>
        <w:tc>
          <w:tcPr>
            <w:tcW w:w="674" w:type="pct"/>
            <w:tcBorders>
              <w:top w:val="nil"/>
              <w:left w:val="nil"/>
              <w:bottom w:val="nil"/>
              <w:right w:val="nil"/>
              <w:insideH w:val="nil"/>
              <w:insideV w:val="nil"/>
            </w:tcBorders>
            <w:vAlign w:val="center"/>
          </w:tcPr>
          <w:p w14:paraId="20C300AD">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w:t>
            </w:r>
          </w:p>
        </w:tc>
        <w:tc>
          <w:tcPr>
            <w:tcW w:w="797" w:type="pct"/>
            <w:tcBorders>
              <w:top w:val="nil"/>
              <w:left w:val="nil"/>
              <w:bottom w:val="nil"/>
              <w:right w:val="nil"/>
              <w:insideH w:val="nil"/>
              <w:insideV w:val="nil"/>
            </w:tcBorders>
            <w:vAlign w:val="center"/>
          </w:tcPr>
          <w:p w14:paraId="19B27A1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c>
          <w:tcPr>
            <w:tcW w:w="800" w:type="pct"/>
            <w:tcBorders>
              <w:top w:val="nil"/>
              <w:left w:val="nil"/>
              <w:bottom w:val="nil"/>
              <w:right w:val="nil"/>
              <w:insideH w:val="nil"/>
              <w:insideV w:val="nil"/>
            </w:tcBorders>
            <w:vAlign w:val="center"/>
          </w:tcPr>
          <w:p w14:paraId="5A699A11">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20.7%</w:t>
            </w:r>
          </w:p>
        </w:tc>
        <w:tc>
          <w:tcPr>
            <w:tcW w:w="795" w:type="pct"/>
            <w:tcBorders>
              <w:top w:val="nil"/>
              <w:left w:val="nil"/>
              <w:bottom w:val="nil"/>
              <w:right w:val="nil"/>
              <w:insideH w:val="nil"/>
              <w:insideV w:val="nil"/>
            </w:tcBorders>
            <w:vAlign w:val="center"/>
          </w:tcPr>
          <w:p w14:paraId="57ACCE3C">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r>
      <w:tr w14:paraId="14E90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62E05B8F">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Renal pelvis cancer</w:t>
            </w:r>
          </w:p>
        </w:tc>
        <w:tc>
          <w:tcPr>
            <w:tcW w:w="427" w:type="pct"/>
            <w:tcBorders>
              <w:top w:val="nil"/>
              <w:left w:val="nil"/>
              <w:bottom w:val="nil"/>
              <w:right w:val="nil"/>
              <w:insideH w:val="nil"/>
              <w:insideV w:val="nil"/>
            </w:tcBorders>
            <w:vAlign w:val="center"/>
          </w:tcPr>
          <w:p w14:paraId="23567464">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w:t>
            </w:r>
          </w:p>
        </w:tc>
        <w:tc>
          <w:tcPr>
            <w:tcW w:w="232" w:type="pct"/>
            <w:tcBorders>
              <w:top w:val="nil"/>
              <w:left w:val="nil"/>
              <w:bottom w:val="nil"/>
              <w:right w:val="nil"/>
              <w:insideH w:val="nil"/>
              <w:insideV w:val="nil"/>
            </w:tcBorders>
            <w:vAlign w:val="center"/>
          </w:tcPr>
          <w:p w14:paraId="710152C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4</w:t>
            </w:r>
          </w:p>
        </w:tc>
        <w:tc>
          <w:tcPr>
            <w:tcW w:w="674" w:type="pct"/>
            <w:tcBorders>
              <w:top w:val="nil"/>
              <w:left w:val="nil"/>
              <w:bottom w:val="nil"/>
              <w:right w:val="nil"/>
              <w:insideH w:val="nil"/>
              <w:insideV w:val="nil"/>
            </w:tcBorders>
            <w:vAlign w:val="center"/>
          </w:tcPr>
          <w:p w14:paraId="3DDCDC1D">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w:t>
            </w:r>
          </w:p>
        </w:tc>
        <w:tc>
          <w:tcPr>
            <w:tcW w:w="797" w:type="pct"/>
            <w:tcBorders>
              <w:top w:val="nil"/>
              <w:left w:val="nil"/>
              <w:bottom w:val="nil"/>
              <w:right w:val="nil"/>
              <w:insideH w:val="nil"/>
              <w:insideV w:val="nil"/>
            </w:tcBorders>
            <w:vAlign w:val="center"/>
          </w:tcPr>
          <w:p w14:paraId="7A2C50C3">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75.0%</w:t>
            </w:r>
          </w:p>
        </w:tc>
        <w:tc>
          <w:tcPr>
            <w:tcW w:w="800" w:type="pct"/>
            <w:tcBorders>
              <w:top w:val="nil"/>
              <w:left w:val="nil"/>
              <w:bottom w:val="nil"/>
              <w:right w:val="nil"/>
              <w:insideH w:val="nil"/>
              <w:insideV w:val="nil"/>
            </w:tcBorders>
            <w:vAlign w:val="center"/>
          </w:tcPr>
          <w:p w14:paraId="7DDA7B0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30.1%</w:t>
            </w:r>
          </w:p>
        </w:tc>
        <w:tc>
          <w:tcPr>
            <w:tcW w:w="795" w:type="pct"/>
            <w:tcBorders>
              <w:top w:val="nil"/>
              <w:left w:val="nil"/>
              <w:bottom w:val="nil"/>
              <w:right w:val="nil"/>
              <w:insideH w:val="nil"/>
              <w:insideV w:val="nil"/>
            </w:tcBorders>
            <w:vAlign w:val="center"/>
          </w:tcPr>
          <w:p w14:paraId="1E04DB65">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95.4%</w:t>
            </w:r>
          </w:p>
        </w:tc>
      </w:tr>
      <w:tr w14:paraId="53659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63456390">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Renal pelvis cancer</w:t>
            </w:r>
          </w:p>
        </w:tc>
        <w:tc>
          <w:tcPr>
            <w:tcW w:w="427" w:type="pct"/>
            <w:tcBorders>
              <w:top w:val="nil"/>
              <w:left w:val="nil"/>
              <w:bottom w:val="nil"/>
              <w:right w:val="nil"/>
              <w:insideH w:val="nil"/>
              <w:insideV w:val="nil"/>
            </w:tcBorders>
            <w:vAlign w:val="center"/>
          </w:tcPr>
          <w:p w14:paraId="061E727B">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II</w:t>
            </w:r>
          </w:p>
        </w:tc>
        <w:tc>
          <w:tcPr>
            <w:tcW w:w="232" w:type="pct"/>
            <w:tcBorders>
              <w:top w:val="nil"/>
              <w:left w:val="nil"/>
              <w:bottom w:val="nil"/>
              <w:right w:val="nil"/>
              <w:insideH w:val="nil"/>
              <w:insideV w:val="nil"/>
            </w:tcBorders>
            <w:vAlign w:val="center"/>
          </w:tcPr>
          <w:p w14:paraId="53BE8567">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5</w:t>
            </w:r>
          </w:p>
        </w:tc>
        <w:tc>
          <w:tcPr>
            <w:tcW w:w="674" w:type="pct"/>
            <w:tcBorders>
              <w:top w:val="nil"/>
              <w:left w:val="nil"/>
              <w:bottom w:val="nil"/>
              <w:right w:val="nil"/>
              <w:insideH w:val="nil"/>
              <w:insideV w:val="nil"/>
            </w:tcBorders>
            <w:vAlign w:val="center"/>
          </w:tcPr>
          <w:p w14:paraId="361FAEB5">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5</w:t>
            </w:r>
          </w:p>
        </w:tc>
        <w:tc>
          <w:tcPr>
            <w:tcW w:w="797" w:type="pct"/>
            <w:tcBorders>
              <w:top w:val="nil"/>
              <w:left w:val="nil"/>
              <w:bottom w:val="nil"/>
              <w:right w:val="nil"/>
              <w:insideH w:val="nil"/>
              <w:insideV w:val="nil"/>
            </w:tcBorders>
            <w:vAlign w:val="center"/>
          </w:tcPr>
          <w:p w14:paraId="5D0EDA6C">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c>
          <w:tcPr>
            <w:tcW w:w="800" w:type="pct"/>
            <w:tcBorders>
              <w:top w:val="nil"/>
              <w:left w:val="nil"/>
              <w:bottom w:val="nil"/>
              <w:right w:val="nil"/>
              <w:insideH w:val="nil"/>
              <w:insideV w:val="nil"/>
            </w:tcBorders>
            <w:vAlign w:val="center"/>
          </w:tcPr>
          <w:p w14:paraId="6DEDF8A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56.6%</w:t>
            </w:r>
          </w:p>
        </w:tc>
        <w:tc>
          <w:tcPr>
            <w:tcW w:w="795" w:type="pct"/>
            <w:tcBorders>
              <w:top w:val="nil"/>
              <w:left w:val="nil"/>
              <w:bottom w:val="nil"/>
              <w:right w:val="nil"/>
              <w:insideH w:val="nil"/>
              <w:insideV w:val="nil"/>
            </w:tcBorders>
            <w:vAlign w:val="center"/>
          </w:tcPr>
          <w:p w14:paraId="43AD2D3D">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r>
      <w:tr w14:paraId="2FBBE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39B8F45B">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Renal pelvis cancer</w:t>
            </w:r>
          </w:p>
        </w:tc>
        <w:tc>
          <w:tcPr>
            <w:tcW w:w="427" w:type="pct"/>
            <w:tcBorders>
              <w:top w:val="nil"/>
              <w:left w:val="nil"/>
              <w:bottom w:val="nil"/>
              <w:right w:val="nil"/>
              <w:insideH w:val="nil"/>
              <w:insideV w:val="nil"/>
            </w:tcBorders>
            <w:vAlign w:val="center"/>
          </w:tcPr>
          <w:p w14:paraId="4A1CA1A3">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III</w:t>
            </w:r>
          </w:p>
        </w:tc>
        <w:tc>
          <w:tcPr>
            <w:tcW w:w="232" w:type="pct"/>
            <w:tcBorders>
              <w:top w:val="nil"/>
              <w:left w:val="nil"/>
              <w:bottom w:val="nil"/>
              <w:right w:val="nil"/>
              <w:insideH w:val="nil"/>
              <w:insideV w:val="nil"/>
            </w:tcBorders>
            <w:vAlign w:val="center"/>
          </w:tcPr>
          <w:p w14:paraId="15E605BB">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6</w:t>
            </w:r>
          </w:p>
        </w:tc>
        <w:tc>
          <w:tcPr>
            <w:tcW w:w="674" w:type="pct"/>
            <w:tcBorders>
              <w:top w:val="nil"/>
              <w:left w:val="nil"/>
              <w:bottom w:val="nil"/>
              <w:right w:val="nil"/>
              <w:insideH w:val="nil"/>
              <w:insideV w:val="nil"/>
            </w:tcBorders>
            <w:vAlign w:val="center"/>
          </w:tcPr>
          <w:p w14:paraId="4BC92B4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6</w:t>
            </w:r>
          </w:p>
        </w:tc>
        <w:tc>
          <w:tcPr>
            <w:tcW w:w="797" w:type="pct"/>
            <w:tcBorders>
              <w:top w:val="nil"/>
              <w:left w:val="nil"/>
              <w:bottom w:val="nil"/>
              <w:right w:val="nil"/>
              <w:insideH w:val="nil"/>
              <w:insideV w:val="nil"/>
            </w:tcBorders>
            <w:vAlign w:val="center"/>
          </w:tcPr>
          <w:p w14:paraId="5F188722">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c>
          <w:tcPr>
            <w:tcW w:w="800" w:type="pct"/>
            <w:tcBorders>
              <w:top w:val="nil"/>
              <w:left w:val="nil"/>
              <w:bottom w:val="nil"/>
              <w:right w:val="nil"/>
              <w:insideH w:val="nil"/>
              <w:insideV w:val="nil"/>
            </w:tcBorders>
            <w:vAlign w:val="center"/>
          </w:tcPr>
          <w:p w14:paraId="255DADA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61.0%</w:t>
            </w:r>
          </w:p>
        </w:tc>
        <w:tc>
          <w:tcPr>
            <w:tcW w:w="795" w:type="pct"/>
            <w:tcBorders>
              <w:top w:val="nil"/>
              <w:left w:val="nil"/>
              <w:bottom w:val="nil"/>
              <w:right w:val="nil"/>
              <w:insideH w:val="nil"/>
              <w:insideV w:val="nil"/>
            </w:tcBorders>
            <w:vAlign w:val="center"/>
          </w:tcPr>
          <w:p w14:paraId="29127069">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r>
      <w:tr w14:paraId="1B122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6042CEE4">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Renal pelvis cancer</w:t>
            </w:r>
          </w:p>
        </w:tc>
        <w:tc>
          <w:tcPr>
            <w:tcW w:w="427" w:type="pct"/>
            <w:tcBorders>
              <w:top w:val="nil"/>
              <w:left w:val="nil"/>
              <w:bottom w:val="nil"/>
              <w:right w:val="nil"/>
              <w:insideH w:val="nil"/>
              <w:insideV w:val="nil"/>
            </w:tcBorders>
            <w:vAlign w:val="center"/>
          </w:tcPr>
          <w:p w14:paraId="0E8F79F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IV</w:t>
            </w:r>
          </w:p>
        </w:tc>
        <w:tc>
          <w:tcPr>
            <w:tcW w:w="232" w:type="pct"/>
            <w:tcBorders>
              <w:top w:val="nil"/>
              <w:left w:val="nil"/>
              <w:bottom w:val="nil"/>
              <w:right w:val="nil"/>
              <w:insideH w:val="nil"/>
              <w:insideV w:val="nil"/>
            </w:tcBorders>
            <w:vAlign w:val="center"/>
          </w:tcPr>
          <w:p w14:paraId="5DD7A8B5">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w:t>
            </w:r>
          </w:p>
        </w:tc>
        <w:tc>
          <w:tcPr>
            <w:tcW w:w="674" w:type="pct"/>
            <w:tcBorders>
              <w:top w:val="nil"/>
              <w:left w:val="nil"/>
              <w:bottom w:val="nil"/>
              <w:right w:val="nil"/>
              <w:insideH w:val="nil"/>
              <w:insideV w:val="nil"/>
            </w:tcBorders>
            <w:vAlign w:val="center"/>
          </w:tcPr>
          <w:p w14:paraId="455B0B6F">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w:t>
            </w:r>
          </w:p>
        </w:tc>
        <w:tc>
          <w:tcPr>
            <w:tcW w:w="797" w:type="pct"/>
            <w:tcBorders>
              <w:top w:val="nil"/>
              <w:left w:val="nil"/>
              <w:bottom w:val="nil"/>
              <w:right w:val="nil"/>
              <w:insideH w:val="nil"/>
              <w:insideV w:val="nil"/>
            </w:tcBorders>
            <w:vAlign w:val="center"/>
          </w:tcPr>
          <w:p w14:paraId="6887B952">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c>
          <w:tcPr>
            <w:tcW w:w="800" w:type="pct"/>
            <w:tcBorders>
              <w:top w:val="nil"/>
              <w:left w:val="nil"/>
              <w:bottom w:val="nil"/>
              <w:right w:val="nil"/>
              <w:insideH w:val="nil"/>
              <w:insideV w:val="nil"/>
            </w:tcBorders>
            <w:vAlign w:val="center"/>
          </w:tcPr>
          <w:p w14:paraId="45816832">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34.2%</w:t>
            </w:r>
          </w:p>
        </w:tc>
        <w:tc>
          <w:tcPr>
            <w:tcW w:w="795" w:type="pct"/>
            <w:tcBorders>
              <w:top w:val="nil"/>
              <w:left w:val="nil"/>
              <w:bottom w:val="nil"/>
              <w:right w:val="nil"/>
              <w:insideH w:val="nil"/>
              <w:insideV w:val="nil"/>
            </w:tcBorders>
            <w:vAlign w:val="center"/>
          </w:tcPr>
          <w:p w14:paraId="6CA8C4F5">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r>
      <w:tr w14:paraId="42F66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323E65EC">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Ureteral cancer</w:t>
            </w:r>
          </w:p>
        </w:tc>
        <w:tc>
          <w:tcPr>
            <w:tcW w:w="427" w:type="pct"/>
            <w:tcBorders>
              <w:top w:val="nil"/>
              <w:left w:val="nil"/>
              <w:bottom w:val="nil"/>
              <w:right w:val="nil"/>
              <w:insideH w:val="nil"/>
              <w:insideV w:val="nil"/>
            </w:tcBorders>
            <w:vAlign w:val="center"/>
          </w:tcPr>
          <w:p w14:paraId="2978D051">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w:t>
            </w:r>
          </w:p>
        </w:tc>
        <w:tc>
          <w:tcPr>
            <w:tcW w:w="232" w:type="pct"/>
            <w:tcBorders>
              <w:top w:val="nil"/>
              <w:left w:val="nil"/>
              <w:bottom w:val="nil"/>
              <w:right w:val="nil"/>
              <w:insideH w:val="nil"/>
              <w:insideV w:val="nil"/>
            </w:tcBorders>
            <w:vAlign w:val="center"/>
          </w:tcPr>
          <w:p w14:paraId="66E672B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w:t>
            </w:r>
          </w:p>
        </w:tc>
        <w:tc>
          <w:tcPr>
            <w:tcW w:w="674" w:type="pct"/>
            <w:tcBorders>
              <w:top w:val="nil"/>
              <w:left w:val="nil"/>
              <w:bottom w:val="nil"/>
              <w:right w:val="nil"/>
              <w:insideH w:val="nil"/>
              <w:insideV w:val="nil"/>
            </w:tcBorders>
            <w:vAlign w:val="center"/>
          </w:tcPr>
          <w:p w14:paraId="7EAF2C54">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w:t>
            </w:r>
          </w:p>
        </w:tc>
        <w:tc>
          <w:tcPr>
            <w:tcW w:w="797" w:type="pct"/>
            <w:tcBorders>
              <w:top w:val="nil"/>
              <w:left w:val="nil"/>
              <w:bottom w:val="nil"/>
              <w:right w:val="nil"/>
              <w:insideH w:val="nil"/>
              <w:insideV w:val="nil"/>
            </w:tcBorders>
            <w:vAlign w:val="center"/>
          </w:tcPr>
          <w:p w14:paraId="0ECDA113">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c>
          <w:tcPr>
            <w:tcW w:w="800" w:type="pct"/>
            <w:tcBorders>
              <w:top w:val="nil"/>
              <w:left w:val="nil"/>
              <w:bottom w:val="nil"/>
              <w:right w:val="nil"/>
              <w:insideH w:val="nil"/>
              <w:insideV w:val="nil"/>
            </w:tcBorders>
            <w:vAlign w:val="center"/>
          </w:tcPr>
          <w:p w14:paraId="62E7695F">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34.2%</w:t>
            </w:r>
          </w:p>
        </w:tc>
        <w:tc>
          <w:tcPr>
            <w:tcW w:w="795" w:type="pct"/>
            <w:tcBorders>
              <w:top w:val="nil"/>
              <w:left w:val="nil"/>
              <w:bottom w:val="nil"/>
              <w:right w:val="nil"/>
              <w:insideH w:val="nil"/>
              <w:insideV w:val="nil"/>
            </w:tcBorders>
            <w:vAlign w:val="center"/>
          </w:tcPr>
          <w:p w14:paraId="309E201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r>
      <w:tr w14:paraId="1BE94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19D1066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Ureteral cancer</w:t>
            </w:r>
          </w:p>
        </w:tc>
        <w:tc>
          <w:tcPr>
            <w:tcW w:w="427" w:type="pct"/>
            <w:tcBorders>
              <w:top w:val="nil"/>
              <w:left w:val="nil"/>
              <w:bottom w:val="nil"/>
              <w:right w:val="nil"/>
              <w:insideH w:val="nil"/>
              <w:insideV w:val="nil"/>
            </w:tcBorders>
            <w:vAlign w:val="center"/>
          </w:tcPr>
          <w:p w14:paraId="228CB801">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II</w:t>
            </w:r>
          </w:p>
        </w:tc>
        <w:tc>
          <w:tcPr>
            <w:tcW w:w="232" w:type="pct"/>
            <w:tcBorders>
              <w:top w:val="nil"/>
              <w:left w:val="nil"/>
              <w:bottom w:val="nil"/>
              <w:right w:val="nil"/>
              <w:insideH w:val="nil"/>
              <w:insideV w:val="nil"/>
            </w:tcBorders>
            <w:vAlign w:val="center"/>
          </w:tcPr>
          <w:p w14:paraId="5EA31118">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w:t>
            </w:r>
          </w:p>
        </w:tc>
        <w:tc>
          <w:tcPr>
            <w:tcW w:w="674" w:type="pct"/>
            <w:tcBorders>
              <w:top w:val="nil"/>
              <w:left w:val="nil"/>
              <w:bottom w:val="nil"/>
              <w:right w:val="nil"/>
              <w:insideH w:val="nil"/>
              <w:insideV w:val="nil"/>
            </w:tcBorders>
            <w:vAlign w:val="center"/>
          </w:tcPr>
          <w:p w14:paraId="31D01BA9">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w:t>
            </w:r>
          </w:p>
        </w:tc>
        <w:tc>
          <w:tcPr>
            <w:tcW w:w="797" w:type="pct"/>
            <w:tcBorders>
              <w:top w:val="nil"/>
              <w:left w:val="nil"/>
              <w:bottom w:val="nil"/>
              <w:right w:val="nil"/>
              <w:insideH w:val="nil"/>
              <w:insideV w:val="nil"/>
            </w:tcBorders>
            <w:vAlign w:val="center"/>
          </w:tcPr>
          <w:p w14:paraId="1CC79567">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c>
          <w:tcPr>
            <w:tcW w:w="800" w:type="pct"/>
            <w:tcBorders>
              <w:top w:val="nil"/>
              <w:left w:val="nil"/>
              <w:bottom w:val="nil"/>
              <w:right w:val="nil"/>
              <w:insideH w:val="nil"/>
              <w:insideV w:val="nil"/>
            </w:tcBorders>
            <w:vAlign w:val="center"/>
          </w:tcPr>
          <w:p w14:paraId="6E9DEC93">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34.2%</w:t>
            </w:r>
          </w:p>
        </w:tc>
        <w:tc>
          <w:tcPr>
            <w:tcW w:w="795" w:type="pct"/>
            <w:tcBorders>
              <w:top w:val="nil"/>
              <w:left w:val="nil"/>
              <w:bottom w:val="nil"/>
              <w:right w:val="nil"/>
              <w:insideH w:val="nil"/>
              <w:insideV w:val="nil"/>
            </w:tcBorders>
            <w:vAlign w:val="center"/>
          </w:tcPr>
          <w:p w14:paraId="3537E9F8">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r>
      <w:tr w14:paraId="170BD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1B75C4DF">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Ureteral cancer</w:t>
            </w:r>
          </w:p>
        </w:tc>
        <w:tc>
          <w:tcPr>
            <w:tcW w:w="427" w:type="pct"/>
            <w:tcBorders>
              <w:top w:val="nil"/>
              <w:left w:val="nil"/>
              <w:bottom w:val="nil"/>
              <w:right w:val="nil"/>
              <w:insideH w:val="nil"/>
              <w:insideV w:val="nil"/>
            </w:tcBorders>
            <w:vAlign w:val="center"/>
          </w:tcPr>
          <w:p w14:paraId="13F13949">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III</w:t>
            </w:r>
          </w:p>
        </w:tc>
        <w:tc>
          <w:tcPr>
            <w:tcW w:w="232" w:type="pct"/>
            <w:tcBorders>
              <w:top w:val="nil"/>
              <w:left w:val="nil"/>
              <w:bottom w:val="nil"/>
              <w:right w:val="nil"/>
              <w:insideH w:val="nil"/>
              <w:insideV w:val="nil"/>
            </w:tcBorders>
            <w:vAlign w:val="center"/>
          </w:tcPr>
          <w:p w14:paraId="4B7A715D">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w:t>
            </w:r>
          </w:p>
        </w:tc>
        <w:tc>
          <w:tcPr>
            <w:tcW w:w="674" w:type="pct"/>
            <w:tcBorders>
              <w:top w:val="nil"/>
              <w:left w:val="nil"/>
              <w:bottom w:val="nil"/>
              <w:right w:val="nil"/>
              <w:insideH w:val="nil"/>
              <w:insideV w:val="nil"/>
            </w:tcBorders>
            <w:vAlign w:val="center"/>
          </w:tcPr>
          <w:p w14:paraId="581BF03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w:t>
            </w:r>
          </w:p>
        </w:tc>
        <w:tc>
          <w:tcPr>
            <w:tcW w:w="797" w:type="pct"/>
            <w:tcBorders>
              <w:top w:val="nil"/>
              <w:left w:val="nil"/>
              <w:bottom w:val="nil"/>
              <w:right w:val="nil"/>
              <w:insideH w:val="nil"/>
              <w:insideV w:val="nil"/>
            </w:tcBorders>
            <w:vAlign w:val="center"/>
          </w:tcPr>
          <w:p w14:paraId="2057875F">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c>
          <w:tcPr>
            <w:tcW w:w="800" w:type="pct"/>
            <w:tcBorders>
              <w:top w:val="nil"/>
              <w:left w:val="nil"/>
              <w:bottom w:val="nil"/>
              <w:right w:val="nil"/>
              <w:insideH w:val="nil"/>
              <w:insideV w:val="nil"/>
            </w:tcBorders>
            <w:vAlign w:val="center"/>
          </w:tcPr>
          <w:p w14:paraId="3D5E7EC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20.7%</w:t>
            </w:r>
          </w:p>
        </w:tc>
        <w:tc>
          <w:tcPr>
            <w:tcW w:w="795" w:type="pct"/>
            <w:tcBorders>
              <w:top w:val="nil"/>
              <w:left w:val="nil"/>
              <w:bottom w:val="nil"/>
              <w:right w:val="nil"/>
              <w:insideH w:val="nil"/>
              <w:insideV w:val="nil"/>
            </w:tcBorders>
            <w:vAlign w:val="center"/>
          </w:tcPr>
          <w:p w14:paraId="100301D1">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r>
      <w:tr w14:paraId="022CE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19411A5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Ureteral cancer</w:t>
            </w:r>
          </w:p>
        </w:tc>
        <w:tc>
          <w:tcPr>
            <w:tcW w:w="427" w:type="pct"/>
            <w:tcBorders>
              <w:top w:val="nil"/>
              <w:left w:val="nil"/>
              <w:bottom w:val="nil"/>
              <w:right w:val="nil"/>
              <w:insideH w:val="nil"/>
              <w:insideV w:val="nil"/>
            </w:tcBorders>
            <w:vAlign w:val="center"/>
          </w:tcPr>
          <w:p w14:paraId="155C14E0">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IV</w:t>
            </w:r>
          </w:p>
        </w:tc>
        <w:tc>
          <w:tcPr>
            <w:tcW w:w="232" w:type="pct"/>
            <w:tcBorders>
              <w:top w:val="nil"/>
              <w:left w:val="nil"/>
              <w:bottom w:val="nil"/>
              <w:right w:val="nil"/>
              <w:insideH w:val="nil"/>
              <w:insideV w:val="nil"/>
            </w:tcBorders>
            <w:vAlign w:val="center"/>
          </w:tcPr>
          <w:p w14:paraId="690D48E8">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w:t>
            </w:r>
          </w:p>
        </w:tc>
        <w:tc>
          <w:tcPr>
            <w:tcW w:w="674" w:type="pct"/>
            <w:tcBorders>
              <w:top w:val="nil"/>
              <w:left w:val="nil"/>
              <w:bottom w:val="nil"/>
              <w:right w:val="nil"/>
              <w:insideH w:val="nil"/>
              <w:insideV w:val="nil"/>
            </w:tcBorders>
            <w:vAlign w:val="center"/>
          </w:tcPr>
          <w:p w14:paraId="4375EE28">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w:t>
            </w:r>
          </w:p>
        </w:tc>
        <w:tc>
          <w:tcPr>
            <w:tcW w:w="797" w:type="pct"/>
            <w:tcBorders>
              <w:top w:val="nil"/>
              <w:left w:val="nil"/>
              <w:bottom w:val="nil"/>
              <w:right w:val="nil"/>
              <w:insideH w:val="nil"/>
              <w:insideV w:val="nil"/>
            </w:tcBorders>
            <w:vAlign w:val="center"/>
          </w:tcPr>
          <w:p w14:paraId="155BF721">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c>
          <w:tcPr>
            <w:tcW w:w="800" w:type="pct"/>
            <w:tcBorders>
              <w:top w:val="nil"/>
              <w:left w:val="nil"/>
              <w:bottom w:val="nil"/>
              <w:right w:val="nil"/>
              <w:insideH w:val="nil"/>
              <w:insideV w:val="nil"/>
            </w:tcBorders>
            <w:vAlign w:val="center"/>
          </w:tcPr>
          <w:p w14:paraId="21E64FD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34.2%</w:t>
            </w:r>
          </w:p>
        </w:tc>
        <w:tc>
          <w:tcPr>
            <w:tcW w:w="795" w:type="pct"/>
            <w:tcBorders>
              <w:top w:val="nil"/>
              <w:left w:val="nil"/>
              <w:bottom w:val="nil"/>
              <w:right w:val="nil"/>
              <w:insideH w:val="nil"/>
              <w:insideV w:val="nil"/>
            </w:tcBorders>
            <w:vAlign w:val="center"/>
          </w:tcPr>
          <w:p w14:paraId="6F072352">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r>
      <w:tr w14:paraId="77855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57914C6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Kidney cancer</w:t>
            </w:r>
          </w:p>
        </w:tc>
        <w:tc>
          <w:tcPr>
            <w:tcW w:w="427" w:type="pct"/>
            <w:tcBorders>
              <w:top w:val="nil"/>
              <w:left w:val="nil"/>
              <w:bottom w:val="nil"/>
              <w:right w:val="nil"/>
              <w:insideH w:val="nil"/>
              <w:insideV w:val="nil"/>
            </w:tcBorders>
            <w:vAlign w:val="center"/>
          </w:tcPr>
          <w:p w14:paraId="6F280F92">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w:t>
            </w:r>
          </w:p>
        </w:tc>
        <w:tc>
          <w:tcPr>
            <w:tcW w:w="232" w:type="pct"/>
            <w:tcBorders>
              <w:top w:val="nil"/>
              <w:left w:val="nil"/>
              <w:bottom w:val="nil"/>
              <w:right w:val="nil"/>
              <w:insideH w:val="nil"/>
              <w:insideV w:val="nil"/>
            </w:tcBorders>
            <w:vAlign w:val="center"/>
          </w:tcPr>
          <w:p w14:paraId="70B1FDEF">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w:t>
            </w:r>
          </w:p>
        </w:tc>
        <w:tc>
          <w:tcPr>
            <w:tcW w:w="674" w:type="pct"/>
            <w:tcBorders>
              <w:top w:val="nil"/>
              <w:left w:val="nil"/>
              <w:bottom w:val="nil"/>
              <w:right w:val="nil"/>
              <w:insideH w:val="nil"/>
              <w:insideV w:val="nil"/>
            </w:tcBorders>
            <w:vAlign w:val="center"/>
          </w:tcPr>
          <w:p w14:paraId="028FA0F3">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w:t>
            </w:r>
          </w:p>
        </w:tc>
        <w:tc>
          <w:tcPr>
            <w:tcW w:w="797" w:type="pct"/>
            <w:tcBorders>
              <w:top w:val="nil"/>
              <w:left w:val="nil"/>
              <w:bottom w:val="nil"/>
              <w:right w:val="nil"/>
              <w:insideH w:val="nil"/>
              <w:insideV w:val="nil"/>
            </w:tcBorders>
            <w:vAlign w:val="center"/>
          </w:tcPr>
          <w:p w14:paraId="2CDB46C1">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c>
          <w:tcPr>
            <w:tcW w:w="800" w:type="pct"/>
            <w:tcBorders>
              <w:top w:val="nil"/>
              <w:left w:val="nil"/>
              <w:bottom w:val="nil"/>
              <w:right w:val="nil"/>
              <w:insideH w:val="nil"/>
              <w:insideV w:val="nil"/>
            </w:tcBorders>
            <w:vAlign w:val="center"/>
          </w:tcPr>
          <w:p w14:paraId="7A933BA1">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43.9%</w:t>
            </w:r>
          </w:p>
        </w:tc>
        <w:tc>
          <w:tcPr>
            <w:tcW w:w="795" w:type="pct"/>
            <w:tcBorders>
              <w:top w:val="nil"/>
              <w:left w:val="nil"/>
              <w:bottom w:val="nil"/>
              <w:right w:val="nil"/>
              <w:insideH w:val="nil"/>
              <w:insideV w:val="nil"/>
            </w:tcBorders>
            <w:vAlign w:val="center"/>
          </w:tcPr>
          <w:p w14:paraId="6ED8F93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r>
      <w:tr w14:paraId="7F4A2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7B67AB27">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Kidney cancer</w:t>
            </w:r>
          </w:p>
        </w:tc>
        <w:tc>
          <w:tcPr>
            <w:tcW w:w="427" w:type="pct"/>
            <w:tcBorders>
              <w:top w:val="nil"/>
              <w:left w:val="nil"/>
              <w:bottom w:val="nil"/>
              <w:right w:val="nil"/>
              <w:insideH w:val="nil"/>
              <w:insideV w:val="nil"/>
            </w:tcBorders>
            <w:vAlign w:val="center"/>
          </w:tcPr>
          <w:p w14:paraId="765B647D">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II</w:t>
            </w:r>
          </w:p>
        </w:tc>
        <w:tc>
          <w:tcPr>
            <w:tcW w:w="232" w:type="pct"/>
            <w:tcBorders>
              <w:top w:val="nil"/>
              <w:left w:val="nil"/>
              <w:bottom w:val="nil"/>
              <w:right w:val="nil"/>
              <w:insideH w:val="nil"/>
              <w:insideV w:val="nil"/>
            </w:tcBorders>
            <w:vAlign w:val="center"/>
          </w:tcPr>
          <w:p w14:paraId="7B5BE085">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w:t>
            </w:r>
          </w:p>
        </w:tc>
        <w:tc>
          <w:tcPr>
            <w:tcW w:w="674" w:type="pct"/>
            <w:tcBorders>
              <w:top w:val="nil"/>
              <w:left w:val="nil"/>
              <w:bottom w:val="nil"/>
              <w:right w:val="nil"/>
              <w:insideH w:val="nil"/>
              <w:insideV w:val="nil"/>
            </w:tcBorders>
            <w:vAlign w:val="center"/>
          </w:tcPr>
          <w:p w14:paraId="69F977CF">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0</w:t>
            </w:r>
          </w:p>
        </w:tc>
        <w:tc>
          <w:tcPr>
            <w:tcW w:w="797" w:type="pct"/>
            <w:tcBorders>
              <w:top w:val="nil"/>
              <w:left w:val="nil"/>
              <w:bottom w:val="nil"/>
              <w:right w:val="nil"/>
              <w:insideH w:val="nil"/>
              <w:insideV w:val="nil"/>
            </w:tcBorders>
            <w:vAlign w:val="center"/>
          </w:tcPr>
          <w:p w14:paraId="70CEF67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0.0%</w:t>
            </w:r>
          </w:p>
        </w:tc>
        <w:tc>
          <w:tcPr>
            <w:tcW w:w="800" w:type="pct"/>
            <w:tcBorders>
              <w:top w:val="nil"/>
              <w:left w:val="nil"/>
              <w:bottom w:val="nil"/>
              <w:right w:val="nil"/>
              <w:insideH w:val="nil"/>
              <w:insideV w:val="nil"/>
            </w:tcBorders>
            <w:vAlign w:val="center"/>
          </w:tcPr>
          <w:p w14:paraId="7B14EB6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0.0%</w:t>
            </w:r>
          </w:p>
        </w:tc>
        <w:tc>
          <w:tcPr>
            <w:tcW w:w="795" w:type="pct"/>
            <w:tcBorders>
              <w:top w:val="nil"/>
              <w:left w:val="nil"/>
              <w:bottom w:val="nil"/>
              <w:right w:val="nil"/>
              <w:insideH w:val="nil"/>
              <w:insideV w:val="nil"/>
            </w:tcBorders>
            <w:vAlign w:val="center"/>
          </w:tcPr>
          <w:p w14:paraId="34E4E83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79.3%</w:t>
            </w:r>
          </w:p>
        </w:tc>
      </w:tr>
      <w:tr w14:paraId="2BC27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3C7D93C7">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Kidney cancer</w:t>
            </w:r>
          </w:p>
        </w:tc>
        <w:tc>
          <w:tcPr>
            <w:tcW w:w="427" w:type="pct"/>
            <w:tcBorders>
              <w:top w:val="nil"/>
              <w:left w:val="nil"/>
              <w:bottom w:val="nil"/>
              <w:right w:val="nil"/>
              <w:insideH w:val="nil"/>
              <w:insideV w:val="nil"/>
            </w:tcBorders>
            <w:vAlign w:val="center"/>
          </w:tcPr>
          <w:p w14:paraId="61F140A9">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III</w:t>
            </w:r>
          </w:p>
        </w:tc>
        <w:tc>
          <w:tcPr>
            <w:tcW w:w="232" w:type="pct"/>
            <w:tcBorders>
              <w:top w:val="nil"/>
              <w:left w:val="nil"/>
              <w:bottom w:val="nil"/>
              <w:right w:val="nil"/>
              <w:insideH w:val="nil"/>
              <w:insideV w:val="nil"/>
            </w:tcBorders>
            <w:vAlign w:val="center"/>
          </w:tcPr>
          <w:p w14:paraId="75275FA2">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w:t>
            </w:r>
          </w:p>
        </w:tc>
        <w:tc>
          <w:tcPr>
            <w:tcW w:w="674" w:type="pct"/>
            <w:tcBorders>
              <w:top w:val="nil"/>
              <w:left w:val="nil"/>
              <w:bottom w:val="nil"/>
              <w:right w:val="nil"/>
              <w:insideH w:val="nil"/>
              <w:insideV w:val="nil"/>
            </w:tcBorders>
            <w:vAlign w:val="center"/>
          </w:tcPr>
          <w:p w14:paraId="7F001F77">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w:t>
            </w:r>
          </w:p>
        </w:tc>
        <w:tc>
          <w:tcPr>
            <w:tcW w:w="797" w:type="pct"/>
            <w:tcBorders>
              <w:top w:val="nil"/>
              <w:left w:val="nil"/>
              <w:bottom w:val="nil"/>
              <w:right w:val="nil"/>
              <w:insideH w:val="nil"/>
              <w:insideV w:val="nil"/>
            </w:tcBorders>
            <w:vAlign w:val="center"/>
          </w:tcPr>
          <w:p w14:paraId="27C8CA24">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c>
          <w:tcPr>
            <w:tcW w:w="800" w:type="pct"/>
            <w:tcBorders>
              <w:top w:val="nil"/>
              <w:left w:val="nil"/>
              <w:bottom w:val="nil"/>
              <w:right w:val="nil"/>
              <w:insideH w:val="nil"/>
              <w:insideV w:val="nil"/>
            </w:tcBorders>
            <w:vAlign w:val="center"/>
          </w:tcPr>
          <w:p w14:paraId="34E04EB4">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20.7%</w:t>
            </w:r>
          </w:p>
        </w:tc>
        <w:tc>
          <w:tcPr>
            <w:tcW w:w="795" w:type="pct"/>
            <w:tcBorders>
              <w:top w:val="nil"/>
              <w:left w:val="nil"/>
              <w:bottom w:val="nil"/>
              <w:right w:val="nil"/>
              <w:insideH w:val="nil"/>
              <w:insideV w:val="nil"/>
            </w:tcBorders>
            <w:vAlign w:val="center"/>
          </w:tcPr>
          <w:p w14:paraId="3726F1B0">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100.0%</w:t>
            </w:r>
          </w:p>
        </w:tc>
      </w:tr>
      <w:tr w14:paraId="69F26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nil"/>
              <w:right w:val="nil"/>
              <w:insideH w:val="nil"/>
              <w:insideV w:val="nil"/>
            </w:tcBorders>
            <w:vAlign w:val="center"/>
          </w:tcPr>
          <w:p w14:paraId="7FCE5F68">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sz w:val="18"/>
              </w:rPr>
              <w:t>Pooled I/II (Early)</w:t>
            </w:r>
          </w:p>
        </w:tc>
        <w:tc>
          <w:tcPr>
            <w:tcW w:w="427" w:type="pct"/>
            <w:tcBorders>
              <w:top w:val="nil"/>
              <w:left w:val="nil"/>
              <w:bottom w:val="nil"/>
              <w:right w:val="nil"/>
              <w:insideH w:val="nil"/>
              <w:insideV w:val="nil"/>
            </w:tcBorders>
            <w:vAlign w:val="center"/>
          </w:tcPr>
          <w:p w14:paraId="036AF44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sz w:val="18"/>
              </w:rPr>
              <w:t>I+II</w:t>
            </w:r>
          </w:p>
        </w:tc>
        <w:tc>
          <w:tcPr>
            <w:tcW w:w="232" w:type="pct"/>
            <w:tcBorders>
              <w:top w:val="nil"/>
              <w:left w:val="nil"/>
              <w:bottom w:val="nil"/>
              <w:right w:val="nil"/>
              <w:insideH w:val="nil"/>
              <w:insideV w:val="nil"/>
            </w:tcBorders>
            <w:vAlign w:val="center"/>
          </w:tcPr>
          <w:p w14:paraId="5FD0E9A7">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sz w:val="18"/>
              </w:rPr>
              <w:t>68</w:t>
            </w:r>
          </w:p>
        </w:tc>
        <w:tc>
          <w:tcPr>
            <w:tcW w:w="674" w:type="pct"/>
            <w:tcBorders>
              <w:top w:val="nil"/>
              <w:left w:val="nil"/>
              <w:bottom w:val="nil"/>
              <w:right w:val="nil"/>
              <w:insideH w:val="nil"/>
              <w:insideV w:val="nil"/>
            </w:tcBorders>
            <w:vAlign w:val="center"/>
          </w:tcPr>
          <w:p w14:paraId="7CC91964">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sz w:val="18"/>
              </w:rPr>
              <w:t>60</w:t>
            </w:r>
          </w:p>
        </w:tc>
        <w:tc>
          <w:tcPr>
            <w:tcW w:w="797" w:type="pct"/>
            <w:tcBorders>
              <w:top w:val="nil"/>
              <w:left w:val="nil"/>
              <w:bottom w:val="nil"/>
              <w:right w:val="nil"/>
              <w:insideH w:val="nil"/>
              <w:insideV w:val="nil"/>
            </w:tcBorders>
            <w:vAlign w:val="center"/>
          </w:tcPr>
          <w:p w14:paraId="50C947A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sz w:val="18"/>
              </w:rPr>
              <w:t>88.2%</w:t>
            </w:r>
          </w:p>
        </w:tc>
        <w:tc>
          <w:tcPr>
            <w:tcW w:w="800" w:type="pct"/>
            <w:tcBorders>
              <w:top w:val="nil"/>
              <w:left w:val="nil"/>
              <w:bottom w:val="nil"/>
              <w:right w:val="nil"/>
              <w:insideH w:val="nil"/>
              <w:insideV w:val="nil"/>
            </w:tcBorders>
            <w:vAlign w:val="center"/>
          </w:tcPr>
          <w:p w14:paraId="524DCB7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sz w:val="18"/>
              </w:rPr>
              <w:t>78.5%</w:t>
            </w:r>
          </w:p>
        </w:tc>
        <w:tc>
          <w:tcPr>
            <w:tcW w:w="795" w:type="pct"/>
            <w:tcBorders>
              <w:top w:val="nil"/>
              <w:left w:val="nil"/>
              <w:bottom w:val="nil"/>
              <w:right w:val="nil"/>
              <w:insideH w:val="nil"/>
              <w:insideV w:val="nil"/>
            </w:tcBorders>
            <w:vAlign w:val="center"/>
          </w:tcPr>
          <w:p w14:paraId="74F119BD">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sz w:val="18"/>
              </w:rPr>
              <w:t>93.9%</w:t>
            </w:r>
          </w:p>
        </w:tc>
      </w:tr>
      <w:tr w14:paraId="5AC1E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2" w:type="pct"/>
            <w:tcBorders>
              <w:top w:val="nil"/>
              <w:left w:val="nil"/>
              <w:bottom w:val="single" w:color="000000" w:sz="12" w:space="0"/>
              <w:right w:val="nil"/>
              <w:insideH w:val="nil"/>
              <w:insideV w:val="nil"/>
            </w:tcBorders>
            <w:vAlign w:val="center"/>
          </w:tcPr>
          <w:p w14:paraId="1C3033E2">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sz w:val="18"/>
              </w:rPr>
              <w:t>Pooled III/IV (Advanced)</w:t>
            </w:r>
          </w:p>
        </w:tc>
        <w:tc>
          <w:tcPr>
            <w:tcW w:w="427" w:type="pct"/>
            <w:tcBorders>
              <w:top w:val="nil"/>
              <w:left w:val="nil"/>
              <w:bottom w:val="single" w:color="000000" w:sz="12" w:space="0"/>
              <w:right w:val="nil"/>
              <w:insideH w:val="nil"/>
              <w:insideV w:val="nil"/>
            </w:tcBorders>
            <w:vAlign w:val="center"/>
          </w:tcPr>
          <w:p w14:paraId="4460058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sz w:val="18"/>
              </w:rPr>
              <w:t>III+IV</w:t>
            </w:r>
          </w:p>
        </w:tc>
        <w:tc>
          <w:tcPr>
            <w:tcW w:w="232" w:type="pct"/>
            <w:tcBorders>
              <w:top w:val="nil"/>
              <w:left w:val="nil"/>
              <w:bottom w:val="single" w:color="000000" w:sz="12" w:space="0"/>
              <w:right w:val="nil"/>
              <w:insideH w:val="nil"/>
              <w:insideV w:val="nil"/>
            </w:tcBorders>
            <w:vAlign w:val="center"/>
          </w:tcPr>
          <w:p w14:paraId="76301AFB">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sz w:val="18"/>
              </w:rPr>
              <w:t>16</w:t>
            </w:r>
          </w:p>
        </w:tc>
        <w:tc>
          <w:tcPr>
            <w:tcW w:w="674" w:type="pct"/>
            <w:tcBorders>
              <w:top w:val="nil"/>
              <w:left w:val="nil"/>
              <w:bottom w:val="single" w:color="000000" w:sz="12" w:space="0"/>
              <w:right w:val="nil"/>
              <w:insideH w:val="nil"/>
              <w:insideV w:val="nil"/>
            </w:tcBorders>
            <w:vAlign w:val="center"/>
          </w:tcPr>
          <w:p w14:paraId="11812ABB">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sz w:val="18"/>
              </w:rPr>
              <w:t>14</w:t>
            </w:r>
          </w:p>
        </w:tc>
        <w:tc>
          <w:tcPr>
            <w:tcW w:w="797" w:type="pct"/>
            <w:tcBorders>
              <w:top w:val="nil"/>
              <w:left w:val="nil"/>
              <w:bottom w:val="single" w:color="000000" w:sz="12" w:space="0"/>
              <w:right w:val="nil"/>
              <w:insideH w:val="nil"/>
              <w:insideV w:val="nil"/>
            </w:tcBorders>
            <w:vAlign w:val="center"/>
          </w:tcPr>
          <w:p w14:paraId="12C71981">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sz w:val="18"/>
              </w:rPr>
              <w:t>87.5%</w:t>
            </w:r>
          </w:p>
        </w:tc>
        <w:tc>
          <w:tcPr>
            <w:tcW w:w="800" w:type="pct"/>
            <w:tcBorders>
              <w:top w:val="nil"/>
              <w:left w:val="nil"/>
              <w:bottom w:val="single" w:color="000000" w:sz="12" w:space="0"/>
              <w:right w:val="nil"/>
              <w:insideH w:val="nil"/>
              <w:insideV w:val="nil"/>
            </w:tcBorders>
            <w:vAlign w:val="center"/>
          </w:tcPr>
          <w:p w14:paraId="57CAC9EF">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sz w:val="18"/>
              </w:rPr>
              <w:t>64.0%</w:t>
            </w:r>
          </w:p>
        </w:tc>
        <w:tc>
          <w:tcPr>
            <w:tcW w:w="795" w:type="pct"/>
            <w:tcBorders>
              <w:top w:val="nil"/>
              <w:left w:val="nil"/>
              <w:bottom w:val="single" w:color="000000" w:sz="12" w:space="0"/>
              <w:right w:val="nil"/>
              <w:insideH w:val="nil"/>
              <w:insideV w:val="nil"/>
            </w:tcBorders>
            <w:vAlign w:val="center"/>
          </w:tcPr>
          <w:p w14:paraId="50C326ED">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sz w:val="18"/>
              </w:rPr>
              <w:t>96.5%</w:t>
            </w:r>
          </w:p>
        </w:tc>
      </w:tr>
    </w:tbl>
    <w:p w14:paraId="34477375">
      <w:pPr>
        <w:spacing w:line="240" w:lineRule="auto"/>
        <w:rPr>
          <w:rFonts w:ascii="Times New Roman" w:hAnsi="Times New Roman"/>
          <w:i/>
          <w:iCs/>
          <w:sz w:val="21"/>
        </w:rPr>
      </w:pPr>
      <w:r>
        <w:rPr>
          <w:rFonts w:ascii="Times New Roman" w:hAnsi="Times New Roman"/>
          <w:i/>
          <w:iCs/>
          <w:sz w:val="21"/>
        </w:rPr>
        <w:t>Note: Sensitivity was calculated using the predefined PUCD &gt;= 2 cutoff derived from the training set. 95% confidence intervals were computed using the Wilson score method. Cancer type-specific and stage-specific estimates should be interpreted with caution due to limited sample sizes, particularly for ureteral cancer (n=7 total), kidney cancer (n=5 total), and individual stage subgroups with small n.</w:t>
      </w:r>
    </w:p>
    <w:p w14:paraId="0B2DB229">
      <w:pPr>
        <w:spacing w:line="240" w:lineRule="auto"/>
        <w:rPr>
          <w:rFonts w:ascii="Times New Roman" w:hAnsi="Times New Roman"/>
          <w:i/>
          <w:iCs/>
          <w:sz w:val="21"/>
          <w:highlight w:val="none"/>
        </w:rPr>
      </w:pPr>
    </w:p>
    <w:p w14:paraId="6D08C20D">
      <w:pPr>
        <w:rPr>
          <w:rFonts w:ascii="Times New Roman" w:hAnsi="Times New Roman" w:cs="Times New Roman"/>
          <w:sz w:val="21"/>
          <w:szCs w:val="21"/>
        </w:rPr>
      </w:pPr>
      <w:r>
        <w:rPr>
          <w:rFonts w:ascii="Times New Roman" w:hAnsi="Times New Roman" w:cs="Times New Roman"/>
          <w:b/>
          <w:sz w:val="21"/>
          <w:szCs w:val="21"/>
        </w:rPr>
        <w:t>Table S</w:t>
      </w:r>
      <w:r>
        <w:rPr>
          <w:rFonts w:hint="eastAsia" w:ascii="Times New Roman" w:hAnsi="Times New Roman" w:cs="Times New Roman"/>
          <w:b/>
          <w:sz w:val="21"/>
          <w:szCs w:val="21"/>
          <w:lang w:val="en-US" w:eastAsia="zh-CN"/>
        </w:rPr>
        <w:t>8</w:t>
      </w:r>
      <w:r>
        <w:rPr>
          <w:rFonts w:ascii="Times New Roman" w:hAnsi="Times New Roman" w:cs="Times New Roman"/>
          <w:b/>
          <w:sz w:val="21"/>
          <w:szCs w:val="21"/>
        </w:rPr>
        <w:t>. Calibration detail for the training and validation sets (logistic calibration)</w:t>
      </w:r>
    </w:p>
    <w:p w14:paraId="3C5C76D6">
      <w:pPr>
        <w:rPr>
          <w:rFonts w:ascii="Times New Roman" w:hAnsi="Times New Roman" w:cs="Times New Roman"/>
          <w:sz w:val="18"/>
          <w:szCs w:val="18"/>
        </w:rPr>
      </w:pPr>
      <w:r>
        <w:rPr>
          <w:rFonts w:ascii="Times New Roman" w:hAnsi="Times New Roman" w:cs="Times New Roman"/>
          <w:sz w:val="21"/>
          <w:szCs w:val="21"/>
        </w:rPr>
        <w:t>In the training set, slope = 1.00 (95% CI: 0.8</w:t>
      </w:r>
      <w:r>
        <w:rPr>
          <w:rFonts w:hint="eastAsia" w:ascii="Times New Roman" w:hAnsi="Times New Roman" w:cs="Times New Roman"/>
          <w:sz w:val="21"/>
          <w:szCs w:val="21"/>
          <w:lang w:val="en-US" w:eastAsia="zh-CN"/>
        </w:rPr>
        <w:t>1</w:t>
      </w:r>
      <w:r>
        <w:rPr>
          <w:rFonts w:ascii="Times New Roman" w:hAnsi="Times New Roman" w:cs="Times New Roman"/>
          <w:sz w:val="21"/>
          <w:szCs w:val="21"/>
        </w:rPr>
        <w:t>–1.2</w:t>
      </w:r>
      <w:r>
        <w:rPr>
          <w:rFonts w:hint="eastAsia" w:ascii="Times New Roman" w:hAnsi="Times New Roman" w:cs="Times New Roman"/>
          <w:sz w:val="21"/>
          <w:szCs w:val="21"/>
          <w:lang w:val="en-US" w:eastAsia="zh-CN"/>
        </w:rPr>
        <w:t>3</w:t>
      </w:r>
      <w:r>
        <w:rPr>
          <w:rFonts w:ascii="Times New Roman" w:hAnsi="Times New Roman" w:cs="Times New Roman"/>
          <w:sz w:val="21"/>
          <w:szCs w:val="21"/>
        </w:rPr>
        <w:t>), intercept = −0.00 (95% CI: −0.3</w:t>
      </w:r>
      <w:r>
        <w:rPr>
          <w:rFonts w:hint="eastAsia" w:ascii="Times New Roman" w:hAnsi="Times New Roman" w:cs="Times New Roman"/>
          <w:sz w:val="21"/>
          <w:szCs w:val="21"/>
          <w:lang w:val="en-US" w:eastAsia="zh-CN"/>
        </w:rPr>
        <w:t>41</w:t>
      </w:r>
      <w:r>
        <w:rPr>
          <w:rFonts w:ascii="Times New Roman" w:hAnsi="Times New Roman" w:cs="Times New Roman"/>
          <w:sz w:val="21"/>
          <w:szCs w:val="21"/>
        </w:rPr>
        <w:t>–0.3</w:t>
      </w:r>
      <w:r>
        <w:rPr>
          <w:rFonts w:hint="eastAsia" w:ascii="Times New Roman" w:hAnsi="Times New Roman" w:cs="Times New Roman"/>
          <w:sz w:val="21"/>
          <w:szCs w:val="21"/>
          <w:lang w:val="en-US" w:eastAsia="zh-CN"/>
        </w:rPr>
        <w:t>55</w:t>
      </w:r>
      <w:r>
        <w:rPr>
          <w:rFonts w:ascii="Times New Roman" w:hAnsi="Times New Roman" w:cs="Times New Roman"/>
          <w:sz w:val="21"/>
          <w:szCs w:val="21"/>
        </w:rPr>
        <w:t>); in the held-out validation set, slope = 0.95 (95% CI: 0.69–1.29), intercept = 0.024 (95% CI: −0.</w:t>
      </w:r>
      <w:r>
        <w:rPr>
          <w:rFonts w:hint="eastAsia" w:ascii="Times New Roman" w:hAnsi="Times New Roman" w:cs="Times New Roman"/>
          <w:sz w:val="21"/>
          <w:szCs w:val="21"/>
          <w:lang w:val="en-US" w:eastAsia="zh-CN"/>
        </w:rPr>
        <w:t>496</w:t>
      </w:r>
      <w:r>
        <w:rPr>
          <w:rFonts w:ascii="Times New Roman" w:hAnsi="Times New Roman" w:cs="Times New Roman"/>
          <w:sz w:val="21"/>
          <w:szCs w:val="21"/>
        </w:rPr>
        <w:t>–0.57</w:t>
      </w:r>
      <w:r>
        <w:rPr>
          <w:rFonts w:hint="eastAsia" w:ascii="Times New Roman" w:hAnsi="Times New Roman" w:cs="Times New Roman"/>
          <w:sz w:val="21"/>
          <w:szCs w:val="21"/>
          <w:lang w:val="en-US" w:eastAsia="zh-CN"/>
        </w:rPr>
        <w:t>2</w:t>
      </w:r>
      <w:r>
        <w:rPr>
          <w:rFonts w:ascii="Times New Roman" w:hAnsi="Times New Roman" w:cs="Times New Roman"/>
          <w:sz w:val="21"/>
          <w:szCs w:val="21"/>
        </w:rPr>
        <w:t>). A slope near 1.0 and intercept near 0 indicate minimal average miscalibration in both sets.</w:t>
      </w:r>
    </w:p>
    <w:tbl>
      <w:tblPr>
        <w:tblStyle w:val="4"/>
        <w:tblW w:w="5000" w:type="pct"/>
        <w:jc w:val="center"/>
        <w:tblLayout w:type="autofit"/>
        <w:tblCellMar>
          <w:top w:w="0" w:type="dxa"/>
          <w:left w:w="108" w:type="dxa"/>
          <w:bottom w:w="0" w:type="dxa"/>
          <w:right w:w="108" w:type="dxa"/>
        </w:tblCellMar>
      </w:tblPr>
      <w:tblGrid>
        <w:gridCol w:w="956"/>
        <w:gridCol w:w="715"/>
        <w:gridCol w:w="405"/>
        <w:gridCol w:w="2189"/>
        <w:gridCol w:w="1993"/>
        <w:gridCol w:w="2264"/>
      </w:tblGrid>
      <w:tr w14:paraId="7C0B91FF">
        <w:tblPrEx>
          <w:tblCellMar>
            <w:top w:w="0" w:type="dxa"/>
            <w:left w:w="108" w:type="dxa"/>
            <w:bottom w:w="0" w:type="dxa"/>
            <w:right w:w="108" w:type="dxa"/>
          </w:tblCellMar>
        </w:tblPrEx>
        <w:trPr>
          <w:trHeight w:val="0" w:hRule="atLeast"/>
          <w:tblHeader/>
          <w:jc w:val="center"/>
        </w:trPr>
        <w:tc>
          <w:tcPr>
            <w:tcW w:w="557"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A6000A3">
            <w:pPr>
              <w:snapToGrid w:val="0"/>
              <w:ind w:left="0" w:leftChars="0" w:right="0" w:rightChars="0" w:firstLine="0" w:firstLineChars="0"/>
              <w:jc w:val="center"/>
              <w:rPr>
                <w:rFonts w:ascii="Times New Roman" w:hAnsi="Times New Roman" w:eastAsia="宋体" w:cs="Times New Roman"/>
                <w:b/>
                <w:sz w:val="18"/>
                <w:szCs w:val="18"/>
              </w:rPr>
            </w:pPr>
            <w:r>
              <w:rPr>
                <w:rFonts w:ascii="Times New Roman" w:hAnsi="Times New Roman" w:eastAsia="宋体" w:cs="Times New Roman"/>
                <w:b/>
                <w:sz w:val="18"/>
                <w:szCs w:val="18"/>
              </w:rPr>
              <w:t>Set</w:t>
            </w:r>
          </w:p>
        </w:tc>
        <w:tc>
          <w:tcPr>
            <w:tcW w:w="420"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5EB6333">
            <w:pPr>
              <w:snapToGrid w:val="0"/>
              <w:ind w:left="0" w:leftChars="0" w:right="0" w:rightChars="0" w:firstLine="0" w:firstLineChars="0"/>
              <w:jc w:val="center"/>
              <w:rPr>
                <w:rFonts w:ascii="Times New Roman" w:hAnsi="Times New Roman" w:eastAsia="宋体" w:cs="Times New Roman"/>
                <w:b/>
                <w:sz w:val="18"/>
                <w:szCs w:val="18"/>
              </w:rPr>
            </w:pPr>
            <w:r>
              <w:rPr>
                <w:rFonts w:ascii="Times New Roman" w:hAnsi="Times New Roman" w:eastAsia="宋体" w:cs="Times New Roman"/>
                <w:b/>
                <w:sz w:val="18"/>
                <w:szCs w:val="18"/>
              </w:rPr>
              <w:t>Decile</w:t>
            </w:r>
          </w:p>
        </w:tc>
        <w:tc>
          <w:tcPr>
            <w:tcW w:w="238"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0FDFB87">
            <w:pPr>
              <w:snapToGrid w:val="0"/>
              <w:ind w:left="0" w:leftChars="0" w:right="0" w:rightChars="0" w:firstLine="0" w:firstLineChars="0"/>
              <w:jc w:val="center"/>
              <w:rPr>
                <w:rFonts w:ascii="Times New Roman" w:hAnsi="Times New Roman" w:eastAsia="宋体" w:cs="Times New Roman"/>
                <w:b/>
                <w:sz w:val="18"/>
                <w:szCs w:val="18"/>
              </w:rPr>
            </w:pPr>
            <w:r>
              <w:rPr>
                <w:rFonts w:ascii="Times New Roman" w:hAnsi="Times New Roman" w:eastAsia="宋体" w:cs="Times New Roman"/>
                <w:b/>
                <w:sz w:val="18"/>
                <w:szCs w:val="18"/>
              </w:rPr>
              <w:t>n</w:t>
            </w:r>
          </w:p>
        </w:tc>
        <w:tc>
          <w:tcPr>
            <w:tcW w:w="1284"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00365F3">
            <w:pPr>
              <w:snapToGrid w:val="0"/>
              <w:ind w:left="0" w:leftChars="0" w:right="0" w:rightChars="0" w:firstLine="0" w:firstLineChars="0"/>
              <w:jc w:val="center"/>
              <w:rPr>
                <w:rFonts w:ascii="Times New Roman" w:hAnsi="Times New Roman" w:eastAsia="宋体" w:cs="Times New Roman"/>
                <w:b/>
                <w:sz w:val="18"/>
                <w:szCs w:val="18"/>
              </w:rPr>
            </w:pPr>
            <w:r>
              <w:rPr>
                <w:rFonts w:ascii="Times New Roman" w:hAnsi="Times New Roman" w:eastAsia="宋体" w:cs="Times New Roman"/>
                <w:b/>
                <w:sz w:val="18"/>
                <w:szCs w:val="18"/>
              </w:rPr>
              <w:t>Mean predicted probability</w:t>
            </w:r>
          </w:p>
        </w:tc>
        <w:tc>
          <w:tcPr>
            <w:tcW w:w="1169"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671071B">
            <w:pPr>
              <w:snapToGrid w:val="0"/>
              <w:ind w:left="0" w:leftChars="0" w:right="0" w:rightChars="0" w:firstLine="0" w:firstLineChars="0"/>
              <w:jc w:val="center"/>
              <w:rPr>
                <w:rFonts w:ascii="Times New Roman" w:hAnsi="Times New Roman" w:eastAsia="宋体" w:cs="Times New Roman"/>
                <w:b/>
                <w:sz w:val="18"/>
                <w:szCs w:val="18"/>
              </w:rPr>
            </w:pPr>
            <w:r>
              <w:rPr>
                <w:rFonts w:ascii="Times New Roman" w:hAnsi="Times New Roman" w:eastAsia="宋体" w:cs="Times New Roman"/>
                <w:b/>
                <w:sz w:val="18"/>
                <w:szCs w:val="18"/>
              </w:rPr>
              <w:t>Observed event fraction</w:t>
            </w:r>
          </w:p>
        </w:tc>
        <w:tc>
          <w:tcPr>
            <w:tcW w:w="1328"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CF01C12">
            <w:pPr>
              <w:snapToGrid w:val="0"/>
              <w:ind w:left="0" w:leftChars="0" w:right="0" w:rightChars="0" w:firstLine="0" w:firstLineChars="0"/>
              <w:jc w:val="center"/>
              <w:rPr>
                <w:rFonts w:ascii="Times New Roman" w:hAnsi="Times New Roman" w:eastAsia="宋体" w:cs="Times New Roman"/>
                <w:b/>
                <w:sz w:val="18"/>
                <w:szCs w:val="18"/>
              </w:rPr>
            </w:pPr>
            <w:r>
              <w:rPr>
                <w:rFonts w:ascii="Times New Roman" w:hAnsi="Times New Roman" w:eastAsia="宋体" w:cs="Times New Roman"/>
                <w:b/>
                <w:sz w:val="18"/>
                <w:szCs w:val="18"/>
              </w:rPr>
              <w:t>Wilson 95% CI for observed</w:t>
            </w:r>
          </w:p>
        </w:tc>
      </w:tr>
      <w:tr w14:paraId="66B4686D">
        <w:tblPrEx>
          <w:tblCellMar>
            <w:top w:w="0" w:type="dxa"/>
            <w:left w:w="108" w:type="dxa"/>
            <w:bottom w:w="0" w:type="dxa"/>
            <w:right w:w="108" w:type="dxa"/>
          </w:tblCellMar>
        </w:tblPrEx>
        <w:trPr>
          <w:trHeight w:val="0" w:hRule="atLeast"/>
          <w:jc w:val="center"/>
        </w:trPr>
        <w:tc>
          <w:tcPr>
            <w:tcW w:w="557" w:type="pct"/>
            <w:tcBorders>
              <w:top w:val="single" w:color="auto" w:sz="4" w:space="0"/>
              <w:left w:val="nil"/>
              <w:bottom w:val="nil"/>
              <w:right w:val="nil"/>
            </w:tcBorders>
            <w:noWrap w:val="0"/>
            <w:tcMar>
              <w:top w:w="-1" w:type="dxa"/>
              <w:left w:w="-1" w:type="dxa"/>
              <w:bottom w:w="-1" w:type="dxa"/>
              <w:right w:w="-1" w:type="dxa"/>
            </w:tcMar>
            <w:vAlign w:val="center"/>
          </w:tcPr>
          <w:p w14:paraId="319BAC50">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Training</w:t>
            </w:r>
          </w:p>
        </w:tc>
        <w:tc>
          <w:tcPr>
            <w:tcW w:w="420" w:type="pct"/>
            <w:tcBorders>
              <w:top w:val="single" w:color="auto" w:sz="4" w:space="0"/>
              <w:left w:val="nil"/>
              <w:bottom w:val="nil"/>
              <w:right w:val="nil"/>
            </w:tcBorders>
            <w:noWrap w:val="0"/>
            <w:tcMar>
              <w:top w:w="-1" w:type="dxa"/>
              <w:left w:w="-1" w:type="dxa"/>
              <w:bottom w:w="-1" w:type="dxa"/>
              <w:right w:w="-1" w:type="dxa"/>
            </w:tcMar>
            <w:vAlign w:val="center"/>
          </w:tcPr>
          <w:p w14:paraId="347E7E1C">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w:t>
            </w:r>
          </w:p>
        </w:tc>
        <w:tc>
          <w:tcPr>
            <w:tcW w:w="238" w:type="pct"/>
            <w:tcBorders>
              <w:top w:val="single" w:color="auto" w:sz="4" w:space="0"/>
              <w:left w:val="nil"/>
              <w:bottom w:val="nil"/>
              <w:right w:val="nil"/>
            </w:tcBorders>
            <w:noWrap w:val="0"/>
            <w:tcMar>
              <w:top w:w="-1" w:type="dxa"/>
              <w:left w:w="-1" w:type="dxa"/>
              <w:bottom w:w="-1" w:type="dxa"/>
              <w:right w:w="-1" w:type="dxa"/>
            </w:tcMar>
            <w:vAlign w:val="center"/>
          </w:tcPr>
          <w:p w14:paraId="4046BE8F">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42</w:t>
            </w:r>
          </w:p>
        </w:tc>
        <w:tc>
          <w:tcPr>
            <w:tcW w:w="1284" w:type="pct"/>
            <w:tcBorders>
              <w:top w:val="single" w:color="auto" w:sz="4" w:space="0"/>
              <w:left w:val="nil"/>
              <w:bottom w:val="nil"/>
              <w:right w:val="nil"/>
            </w:tcBorders>
            <w:noWrap w:val="0"/>
            <w:tcMar>
              <w:top w:w="-1" w:type="dxa"/>
              <w:left w:w="-1" w:type="dxa"/>
              <w:bottom w:w="-1" w:type="dxa"/>
              <w:right w:w="-1" w:type="dxa"/>
            </w:tcMar>
            <w:vAlign w:val="center"/>
          </w:tcPr>
          <w:p w14:paraId="52D50CEA">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0.008</w:t>
            </w:r>
          </w:p>
        </w:tc>
        <w:tc>
          <w:tcPr>
            <w:tcW w:w="1169" w:type="pct"/>
            <w:tcBorders>
              <w:top w:val="single" w:color="auto" w:sz="4" w:space="0"/>
              <w:left w:val="nil"/>
              <w:bottom w:val="nil"/>
              <w:right w:val="nil"/>
            </w:tcBorders>
            <w:noWrap w:val="0"/>
            <w:tcMar>
              <w:top w:w="-1" w:type="dxa"/>
              <w:left w:w="-1" w:type="dxa"/>
              <w:bottom w:w="-1" w:type="dxa"/>
              <w:right w:w="-1" w:type="dxa"/>
            </w:tcMar>
            <w:vAlign w:val="center"/>
          </w:tcPr>
          <w:p w14:paraId="30BA6F8A">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0.024</w:t>
            </w:r>
          </w:p>
        </w:tc>
        <w:tc>
          <w:tcPr>
            <w:tcW w:w="1328" w:type="pct"/>
            <w:tcBorders>
              <w:top w:val="single" w:color="auto" w:sz="4" w:space="0"/>
              <w:left w:val="nil"/>
              <w:bottom w:val="nil"/>
              <w:right w:val="nil"/>
            </w:tcBorders>
            <w:noWrap w:val="0"/>
            <w:tcMar>
              <w:top w:w="-1" w:type="dxa"/>
              <w:left w:w="-1" w:type="dxa"/>
              <w:bottom w:w="-1" w:type="dxa"/>
              <w:right w:w="-1" w:type="dxa"/>
            </w:tcMar>
            <w:vAlign w:val="center"/>
          </w:tcPr>
          <w:p w14:paraId="7D63A145">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0.004–0.123</w:t>
            </w:r>
          </w:p>
        </w:tc>
      </w:tr>
      <w:tr w14:paraId="1890CD36">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02F6F9F5">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Training</w:t>
            </w:r>
          </w:p>
        </w:tc>
        <w:tc>
          <w:tcPr>
            <w:tcW w:w="420" w:type="pct"/>
            <w:tcBorders>
              <w:top w:val="nil"/>
              <w:left w:val="nil"/>
              <w:bottom w:val="nil"/>
              <w:right w:val="nil"/>
            </w:tcBorders>
            <w:noWrap w:val="0"/>
            <w:tcMar>
              <w:top w:w="-1" w:type="dxa"/>
              <w:left w:w="-1" w:type="dxa"/>
              <w:bottom w:w="-1" w:type="dxa"/>
              <w:right w:w="-1" w:type="dxa"/>
            </w:tcMar>
            <w:vAlign w:val="center"/>
          </w:tcPr>
          <w:p w14:paraId="0A13BA0C">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2</w:t>
            </w:r>
          </w:p>
        </w:tc>
        <w:tc>
          <w:tcPr>
            <w:tcW w:w="238" w:type="pct"/>
            <w:tcBorders>
              <w:top w:val="nil"/>
              <w:left w:val="nil"/>
              <w:bottom w:val="nil"/>
              <w:right w:val="nil"/>
            </w:tcBorders>
            <w:noWrap w:val="0"/>
            <w:tcMar>
              <w:top w:w="-1" w:type="dxa"/>
              <w:left w:w="-1" w:type="dxa"/>
              <w:bottom w:w="-1" w:type="dxa"/>
              <w:right w:w="-1" w:type="dxa"/>
            </w:tcMar>
            <w:vAlign w:val="center"/>
          </w:tcPr>
          <w:p w14:paraId="4AA0C0C1">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43</w:t>
            </w:r>
          </w:p>
        </w:tc>
        <w:tc>
          <w:tcPr>
            <w:tcW w:w="1284" w:type="pct"/>
            <w:tcBorders>
              <w:top w:val="nil"/>
              <w:left w:val="nil"/>
              <w:bottom w:val="nil"/>
              <w:right w:val="nil"/>
            </w:tcBorders>
            <w:noWrap w:val="0"/>
            <w:tcMar>
              <w:top w:w="-1" w:type="dxa"/>
              <w:left w:w="-1" w:type="dxa"/>
              <w:bottom w:w="-1" w:type="dxa"/>
              <w:right w:w="-1" w:type="dxa"/>
            </w:tcMar>
            <w:vAlign w:val="center"/>
          </w:tcPr>
          <w:p w14:paraId="5DE19BFB">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0.014</w:t>
            </w:r>
          </w:p>
        </w:tc>
        <w:tc>
          <w:tcPr>
            <w:tcW w:w="1169" w:type="pct"/>
            <w:tcBorders>
              <w:top w:val="nil"/>
              <w:left w:val="nil"/>
              <w:bottom w:val="nil"/>
              <w:right w:val="nil"/>
            </w:tcBorders>
            <w:noWrap w:val="0"/>
            <w:tcMar>
              <w:top w:w="-1" w:type="dxa"/>
              <w:left w:w="-1" w:type="dxa"/>
              <w:bottom w:w="-1" w:type="dxa"/>
              <w:right w:w="-1" w:type="dxa"/>
            </w:tcMar>
            <w:vAlign w:val="center"/>
          </w:tcPr>
          <w:p w14:paraId="17AB8693">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0.047</w:t>
            </w:r>
          </w:p>
        </w:tc>
        <w:tc>
          <w:tcPr>
            <w:tcW w:w="1328" w:type="pct"/>
            <w:tcBorders>
              <w:top w:val="nil"/>
              <w:left w:val="nil"/>
              <w:bottom w:val="nil"/>
              <w:right w:val="nil"/>
            </w:tcBorders>
            <w:noWrap w:val="0"/>
            <w:tcMar>
              <w:top w:w="-1" w:type="dxa"/>
              <w:left w:w="-1" w:type="dxa"/>
              <w:bottom w:w="-1" w:type="dxa"/>
              <w:right w:w="-1" w:type="dxa"/>
            </w:tcMar>
            <w:vAlign w:val="center"/>
          </w:tcPr>
          <w:p w14:paraId="0C40729C">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0.013–0.155</w:t>
            </w:r>
          </w:p>
        </w:tc>
      </w:tr>
      <w:tr w14:paraId="7BD3A355">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0232C7DE">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Training</w:t>
            </w:r>
          </w:p>
        </w:tc>
        <w:tc>
          <w:tcPr>
            <w:tcW w:w="420" w:type="pct"/>
            <w:tcBorders>
              <w:top w:val="nil"/>
              <w:left w:val="nil"/>
              <w:bottom w:val="nil"/>
              <w:right w:val="nil"/>
            </w:tcBorders>
            <w:noWrap w:val="0"/>
            <w:tcMar>
              <w:top w:w="-1" w:type="dxa"/>
              <w:left w:w="-1" w:type="dxa"/>
              <w:bottom w:w="-1" w:type="dxa"/>
              <w:right w:w="-1" w:type="dxa"/>
            </w:tcMar>
            <w:vAlign w:val="center"/>
          </w:tcPr>
          <w:p w14:paraId="27565AC5">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3</w:t>
            </w:r>
          </w:p>
        </w:tc>
        <w:tc>
          <w:tcPr>
            <w:tcW w:w="238" w:type="pct"/>
            <w:tcBorders>
              <w:top w:val="nil"/>
              <w:left w:val="nil"/>
              <w:bottom w:val="nil"/>
              <w:right w:val="nil"/>
            </w:tcBorders>
            <w:noWrap w:val="0"/>
            <w:tcMar>
              <w:top w:w="-1" w:type="dxa"/>
              <w:left w:w="-1" w:type="dxa"/>
              <w:bottom w:w="-1" w:type="dxa"/>
              <w:right w:w="-1" w:type="dxa"/>
            </w:tcMar>
            <w:vAlign w:val="center"/>
          </w:tcPr>
          <w:p w14:paraId="67562C35">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42</w:t>
            </w:r>
          </w:p>
        </w:tc>
        <w:tc>
          <w:tcPr>
            <w:tcW w:w="1284" w:type="pct"/>
            <w:tcBorders>
              <w:top w:val="nil"/>
              <w:left w:val="nil"/>
              <w:bottom w:val="nil"/>
              <w:right w:val="nil"/>
            </w:tcBorders>
            <w:noWrap w:val="0"/>
            <w:tcMar>
              <w:top w:w="-1" w:type="dxa"/>
              <w:left w:w="-1" w:type="dxa"/>
              <w:bottom w:w="-1" w:type="dxa"/>
              <w:right w:w="-1" w:type="dxa"/>
            </w:tcMar>
            <w:vAlign w:val="center"/>
          </w:tcPr>
          <w:p w14:paraId="6B6F710C">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0.061</w:t>
            </w:r>
          </w:p>
        </w:tc>
        <w:tc>
          <w:tcPr>
            <w:tcW w:w="1169" w:type="pct"/>
            <w:tcBorders>
              <w:top w:val="nil"/>
              <w:left w:val="nil"/>
              <w:bottom w:val="nil"/>
              <w:right w:val="nil"/>
            </w:tcBorders>
            <w:noWrap w:val="0"/>
            <w:tcMar>
              <w:top w:w="-1" w:type="dxa"/>
              <w:left w:w="-1" w:type="dxa"/>
              <w:bottom w:w="-1" w:type="dxa"/>
              <w:right w:w="-1" w:type="dxa"/>
            </w:tcMar>
            <w:vAlign w:val="center"/>
          </w:tcPr>
          <w:p w14:paraId="6DBBBB28">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0.071</w:t>
            </w:r>
          </w:p>
        </w:tc>
        <w:tc>
          <w:tcPr>
            <w:tcW w:w="1328" w:type="pct"/>
            <w:tcBorders>
              <w:top w:val="nil"/>
              <w:left w:val="nil"/>
              <w:bottom w:val="nil"/>
              <w:right w:val="nil"/>
            </w:tcBorders>
            <w:noWrap w:val="0"/>
            <w:tcMar>
              <w:top w:w="-1" w:type="dxa"/>
              <w:left w:w="-1" w:type="dxa"/>
              <w:bottom w:w="-1" w:type="dxa"/>
              <w:right w:w="-1" w:type="dxa"/>
            </w:tcMar>
            <w:vAlign w:val="center"/>
          </w:tcPr>
          <w:p w14:paraId="4791D859">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0.025–0.190</w:t>
            </w:r>
          </w:p>
        </w:tc>
      </w:tr>
      <w:tr w14:paraId="427670A8">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6A6C1C5B">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Training</w:t>
            </w:r>
          </w:p>
        </w:tc>
        <w:tc>
          <w:tcPr>
            <w:tcW w:w="420" w:type="pct"/>
            <w:tcBorders>
              <w:top w:val="nil"/>
              <w:left w:val="nil"/>
              <w:bottom w:val="nil"/>
              <w:right w:val="nil"/>
            </w:tcBorders>
            <w:noWrap w:val="0"/>
            <w:tcMar>
              <w:top w:w="-1" w:type="dxa"/>
              <w:left w:w="-1" w:type="dxa"/>
              <w:bottom w:w="-1" w:type="dxa"/>
              <w:right w:w="-1" w:type="dxa"/>
            </w:tcMar>
            <w:vAlign w:val="center"/>
          </w:tcPr>
          <w:p w14:paraId="2329C79A">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4</w:t>
            </w:r>
          </w:p>
        </w:tc>
        <w:tc>
          <w:tcPr>
            <w:tcW w:w="238" w:type="pct"/>
            <w:tcBorders>
              <w:top w:val="nil"/>
              <w:left w:val="nil"/>
              <w:bottom w:val="nil"/>
              <w:right w:val="nil"/>
            </w:tcBorders>
            <w:noWrap w:val="0"/>
            <w:tcMar>
              <w:top w:w="-1" w:type="dxa"/>
              <w:left w:w="-1" w:type="dxa"/>
              <w:bottom w:w="-1" w:type="dxa"/>
              <w:right w:w="-1" w:type="dxa"/>
            </w:tcMar>
            <w:vAlign w:val="center"/>
          </w:tcPr>
          <w:p w14:paraId="26374E55">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43</w:t>
            </w:r>
          </w:p>
        </w:tc>
        <w:tc>
          <w:tcPr>
            <w:tcW w:w="1284" w:type="pct"/>
            <w:tcBorders>
              <w:top w:val="nil"/>
              <w:left w:val="nil"/>
              <w:bottom w:val="nil"/>
              <w:right w:val="nil"/>
            </w:tcBorders>
            <w:noWrap w:val="0"/>
            <w:tcMar>
              <w:top w:w="-1" w:type="dxa"/>
              <w:left w:w="-1" w:type="dxa"/>
              <w:bottom w:w="-1" w:type="dxa"/>
              <w:right w:w="-1" w:type="dxa"/>
            </w:tcMar>
            <w:vAlign w:val="center"/>
          </w:tcPr>
          <w:p w14:paraId="647095A7">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0.139</w:t>
            </w:r>
          </w:p>
        </w:tc>
        <w:tc>
          <w:tcPr>
            <w:tcW w:w="1169" w:type="pct"/>
            <w:tcBorders>
              <w:top w:val="nil"/>
              <w:left w:val="nil"/>
              <w:bottom w:val="nil"/>
              <w:right w:val="nil"/>
            </w:tcBorders>
            <w:noWrap w:val="0"/>
            <w:tcMar>
              <w:top w:w="-1" w:type="dxa"/>
              <w:left w:w="-1" w:type="dxa"/>
              <w:bottom w:w="-1" w:type="dxa"/>
              <w:right w:w="-1" w:type="dxa"/>
            </w:tcMar>
            <w:vAlign w:val="center"/>
          </w:tcPr>
          <w:p w14:paraId="2B9010AE">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0.070</w:t>
            </w:r>
          </w:p>
        </w:tc>
        <w:tc>
          <w:tcPr>
            <w:tcW w:w="1328" w:type="pct"/>
            <w:tcBorders>
              <w:top w:val="nil"/>
              <w:left w:val="nil"/>
              <w:bottom w:val="nil"/>
              <w:right w:val="nil"/>
            </w:tcBorders>
            <w:noWrap w:val="0"/>
            <w:tcMar>
              <w:top w:w="-1" w:type="dxa"/>
              <w:left w:w="-1" w:type="dxa"/>
              <w:bottom w:w="-1" w:type="dxa"/>
              <w:right w:w="-1" w:type="dxa"/>
            </w:tcMar>
            <w:vAlign w:val="center"/>
          </w:tcPr>
          <w:p w14:paraId="082256E5">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0.024–0.186</w:t>
            </w:r>
          </w:p>
        </w:tc>
      </w:tr>
      <w:tr w14:paraId="15D523D5">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097430CB">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Training</w:t>
            </w:r>
          </w:p>
        </w:tc>
        <w:tc>
          <w:tcPr>
            <w:tcW w:w="420" w:type="pct"/>
            <w:tcBorders>
              <w:top w:val="nil"/>
              <w:left w:val="nil"/>
              <w:bottom w:val="nil"/>
              <w:right w:val="nil"/>
            </w:tcBorders>
            <w:noWrap w:val="0"/>
            <w:tcMar>
              <w:top w:w="-1" w:type="dxa"/>
              <w:left w:w="-1" w:type="dxa"/>
              <w:bottom w:w="-1" w:type="dxa"/>
              <w:right w:w="-1" w:type="dxa"/>
            </w:tcMar>
            <w:vAlign w:val="center"/>
          </w:tcPr>
          <w:p w14:paraId="66C532F2">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5</w:t>
            </w:r>
          </w:p>
        </w:tc>
        <w:tc>
          <w:tcPr>
            <w:tcW w:w="238" w:type="pct"/>
            <w:tcBorders>
              <w:top w:val="nil"/>
              <w:left w:val="nil"/>
              <w:bottom w:val="nil"/>
              <w:right w:val="nil"/>
            </w:tcBorders>
            <w:noWrap w:val="0"/>
            <w:tcMar>
              <w:top w:w="-1" w:type="dxa"/>
              <w:left w:w="-1" w:type="dxa"/>
              <w:bottom w:w="-1" w:type="dxa"/>
              <w:right w:w="-1" w:type="dxa"/>
            </w:tcMar>
            <w:vAlign w:val="center"/>
          </w:tcPr>
          <w:p w14:paraId="22942F62">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42</w:t>
            </w:r>
          </w:p>
        </w:tc>
        <w:tc>
          <w:tcPr>
            <w:tcW w:w="1284" w:type="pct"/>
            <w:tcBorders>
              <w:top w:val="nil"/>
              <w:left w:val="nil"/>
              <w:bottom w:val="nil"/>
              <w:right w:val="nil"/>
            </w:tcBorders>
            <w:noWrap w:val="0"/>
            <w:tcMar>
              <w:top w:w="-1" w:type="dxa"/>
              <w:left w:w="-1" w:type="dxa"/>
              <w:bottom w:w="-1" w:type="dxa"/>
              <w:right w:w="-1" w:type="dxa"/>
            </w:tcMar>
            <w:vAlign w:val="center"/>
          </w:tcPr>
          <w:p w14:paraId="39A41836">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0.226</w:t>
            </w:r>
          </w:p>
        </w:tc>
        <w:tc>
          <w:tcPr>
            <w:tcW w:w="1169" w:type="pct"/>
            <w:tcBorders>
              <w:top w:val="nil"/>
              <w:left w:val="nil"/>
              <w:bottom w:val="nil"/>
              <w:right w:val="nil"/>
            </w:tcBorders>
            <w:noWrap w:val="0"/>
            <w:tcMar>
              <w:top w:w="-1" w:type="dxa"/>
              <w:left w:w="-1" w:type="dxa"/>
              <w:bottom w:w="-1" w:type="dxa"/>
              <w:right w:w="-1" w:type="dxa"/>
            </w:tcMar>
            <w:vAlign w:val="center"/>
          </w:tcPr>
          <w:p w14:paraId="512260D6">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0.214</w:t>
            </w:r>
          </w:p>
        </w:tc>
        <w:tc>
          <w:tcPr>
            <w:tcW w:w="1328" w:type="pct"/>
            <w:tcBorders>
              <w:top w:val="nil"/>
              <w:left w:val="nil"/>
              <w:bottom w:val="nil"/>
              <w:right w:val="nil"/>
            </w:tcBorders>
            <w:noWrap w:val="0"/>
            <w:tcMar>
              <w:top w:w="-1" w:type="dxa"/>
              <w:left w:w="-1" w:type="dxa"/>
              <w:bottom w:w="-1" w:type="dxa"/>
              <w:right w:w="-1" w:type="dxa"/>
            </w:tcMar>
            <w:vAlign w:val="center"/>
          </w:tcPr>
          <w:p w14:paraId="314EA056">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0.117–0.359</w:t>
            </w:r>
          </w:p>
        </w:tc>
      </w:tr>
      <w:tr w14:paraId="03F9EFB8">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42081DBC">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Training</w:t>
            </w:r>
          </w:p>
        </w:tc>
        <w:tc>
          <w:tcPr>
            <w:tcW w:w="420" w:type="pct"/>
            <w:tcBorders>
              <w:top w:val="nil"/>
              <w:left w:val="nil"/>
              <w:bottom w:val="nil"/>
              <w:right w:val="nil"/>
            </w:tcBorders>
            <w:noWrap w:val="0"/>
            <w:tcMar>
              <w:top w:w="-1" w:type="dxa"/>
              <w:left w:w="-1" w:type="dxa"/>
              <w:bottom w:w="-1" w:type="dxa"/>
              <w:right w:w="-1" w:type="dxa"/>
            </w:tcMar>
            <w:vAlign w:val="center"/>
          </w:tcPr>
          <w:p w14:paraId="75959107">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6</w:t>
            </w:r>
          </w:p>
        </w:tc>
        <w:tc>
          <w:tcPr>
            <w:tcW w:w="238" w:type="pct"/>
            <w:tcBorders>
              <w:top w:val="nil"/>
              <w:left w:val="nil"/>
              <w:bottom w:val="nil"/>
              <w:right w:val="nil"/>
            </w:tcBorders>
            <w:noWrap w:val="0"/>
            <w:tcMar>
              <w:top w:w="-1" w:type="dxa"/>
              <w:left w:w="-1" w:type="dxa"/>
              <w:bottom w:w="-1" w:type="dxa"/>
              <w:right w:w="-1" w:type="dxa"/>
            </w:tcMar>
            <w:vAlign w:val="center"/>
          </w:tcPr>
          <w:p w14:paraId="12B0304A">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43</w:t>
            </w:r>
          </w:p>
        </w:tc>
        <w:tc>
          <w:tcPr>
            <w:tcW w:w="1284" w:type="pct"/>
            <w:tcBorders>
              <w:top w:val="nil"/>
              <w:left w:val="nil"/>
              <w:bottom w:val="nil"/>
              <w:right w:val="nil"/>
            </w:tcBorders>
            <w:noWrap w:val="0"/>
            <w:tcMar>
              <w:top w:w="-1" w:type="dxa"/>
              <w:left w:w="-1" w:type="dxa"/>
              <w:bottom w:w="-1" w:type="dxa"/>
              <w:right w:w="-1" w:type="dxa"/>
            </w:tcMar>
            <w:vAlign w:val="center"/>
          </w:tcPr>
          <w:p w14:paraId="622E0EEA">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0.385</w:t>
            </w:r>
          </w:p>
        </w:tc>
        <w:tc>
          <w:tcPr>
            <w:tcW w:w="1169" w:type="pct"/>
            <w:tcBorders>
              <w:top w:val="nil"/>
              <w:left w:val="nil"/>
              <w:bottom w:val="nil"/>
              <w:right w:val="nil"/>
            </w:tcBorders>
            <w:noWrap w:val="0"/>
            <w:tcMar>
              <w:top w:w="-1" w:type="dxa"/>
              <w:left w:w="-1" w:type="dxa"/>
              <w:bottom w:w="-1" w:type="dxa"/>
              <w:right w:w="-1" w:type="dxa"/>
            </w:tcMar>
            <w:vAlign w:val="center"/>
          </w:tcPr>
          <w:p w14:paraId="07E61742">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0.395</w:t>
            </w:r>
          </w:p>
        </w:tc>
        <w:tc>
          <w:tcPr>
            <w:tcW w:w="1328" w:type="pct"/>
            <w:tcBorders>
              <w:top w:val="nil"/>
              <w:left w:val="nil"/>
              <w:bottom w:val="nil"/>
              <w:right w:val="nil"/>
            </w:tcBorders>
            <w:noWrap w:val="0"/>
            <w:tcMar>
              <w:top w:w="-1" w:type="dxa"/>
              <w:left w:w="-1" w:type="dxa"/>
              <w:bottom w:w="-1" w:type="dxa"/>
              <w:right w:w="-1" w:type="dxa"/>
            </w:tcMar>
            <w:vAlign w:val="center"/>
          </w:tcPr>
          <w:p w14:paraId="5CBC50E0">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0.264–0.544</w:t>
            </w:r>
          </w:p>
        </w:tc>
      </w:tr>
      <w:tr w14:paraId="55A9C438">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327CBFA7">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Training</w:t>
            </w:r>
          </w:p>
        </w:tc>
        <w:tc>
          <w:tcPr>
            <w:tcW w:w="420" w:type="pct"/>
            <w:tcBorders>
              <w:top w:val="nil"/>
              <w:left w:val="nil"/>
              <w:bottom w:val="nil"/>
              <w:right w:val="nil"/>
            </w:tcBorders>
            <w:noWrap w:val="0"/>
            <w:tcMar>
              <w:top w:w="-1" w:type="dxa"/>
              <w:left w:w="-1" w:type="dxa"/>
              <w:bottom w:w="-1" w:type="dxa"/>
              <w:right w:w="-1" w:type="dxa"/>
            </w:tcMar>
            <w:vAlign w:val="center"/>
          </w:tcPr>
          <w:p w14:paraId="7F5BC9C2">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7</w:t>
            </w:r>
          </w:p>
        </w:tc>
        <w:tc>
          <w:tcPr>
            <w:tcW w:w="238" w:type="pct"/>
            <w:tcBorders>
              <w:top w:val="nil"/>
              <w:left w:val="nil"/>
              <w:bottom w:val="nil"/>
              <w:right w:val="nil"/>
            </w:tcBorders>
            <w:noWrap w:val="0"/>
            <w:tcMar>
              <w:top w:w="-1" w:type="dxa"/>
              <w:left w:w="-1" w:type="dxa"/>
              <w:bottom w:w="-1" w:type="dxa"/>
              <w:right w:w="-1" w:type="dxa"/>
            </w:tcMar>
            <w:vAlign w:val="center"/>
          </w:tcPr>
          <w:p w14:paraId="21999E0A">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42</w:t>
            </w:r>
          </w:p>
        </w:tc>
        <w:tc>
          <w:tcPr>
            <w:tcW w:w="1284" w:type="pct"/>
            <w:tcBorders>
              <w:top w:val="nil"/>
              <w:left w:val="nil"/>
              <w:bottom w:val="nil"/>
              <w:right w:val="nil"/>
            </w:tcBorders>
            <w:noWrap w:val="0"/>
            <w:tcMar>
              <w:top w:w="-1" w:type="dxa"/>
              <w:left w:w="-1" w:type="dxa"/>
              <w:bottom w:w="-1" w:type="dxa"/>
              <w:right w:w="-1" w:type="dxa"/>
            </w:tcMar>
            <w:vAlign w:val="center"/>
          </w:tcPr>
          <w:p w14:paraId="0CF52AD7">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0.708</w:t>
            </w:r>
          </w:p>
        </w:tc>
        <w:tc>
          <w:tcPr>
            <w:tcW w:w="1169" w:type="pct"/>
            <w:tcBorders>
              <w:top w:val="nil"/>
              <w:left w:val="nil"/>
              <w:bottom w:val="nil"/>
              <w:right w:val="nil"/>
            </w:tcBorders>
            <w:noWrap w:val="0"/>
            <w:tcMar>
              <w:top w:w="-1" w:type="dxa"/>
              <w:left w:w="-1" w:type="dxa"/>
              <w:bottom w:w="-1" w:type="dxa"/>
              <w:right w:w="-1" w:type="dxa"/>
            </w:tcMar>
            <w:vAlign w:val="center"/>
          </w:tcPr>
          <w:p w14:paraId="30F4B76B">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0.690</w:t>
            </w:r>
          </w:p>
        </w:tc>
        <w:tc>
          <w:tcPr>
            <w:tcW w:w="1328" w:type="pct"/>
            <w:tcBorders>
              <w:top w:val="nil"/>
              <w:left w:val="nil"/>
              <w:bottom w:val="nil"/>
              <w:right w:val="nil"/>
            </w:tcBorders>
            <w:noWrap w:val="0"/>
            <w:tcMar>
              <w:top w:w="-1" w:type="dxa"/>
              <w:left w:w="-1" w:type="dxa"/>
              <w:bottom w:w="-1" w:type="dxa"/>
              <w:right w:w="-1" w:type="dxa"/>
            </w:tcMar>
            <w:vAlign w:val="center"/>
          </w:tcPr>
          <w:p w14:paraId="076B517E">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0.540–0.809</w:t>
            </w:r>
          </w:p>
        </w:tc>
      </w:tr>
      <w:tr w14:paraId="36551A37">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4FB4FAEE">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Training</w:t>
            </w:r>
          </w:p>
        </w:tc>
        <w:tc>
          <w:tcPr>
            <w:tcW w:w="420" w:type="pct"/>
            <w:tcBorders>
              <w:top w:val="nil"/>
              <w:left w:val="nil"/>
              <w:bottom w:val="nil"/>
              <w:right w:val="nil"/>
            </w:tcBorders>
            <w:noWrap w:val="0"/>
            <w:tcMar>
              <w:top w:w="-1" w:type="dxa"/>
              <w:left w:w="-1" w:type="dxa"/>
              <w:bottom w:w="-1" w:type="dxa"/>
              <w:right w:w="-1" w:type="dxa"/>
            </w:tcMar>
            <w:vAlign w:val="center"/>
          </w:tcPr>
          <w:p w14:paraId="3E56AE2C">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8</w:t>
            </w:r>
          </w:p>
        </w:tc>
        <w:tc>
          <w:tcPr>
            <w:tcW w:w="238" w:type="pct"/>
            <w:tcBorders>
              <w:top w:val="nil"/>
              <w:left w:val="nil"/>
              <w:bottom w:val="nil"/>
              <w:right w:val="nil"/>
            </w:tcBorders>
            <w:noWrap w:val="0"/>
            <w:tcMar>
              <w:top w:w="-1" w:type="dxa"/>
              <w:left w:w="-1" w:type="dxa"/>
              <w:bottom w:w="-1" w:type="dxa"/>
              <w:right w:w="-1" w:type="dxa"/>
            </w:tcMar>
            <w:vAlign w:val="center"/>
          </w:tcPr>
          <w:p w14:paraId="36CA2E32">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43</w:t>
            </w:r>
          </w:p>
        </w:tc>
        <w:tc>
          <w:tcPr>
            <w:tcW w:w="1284" w:type="pct"/>
            <w:tcBorders>
              <w:top w:val="nil"/>
              <w:left w:val="nil"/>
              <w:bottom w:val="nil"/>
              <w:right w:val="nil"/>
            </w:tcBorders>
            <w:noWrap w:val="0"/>
            <w:tcMar>
              <w:top w:w="-1" w:type="dxa"/>
              <w:left w:w="-1" w:type="dxa"/>
              <w:bottom w:w="-1" w:type="dxa"/>
              <w:right w:w="-1" w:type="dxa"/>
            </w:tcMar>
            <w:vAlign w:val="center"/>
          </w:tcPr>
          <w:p w14:paraId="42F2ACCA">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0.956</w:t>
            </w:r>
          </w:p>
        </w:tc>
        <w:tc>
          <w:tcPr>
            <w:tcW w:w="1169" w:type="pct"/>
            <w:tcBorders>
              <w:top w:val="nil"/>
              <w:left w:val="nil"/>
              <w:bottom w:val="nil"/>
              <w:right w:val="nil"/>
            </w:tcBorders>
            <w:noWrap w:val="0"/>
            <w:tcMar>
              <w:top w:w="-1" w:type="dxa"/>
              <w:left w:w="-1" w:type="dxa"/>
              <w:bottom w:w="-1" w:type="dxa"/>
              <w:right w:w="-1" w:type="dxa"/>
            </w:tcMar>
            <w:vAlign w:val="center"/>
          </w:tcPr>
          <w:p w14:paraId="67B1D02B">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0.977</w:t>
            </w:r>
          </w:p>
        </w:tc>
        <w:tc>
          <w:tcPr>
            <w:tcW w:w="1328" w:type="pct"/>
            <w:tcBorders>
              <w:top w:val="nil"/>
              <w:left w:val="nil"/>
              <w:bottom w:val="nil"/>
              <w:right w:val="nil"/>
            </w:tcBorders>
            <w:noWrap w:val="0"/>
            <w:tcMar>
              <w:top w:w="-1" w:type="dxa"/>
              <w:left w:w="-1" w:type="dxa"/>
              <w:bottom w:w="-1" w:type="dxa"/>
              <w:right w:w="-1" w:type="dxa"/>
            </w:tcMar>
            <w:vAlign w:val="center"/>
          </w:tcPr>
          <w:p w14:paraId="394C5C9C">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0.879–0.996</w:t>
            </w:r>
          </w:p>
        </w:tc>
      </w:tr>
      <w:tr w14:paraId="50EDB8D0">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000114C4">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Training</w:t>
            </w:r>
          </w:p>
        </w:tc>
        <w:tc>
          <w:tcPr>
            <w:tcW w:w="420" w:type="pct"/>
            <w:tcBorders>
              <w:top w:val="nil"/>
              <w:left w:val="nil"/>
              <w:bottom w:val="nil"/>
              <w:right w:val="nil"/>
            </w:tcBorders>
            <w:noWrap w:val="0"/>
            <w:tcMar>
              <w:top w:w="-1" w:type="dxa"/>
              <w:left w:w="-1" w:type="dxa"/>
              <w:bottom w:w="-1" w:type="dxa"/>
              <w:right w:w="-1" w:type="dxa"/>
            </w:tcMar>
            <w:vAlign w:val="center"/>
          </w:tcPr>
          <w:p w14:paraId="57E96CA6">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9</w:t>
            </w:r>
          </w:p>
        </w:tc>
        <w:tc>
          <w:tcPr>
            <w:tcW w:w="238" w:type="pct"/>
            <w:tcBorders>
              <w:top w:val="nil"/>
              <w:left w:val="nil"/>
              <w:bottom w:val="nil"/>
              <w:right w:val="nil"/>
            </w:tcBorders>
            <w:noWrap w:val="0"/>
            <w:tcMar>
              <w:top w:w="-1" w:type="dxa"/>
              <w:left w:w="-1" w:type="dxa"/>
              <w:bottom w:w="-1" w:type="dxa"/>
              <w:right w:w="-1" w:type="dxa"/>
            </w:tcMar>
            <w:vAlign w:val="center"/>
          </w:tcPr>
          <w:p w14:paraId="30DAD632">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42</w:t>
            </w:r>
          </w:p>
        </w:tc>
        <w:tc>
          <w:tcPr>
            <w:tcW w:w="1284" w:type="pct"/>
            <w:tcBorders>
              <w:top w:val="nil"/>
              <w:left w:val="nil"/>
              <w:bottom w:val="nil"/>
              <w:right w:val="nil"/>
            </w:tcBorders>
            <w:noWrap w:val="0"/>
            <w:tcMar>
              <w:top w:w="-1" w:type="dxa"/>
              <w:left w:w="-1" w:type="dxa"/>
              <w:bottom w:w="-1" w:type="dxa"/>
              <w:right w:w="-1" w:type="dxa"/>
            </w:tcMar>
            <w:vAlign w:val="center"/>
          </w:tcPr>
          <w:p w14:paraId="61672AD2">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0.993</w:t>
            </w:r>
          </w:p>
        </w:tc>
        <w:tc>
          <w:tcPr>
            <w:tcW w:w="1169" w:type="pct"/>
            <w:tcBorders>
              <w:top w:val="nil"/>
              <w:left w:val="nil"/>
              <w:bottom w:val="nil"/>
              <w:right w:val="nil"/>
            </w:tcBorders>
            <w:noWrap w:val="0"/>
            <w:tcMar>
              <w:top w:w="-1" w:type="dxa"/>
              <w:left w:w="-1" w:type="dxa"/>
              <w:bottom w:w="-1" w:type="dxa"/>
              <w:right w:w="-1" w:type="dxa"/>
            </w:tcMar>
            <w:vAlign w:val="center"/>
          </w:tcPr>
          <w:p w14:paraId="6DB12CC6">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1.000</w:t>
            </w:r>
          </w:p>
        </w:tc>
        <w:tc>
          <w:tcPr>
            <w:tcW w:w="1328" w:type="pct"/>
            <w:tcBorders>
              <w:top w:val="nil"/>
              <w:left w:val="nil"/>
              <w:bottom w:val="nil"/>
              <w:right w:val="nil"/>
            </w:tcBorders>
            <w:noWrap w:val="0"/>
            <w:tcMar>
              <w:top w:w="-1" w:type="dxa"/>
              <w:left w:w="-1" w:type="dxa"/>
              <w:bottom w:w="-1" w:type="dxa"/>
              <w:right w:w="-1" w:type="dxa"/>
            </w:tcMar>
            <w:vAlign w:val="center"/>
          </w:tcPr>
          <w:p w14:paraId="730C21C9">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0.916–1.0</w:t>
            </w:r>
          </w:p>
        </w:tc>
      </w:tr>
      <w:tr w14:paraId="37648A85">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3573635C">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Training</w:t>
            </w:r>
          </w:p>
        </w:tc>
        <w:tc>
          <w:tcPr>
            <w:tcW w:w="420" w:type="pct"/>
            <w:tcBorders>
              <w:top w:val="nil"/>
              <w:left w:val="nil"/>
              <w:bottom w:val="nil"/>
              <w:right w:val="nil"/>
            </w:tcBorders>
            <w:noWrap w:val="0"/>
            <w:tcMar>
              <w:top w:w="-1" w:type="dxa"/>
              <w:left w:w="-1" w:type="dxa"/>
              <w:bottom w:w="-1" w:type="dxa"/>
              <w:right w:w="-1" w:type="dxa"/>
            </w:tcMar>
            <w:vAlign w:val="center"/>
          </w:tcPr>
          <w:p w14:paraId="6633F512">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10</w:t>
            </w:r>
          </w:p>
        </w:tc>
        <w:tc>
          <w:tcPr>
            <w:tcW w:w="238" w:type="pct"/>
            <w:tcBorders>
              <w:top w:val="nil"/>
              <w:left w:val="nil"/>
              <w:bottom w:val="nil"/>
              <w:right w:val="nil"/>
            </w:tcBorders>
            <w:noWrap w:val="0"/>
            <w:tcMar>
              <w:top w:w="-1" w:type="dxa"/>
              <w:left w:w="-1" w:type="dxa"/>
              <w:bottom w:w="-1" w:type="dxa"/>
              <w:right w:w="-1" w:type="dxa"/>
            </w:tcMar>
            <w:vAlign w:val="center"/>
          </w:tcPr>
          <w:p w14:paraId="0C822290">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43</w:t>
            </w:r>
          </w:p>
        </w:tc>
        <w:tc>
          <w:tcPr>
            <w:tcW w:w="1284" w:type="pct"/>
            <w:tcBorders>
              <w:top w:val="nil"/>
              <w:left w:val="nil"/>
              <w:bottom w:val="nil"/>
              <w:right w:val="nil"/>
            </w:tcBorders>
            <w:noWrap w:val="0"/>
            <w:tcMar>
              <w:top w:w="-1" w:type="dxa"/>
              <w:left w:w="-1" w:type="dxa"/>
              <w:bottom w:w="-1" w:type="dxa"/>
              <w:right w:w="-1" w:type="dxa"/>
            </w:tcMar>
            <w:vAlign w:val="center"/>
          </w:tcPr>
          <w:p w14:paraId="6D756B7E">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0.998</w:t>
            </w:r>
          </w:p>
        </w:tc>
        <w:tc>
          <w:tcPr>
            <w:tcW w:w="1169" w:type="pct"/>
            <w:tcBorders>
              <w:top w:val="nil"/>
              <w:left w:val="nil"/>
              <w:bottom w:val="nil"/>
              <w:right w:val="nil"/>
            </w:tcBorders>
            <w:noWrap w:val="0"/>
            <w:tcMar>
              <w:top w:w="-1" w:type="dxa"/>
              <w:left w:w="-1" w:type="dxa"/>
              <w:bottom w:w="-1" w:type="dxa"/>
              <w:right w:w="-1" w:type="dxa"/>
            </w:tcMar>
            <w:vAlign w:val="center"/>
          </w:tcPr>
          <w:p w14:paraId="7E8DA60E">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1.000</w:t>
            </w:r>
          </w:p>
        </w:tc>
        <w:tc>
          <w:tcPr>
            <w:tcW w:w="1328" w:type="pct"/>
            <w:tcBorders>
              <w:top w:val="nil"/>
              <w:left w:val="nil"/>
              <w:bottom w:val="nil"/>
              <w:right w:val="nil"/>
            </w:tcBorders>
            <w:noWrap w:val="0"/>
            <w:tcMar>
              <w:top w:w="-1" w:type="dxa"/>
              <w:left w:w="-1" w:type="dxa"/>
              <w:bottom w:w="-1" w:type="dxa"/>
              <w:right w:w="-1" w:type="dxa"/>
            </w:tcMar>
            <w:vAlign w:val="center"/>
          </w:tcPr>
          <w:p w14:paraId="1D4963D4">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0.918–1.0</w:t>
            </w:r>
          </w:p>
        </w:tc>
      </w:tr>
      <w:tr w14:paraId="66075398">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516E61EC">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Validation</w:t>
            </w:r>
          </w:p>
        </w:tc>
        <w:tc>
          <w:tcPr>
            <w:tcW w:w="420" w:type="pct"/>
            <w:tcBorders>
              <w:top w:val="nil"/>
              <w:left w:val="nil"/>
              <w:bottom w:val="nil"/>
              <w:right w:val="nil"/>
            </w:tcBorders>
            <w:noWrap w:val="0"/>
            <w:tcMar>
              <w:top w:w="-1" w:type="dxa"/>
              <w:left w:w="-1" w:type="dxa"/>
              <w:bottom w:w="-1" w:type="dxa"/>
              <w:right w:w="-1" w:type="dxa"/>
            </w:tcMar>
            <w:vAlign w:val="center"/>
          </w:tcPr>
          <w:p w14:paraId="5FDE05EE">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w:t>
            </w:r>
          </w:p>
        </w:tc>
        <w:tc>
          <w:tcPr>
            <w:tcW w:w="238" w:type="pct"/>
            <w:tcBorders>
              <w:top w:val="nil"/>
              <w:left w:val="nil"/>
              <w:bottom w:val="nil"/>
              <w:right w:val="nil"/>
            </w:tcBorders>
            <w:noWrap w:val="0"/>
            <w:tcMar>
              <w:top w:w="-1" w:type="dxa"/>
              <w:left w:w="-1" w:type="dxa"/>
              <w:bottom w:w="-1" w:type="dxa"/>
              <w:right w:w="-1" w:type="dxa"/>
            </w:tcMar>
            <w:vAlign w:val="center"/>
          </w:tcPr>
          <w:p w14:paraId="4D994146">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18</w:t>
            </w:r>
          </w:p>
        </w:tc>
        <w:tc>
          <w:tcPr>
            <w:tcW w:w="1284" w:type="pct"/>
            <w:tcBorders>
              <w:top w:val="nil"/>
              <w:left w:val="nil"/>
              <w:bottom w:val="nil"/>
              <w:right w:val="nil"/>
            </w:tcBorders>
            <w:noWrap w:val="0"/>
            <w:tcMar>
              <w:top w:w="-1" w:type="dxa"/>
              <w:left w:w="-1" w:type="dxa"/>
              <w:bottom w:w="-1" w:type="dxa"/>
              <w:right w:w="-1" w:type="dxa"/>
            </w:tcMar>
            <w:vAlign w:val="center"/>
          </w:tcPr>
          <w:p w14:paraId="170A3022">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0.008</w:t>
            </w:r>
          </w:p>
        </w:tc>
        <w:tc>
          <w:tcPr>
            <w:tcW w:w="1169" w:type="pct"/>
            <w:tcBorders>
              <w:top w:val="nil"/>
              <w:left w:val="nil"/>
              <w:bottom w:val="nil"/>
              <w:right w:val="nil"/>
            </w:tcBorders>
            <w:noWrap w:val="0"/>
            <w:tcMar>
              <w:top w:w="-1" w:type="dxa"/>
              <w:left w:w="-1" w:type="dxa"/>
              <w:bottom w:w="-1" w:type="dxa"/>
              <w:right w:w="-1" w:type="dxa"/>
            </w:tcMar>
            <w:vAlign w:val="center"/>
          </w:tcPr>
          <w:p w14:paraId="4CD82312">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0.000</w:t>
            </w:r>
          </w:p>
        </w:tc>
        <w:tc>
          <w:tcPr>
            <w:tcW w:w="1328" w:type="pct"/>
            <w:tcBorders>
              <w:top w:val="nil"/>
              <w:left w:val="nil"/>
              <w:bottom w:val="nil"/>
              <w:right w:val="nil"/>
            </w:tcBorders>
            <w:noWrap w:val="0"/>
            <w:tcMar>
              <w:top w:w="-1" w:type="dxa"/>
              <w:left w:w="-1" w:type="dxa"/>
              <w:bottom w:w="-1" w:type="dxa"/>
              <w:right w:w="-1" w:type="dxa"/>
            </w:tcMar>
            <w:vAlign w:val="center"/>
          </w:tcPr>
          <w:p w14:paraId="19D096A7">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0.0–0.176</w:t>
            </w:r>
          </w:p>
        </w:tc>
      </w:tr>
      <w:tr w14:paraId="7EC011C1">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48254DB3">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Validation</w:t>
            </w:r>
          </w:p>
        </w:tc>
        <w:tc>
          <w:tcPr>
            <w:tcW w:w="420" w:type="pct"/>
            <w:tcBorders>
              <w:top w:val="nil"/>
              <w:left w:val="nil"/>
              <w:bottom w:val="nil"/>
              <w:right w:val="nil"/>
            </w:tcBorders>
            <w:noWrap w:val="0"/>
            <w:tcMar>
              <w:top w:w="-1" w:type="dxa"/>
              <w:left w:w="-1" w:type="dxa"/>
              <w:bottom w:w="-1" w:type="dxa"/>
              <w:right w:w="-1" w:type="dxa"/>
            </w:tcMar>
            <w:vAlign w:val="center"/>
          </w:tcPr>
          <w:p w14:paraId="0F4366E2">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2</w:t>
            </w:r>
          </w:p>
        </w:tc>
        <w:tc>
          <w:tcPr>
            <w:tcW w:w="238" w:type="pct"/>
            <w:tcBorders>
              <w:top w:val="nil"/>
              <w:left w:val="nil"/>
              <w:bottom w:val="nil"/>
              <w:right w:val="nil"/>
            </w:tcBorders>
            <w:noWrap w:val="0"/>
            <w:tcMar>
              <w:top w:w="-1" w:type="dxa"/>
              <w:left w:w="-1" w:type="dxa"/>
              <w:bottom w:w="-1" w:type="dxa"/>
              <w:right w:w="-1" w:type="dxa"/>
            </w:tcMar>
            <w:vAlign w:val="center"/>
          </w:tcPr>
          <w:p w14:paraId="225AA49C">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18</w:t>
            </w:r>
          </w:p>
        </w:tc>
        <w:tc>
          <w:tcPr>
            <w:tcW w:w="1284" w:type="pct"/>
            <w:tcBorders>
              <w:top w:val="nil"/>
              <w:left w:val="nil"/>
              <w:bottom w:val="nil"/>
              <w:right w:val="nil"/>
            </w:tcBorders>
            <w:noWrap w:val="0"/>
            <w:tcMar>
              <w:top w:w="-1" w:type="dxa"/>
              <w:left w:w="-1" w:type="dxa"/>
              <w:bottom w:w="-1" w:type="dxa"/>
              <w:right w:w="-1" w:type="dxa"/>
            </w:tcMar>
            <w:vAlign w:val="center"/>
          </w:tcPr>
          <w:p w14:paraId="3DFE9D2B">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0.012</w:t>
            </w:r>
          </w:p>
        </w:tc>
        <w:tc>
          <w:tcPr>
            <w:tcW w:w="1169" w:type="pct"/>
            <w:tcBorders>
              <w:top w:val="nil"/>
              <w:left w:val="nil"/>
              <w:bottom w:val="nil"/>
              <w:right w:val="nil"/>
            </w:tcBorders>
            <w:noWrap w:val="0"/>
            <w:tcMar>
              <w:top w:w="-1" w:type="dxa"/>
              <w:left w:w="-1" w:type="dxa"/>
              <w:bottom w:w="-1" w:type="dxa"/>
              <w:right w:w="-1" w:type="dxa"/>
            </w:tcMar>
            <w:vAlign w:val="center"/>
          </w:tcPr>
          <w:p w14:paraId="016CAA9B">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0.167</w:t>
            </w:r>
          </w:p>
        </w:tc>
        <w:tc>
          <w:tcPr>
            <w:tcW w:w="1328" w:type="pct"/>
            <w:tcBorders>
              <w:top w:val="nil"/>
              <w:left w:val="nil"/>
              <w:bottom w:val="nil"/>
              <w:right w:val="nil"/>
            </w:tcBorders>
            <w:noWrap w:val="0"/>
            <w:tcMar>
              <w:top w:w="-1" w:type="dxa"/>
              <w:left w:w="-1" w:type="dxa"/>
              <w:bottom w:w="-1" w:type="dxa"/>
              <w:right w:w="-1" w:type="dxa"/>
            </w:tcMar>
            <w:vAlign w:val="center"/>
          </w:tcPr>
          <w:p w14:paraId="4E42D375">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0.058–0.392</w:t>
            </w:r>
          </w:p>
        </w:tc>
      </w:tr>
      <w:tr w14:paraId="5458CAEF">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3023CE25">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Validation</w:t>
            </w:r>
          </w:p>
        </w:tc>
        <w:tc>
          <w:tcPr>
            <w:tcW w:w="420" w:type="pct"/>
            <w:tcBorders>
              <w:top w:val="nil"/>
              <w:left w:val="nil"/>
              <w:bottom w:val="nil"/>
              <w:right w:val="nil"/>
            </w:tcBorders>
            <w:noWrap w:val="0"/>
            <w:tcMar>
              <w:top w:w="-1" w:type="dxa"/>
              <w:left w:w="-1" w:type="dxa"/>
              <w:bottom w:w="-1" w:type="dxa"/>
              <w:right w:w="-1" w:type="dxa"/>
            </w:tcMar>
            <w:vAlign w:val="center"/>
          </w:tcPr>
          <w:p w14:paraId="5E4795EB">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3</w:t>
            </w:r>
          </w:p>
        </w:tc>
        <w:tc>
          <w:tcPr>
            <w:tcW w:w="238" w:type="pct"/>
            <w:tcBorders>
              <w:top w:val="nil"/>
              <w:left w:val="nil"/>
              <w:bottom w:val="nil"/>
              <w:right w:val="nil"/>
            </w:tcBorders>
            <w:noWrap w:val="0"/>
            <w:tcMar>
              <w:top w:w="-1" w:type="dxa"/>
              <w:left w:w="-1" w:type="dxa"/>
              <w:bottom w:w="-1" w:type="dxa"/>
              <w:right w:w="-1" w:type="dxa"/>
            </w:tcMar>
            <w:vAlign w:val="center"/>
          </w:tcPr>
          <w:p w14:paraId="77B7A0E6">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19</w:t>
            </w:r>
          </w:p>
        </w:tc>
        <w:tc>
          <w:tcPr>
            <w:tcW w:w="1284" w:type="pct"/>
            <w:tcBorders>
              <w:top w:val="nil"/>
              <w:left w:val="nil"/>
              <w:bottom w:val="nil"/>
              <w:right w:val="nil"/>
            </w:tcBorders>
            <w:noWrap w:val="0"/>
            <w:tcMar>
              <w:top w:w="-1" w:type="dxa"/>
              <w:left w:w="-1" w:type="dxa"/>
              <w:bottom w:w="-1" w:type="dxa"/>
              <w:right w:w="-1" w:type="dxa"/>
            </w:tcMar>
            <w:vAlign w:val="center"/>
          </w:tcPr>
          <w:p w14:paraId="00619B2D">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0.037</w:t>
            </w:r>
          </w:p>
        </w:tc>
        <w:tc>
          <w:tcPr>
            <w:tcW w:w="1169" w:type="pct"/>
            <w:tcBorders>
              <w:top w:val="nil"/>
              <w:left w:val="nil"/>
              <w:bottom w:val="nil"/>
              <w:right w:val="nil"/>
            </w:tcBorders>
            <w:noWrap w:val="0"/>
            <w:tcMar>
              <w:top w:w="-1" w:type="dxa"/>
              <w:left w:w="-1" w:type="dxa"/>
              <w:bottom w:w="-1" w:type="dxa"/>
              <w:right w:w="-1" w:type="dxa"/>
            </w:tcMar>
            <w:vAlign w:val="center"/>
          </w:tcPr>
          <w:p w14:paraId="499ABBCC">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0.000</w:t>
            </w:r>
          </w:p>
        </w:tc>
        <w:tc>
          <w:tcPr>
            <w:tcW w:w="1328" w:type="pct"/>
            <w:tcBorders>
              <w:top w:val="nil"/>
              <w:left w:val="nil"/>
              <w:bottom w:val="nil"/>
              <w:right w:val="nil"/>
            </w:tcBorders>
            <w:noWrap w:val="0"/>
            <w:tcMar>
              <w:top w:w="-1" w:type="dxa"/>
              <w:left w:w="-1" w:type="dxa"/>
              <w:bottom w:w="-1" w:type="dxa"/>
              <w:right w:w="-1" w:type="dxa"/>
            </w:tcMar>
            <w:vAlign w:val="center"/>
          </w:tcPr>
          <w:p w14:paraId="4DB922A7">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0.0–0.168</w:t>
            </w:r>
          </w:p>
        </w:tc>
      </w:tr>
      <w:tr w14:paraId="69D3B1CE">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1CAB746F">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Validation</w:t>
            </w:r>
          </w:p>
        </w:tc>
        <w:tc>
          <w:tcPr>
            <w:tcW w:w="420" w:type="pct"/>
            <w:tcBorders>
              <w:top w:val="nil"/>
              <w:left w:val="nil"/>
              <w:bottom w:val="nil"/>
              <w:right w:val="nil"/>
            </w:tcBorders>
            <w:noWrap w:val="0"/>
            <w:tcMar>
              <w:top w:w="-1" w:type="dxa"/>
              <w:left w:w="-1" w:type="dxa"/>
              <w:bottom w:w="-1" w:type="dxa"/>
              <w:right w:w="-1" w:type="dxa"/>
            </w:tcMar>
            <w:vAlign w:val="center"/>
          </w:tcPr>
          <w:p w14:paraId="4E27671B">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4</w:t>
            </w:r>
          </w:p>
        </w:tc>
        <w:tc>
          <w:tcPr>
            <w:tcW w:w="238" w:type="pct"/>
            <w:tcBorders>
              <w:top w:val="nil"/>
              <w:left w:val="nil"/>
              <w:bottom w:val="nil"/>
              <w:right w:val="nil"/>
            </w:tcBorders>
            <w:noWrap w:val="0"/>
            <w:tcMar>
              <w:top w:w="-1" w:type="dxa"/>
              <w:left w:w="-1" w:type="dxa"/>
              <w:bottom w:w="-1" w:type="dxa"/>
              <w:right w:w="-1" w:type="dxa"/>
            </w:tcMar>
            <w:vAlign w:val="center"/>
          </w:tcPr>
          <w:p w14:paraId="7607B63A">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18</w:t>
            </w:r>
          </w:p>
        </w:tc>
        <w:tc>
          <w:tcPr>
            <w:tcW w:w="1284" w:type="pct"/>
            <w:tcBorders>
              <w:top w:val="nil"/>
              <w:left w:val="nil"/>
              <w:bottom w:val="nil"/>
              <w:right w:val="nil"/>
            </w:tcBorders>
            <w:noWrap w:val="0"/>
            <w:tcMar>
              <w:top w:w="-1" w:type="dxa"/>
              <w:left w:w="-1" w:type="dxa"/>
              <w:bottom w:w="-1" w:type="dxa"/>
              <w:right w:w="-1" w:type="dxa"/>
            </w:tcMar>
            <w:vAlign w:val="center"/>
          </w:tcPr>
          <w:p w14:paraId="6AF9A81F">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0.120</w:t>
            </w:r>
          </w:p>
        </w:tc>
        <w:tc>
          <w:tcPr>
            <w:tcW w:w="1169" w:type="pct"/>
            <w:tcBorders>
              <w:top w:val="nil"/>
              <w:left w:val="nil"/>
              <w:bottom w:val="nil"/>
              <w:right w:val="nil"/>
            </w:tcBorders>
            <w:noWrap w:val="0"/>
            <w:tcMar>
              <w:top w:w="-1" w:type="dxa"/>
              <w:left w:w="-1" w:type="dxa"/>
              <w:bottom w:w="-1" w:type="dxa"/>
              <w:right w:w="-1" w:type="dxa"/>
            </w:tcMar>
            <w:vAlign w:val="center"/>
          </w:tcPr>
          <w:p w14:paraId="0FA01BC8">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0.000</w:t>
            </w:r>
          </w:p>
        </w:tc>
        <w:tc>
          <w:tcPr>
            <w:tcW w:w="1328" w:type="pct"/>
            <w:tcBorders>
              <w:top w:val="nil"/>
              <w:left w:val="nil"/>
              <w:bottom w:val="nil"/>
              <w:right w:val="nil"/>
            </w:tcBorders>
            <w:noWrap w:val="0"/>
            <w:tcMar>
              <w:top w:w="-1" w:type="dxa"/>
              <w:left w:w="-1" w:type="dxa"/>
              <w:bottom w:w="-1" w:type="dxa"/>
              <w:right w:w="-1" w:type="dxa"/>
            </w:tcMar>
            <w:vAlign w:val="center"/>
          </w:tcPr>
          <w:p w14:paraId="31717DE7">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0.0–0.176</w:t>
            </w:r>
          </w:p>
        </w:tc>
      </w:tr>
      <w:tr w14:paraId="1FD9EE5F">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19F63E5B">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Validation</w:t>
            </w:r>
          </w:p>
        </w:tc>
        <w:tc>
          <w:tcPr>
            <w:tcW w:w="420" w:type="pct"/>
            <w:tcBorders>
              <w:top w:val="nil"/>
              <w:left w:val="nil"/>
              <w:bottom w:val="nil"/>
              <w:right w:val="nil"/>
            </w:tcBorders>
            <w:noWrap w:val="0"/>
            <w:tcMar>
              <w:top w:w="-1" w:type="dxa"/>
              <w:left w:w="-1" w:type="dxa"/>
              <w:bottom w:w="-1" w:type="dxa"/>
              <w:right w:w="-1" w:type="dxa"/>
            </w:tcMar>
            <w:vAlign w:val="center"/>
          </w:tcPr>
          <w:p w14:paraId="49D6DAE6">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5</w:t>
            </w:r>
          </w:p>
        </w:tc>
        <w:tc>
          <w:tcPr>
            <w:tcW w:w="238" w:type="pct"/>
            <w:tcBorders>
              <w:top w:val="nil"/>
              <w:left w:val="nil"/>
              <w:bottom w:val="nil"/>
              <w:right w:val="nil"/>
            </w:tcBorders>
            <w:noWrap w:val="0"/>
            <w:tcMar>
              <w:top w:w="-1" w:type="dxa"/>
              <w:left w:w="-1" w:type="dxa"/>
              <w:bottom w:w="-1" w:type="dxa"/>
              <w:right w:w="-1" w:type="dxa"/>
            </w:tcMar>
            <w:vAlign w:val="center"/>
          </w:tcPr>
          <w:p w14:paraId="68685021">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19</w:t>
            </w:r>
          </w:p>
        </w:tc>
        <w:tc>
          <w:tcPr>
            <w:tcW w:w="1284" w:type="pct"/>
            <w:tcBorders>
              <w:top w:val="nil"/>
              <w:left w:val="nil"/>
              <w:bottom w:val="nil"/>
              <w:right w:val="nil"/>
            </w:tcBorders>
            <w:noWrap w:val="0"/>
            <w:tcMar>
              <w:top w:w="-1" w:type="dxa"/>
              <w:left w:w="-1" w:type="dxa"/>
              <w:bottom w:w="-1" w:type="dxa"/>
              <w:right w:w="-1" w:type="dxa"/>
            </w:tcMar>
            <w:vAlign w:val="center"/>
          </w:tcPr>
          <w:p w14:paraId="64505ACA">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0.230</w:t>
            </w:r>
          </w:p>
        </w:tc>
        <w:tc>
          <w:tcPr>
            <w:tcW w:w="1169" w:type="pct"/>
            <w:tcBorders>
              <w:top w:val="nil"/>
              <w:left w:val="nil"/>
              <w:bottom w:val="nil"/>
              <w:right w:val="nil"/>
            </w:tcBorders>
            <w:noWrap w:val="0"/>
            <w:tcMar>
              <w:top w:w="-1" w:type="dxa"/>
              <w:left w:w="-1" w:type="dxa"/>
              <w:bottom w:w="-1" w:type="dxa"/>
              <w:right w:w="-1" w:type="dxa"/>
            </w:tcMar>
            <w:vAlign w:val="center"/>
          </w:tcPr>
          <w:p w14:paraId="38BAE3C6">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0.158</w:t>
            </w:r>
          </w:p>
        </w:tc>
        <w:tc>
          <w:tcPr>
            <w:tcW w:w="1328" w:type="pct"/>
            <w:tcBorders>
              <w:top w:val="nil"/>
              <w:left w:val="nil"/>
              <w:bottom w:val="nil"/>
              <w:right w:val="nil"/>
            </w:tcBorders>
            <w:noWrap w:val="0"/>
            <w:tcMar>
              <w:top w:w="-1" w:type="dxa"/>
              <w:left w:w="-1" w:type="dxa"/>
              <w:bottom w:w="-1" w:type="dxa"/>
              <w:right w:w="-1" w:type="dxa"/>
            </w:tcMar>
            <w:vAlign w:val="center"/>
          </w:tcPr>
          <w:p w14:paraId="1E7D0B37">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0.055–0.376</w:t>
            </w:r>
          </w:p>
        </w:tc>
      </w:tr>
      <w:tr w14:paraId="721FD03C">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31E4EDA0">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Validation</w:t>
            </w:r>
          </w:p>
        </w:tc>
        <w:tc>
          <w:tcPr>
            <w:tcW w:w="420" w:type="pct"/>
            <w:tcBorders>
              <w:top w:val="nil"/>
              <w:left w:val="nil"/>
              <w:bottom w:val="nil"/>
              <w:right w:val="nil"/>
            </w:tcBorders>
            <w:noWrap w:val="0"/>
            <w:tcMar>
              <w:top w:w="-1" w:type="dxa"/>
              <w:left w:w="-1" w:type="dxa"/>
              <w:bottom w:w="-1" w:type="dxa"/>
              <w:right w:w="-1" w:type="dxa"/>
            </w:tcMar>
            <w:vAlign w:val="center"/>
          </w:tcPr>
          <w:p w14:paraId="59FD6668">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6</w:t>
            </w:r>
          </w:p>
        </w:tc>
        <w:tc>
          <w:tcPr>
            <w:tcW w:w="238" w:type="pct"/>
            <w:tcBorders>
              <w:top w:val="nil"/>
              <w:left w:val="nil"/>
              <w:bottom w:val="nil"/>
              <w:right w:val="nil"/>
            </w:tcBorders>
            <w:noWrap w:val="0"/>
            <w:tcMar>
              <w:top w:w="-1" w:type="dxa"/>
              <w:left w:w="-1" w:type="dxa"/>
              <w:bottom w:w="-1" w:type="dxa"/>
              <w:right w:w="-1" w:type="dxa"/>
            </w:tcMar>
            <w:vAlign w:val="center"/>
          </w:tcPr>
          <w:p w14:paraId="5EF25A35">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18</w:t>
            </w:r>
          </w:p>
        </w:tc>
        <w:tc>
          <w:tcPr>
            <w:tcW w:w="1284" w:type="pct"/>
            <w:tcBorders>
              <w:top w:val="nil"/>
              <w:left w:val="nil"/>
              <w:bottom w:val="nil"/>
              <w:right w:val="nil"/>
            </w:tcBorders>
            <w:noWrap w:val="0"/>
            <w:tcMar>
              <w:top w:w="-1" w:type="dxa"/>
              <w:left w:w="-1" w:type="dxa"/>
              <w:bottom w:w="-1" w:type="dxa"/>
              <w:right w:w="-1" w:type="dxa"/>
            </w:tcMar>
            <w:vAlign w:val="center"/>
          </w:tcPr>
          <w:p w14:paraId="4D1A0F3E">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0.388</w:t>
            </w:r>
          </w:p>
        </w:tc>
        <w:tc>
          <w:tcPr>
            <w:tcW w:w="1169" w:type="pct"/>
            <w:tcBorders>
              <w:top w:val="nil"/>
              <w:left w:val="nil"/>
              <w:bottom w:val="nil"/>
              <w:right w:val="nil"/>
            </w:tcBorders>
            <w:noWrap w:val="0"/>
            <w:tcMar>
              <w:top w:w="-1" w:type="dxa"/>
              <w:left w:w="-1" w:type="dxa"/>
              <w:bottom w:w="-1" w:type="dxa"/>
              <w:right w:w="-1" w:type="dxa"/>
            </w:tcMar>
            <w:vAlign w:val="center"/>
          </w:tcPr>
          <w:p w14:paraId="46399A3B">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0.500</w:t>
            </w:r>
          </w:p>
        </w:tc>
        <w:tc>
          <w:tcPr>
            <w:tcW w:w="1328" w:type="pct"/>
            <w:tcBorders>
              <w:top w:val="nil"/>
              <w:left w:val="nil"/>
              <w:bottom w:val="nil"/>
              <w:right w:val="nil"/>
            </w:tcBorders>
            <w:noWrap w:val="0"/>
            <w:tcMar>
              <w:top w:w="-1" w:type="dxa"/>
              <w:left w:w="-1" w:type="dxa"/>
              <w:bottom w:w="-1" w:type="dxa"/>
              <w:right w:w="-1" w:type="dxa"/>
            </w:tcMar>
            <w:vAlign w:val="center"/>
          </w:tcPr>
          <w:p w14:paraId="218A8712">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0.290–0.710</w:t>
            </w:r>
          </w:p>
        </w:tc>
      </w:tr>
      <w:tr w14:paraId="265023C9">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402093A3">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Validation</w:t>
            </w:r>
          </w:p>
        </w:tc>
        <w:tc>
          <w:tcPr>
            <w:tcW w:w="420" w:type="pct"/>
            <w:tcBorders>
              <w:top w:val="nil"/>
              <w:left w:val="nil"/>
              <w:bottom w:val="nil"/>
              <w:right w:val="nil"/>
            </w:tcBorders>
            <w:noWrap w:val="0"/>
            <w:tcMar>
              <w:top w:w="-1" w:type="dxa"/>
              <w:left w:w="-1" w:type="dxa"/>
              <w:bottom w:w="-1" w:type="dxa"/>
              <w:right w:w="-1" w:type="dxa"/>
            </w:tcMar>
            <w:vAlign w:val="center"/>
          </w:tcPr>
          <w:p w14:paraId="354A2A91">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7</w:t>
            </w:r>
          </w:p>
        </w:tc>
        <w:tc>
          <w:tcPr>
            <w:tcW w:w="238" w:type="pct"/>
            <w:tcBorders>
              <w:top w:val="nil"/>
              <w:left w:val="nil"/>
              <w:bottom w:val="nil"/>
              <w:right w:val="nil"/>
            </w:tcBorders>
            <w:noWrap w:val="0"/>
            <w:tcMar>
              <w:top w:w="-1" w:type="dxa"/>
              <w:left w:w="-1" w:type="dxa"/>
              <w:bottom w:w="-1" w:type="dxa"/>
              <w:right w:w="-1" w:type="dxa"/>
            </w:tcMar>
            <w:vAlign w:val="center"/>
          </w:tcPr>
          <w:p w14:paraId="057387C1">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18</w:t>
            </w:r>
          </w:p>
        </w:tc>
        <w:tc>
          <w:tcPr>
            <w:tcW w:w="1284" w:type="pct"/>
            <w:tcBorders>
              <w:top w:val="nil"/>
              <w:left w:val="nil"/>
              <w:bottom w:val="nil"/>
              <w:right w:val="nil"/>
            </w:tcBorders>
            <w:noWrap w:val="0"/>
            <w:tcMar>
              <w:top w:w="-1" w:type="dxa"/>
              <w:left w:w="-1" w:type="dxa"/>
              <w:bottom w:w="-1" w:type="dxa"/>
              <w:right w:w="-1" w:type="dxa"/>
            </w:tcMar>
            <w:vAlign w:val="center"/>
          </w:tcPr>
          <w:p w14:paraId="0259A08A">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0.743</w:t>
            </w:r>
          </w:p>
        </w:tc>
        <w:tc>
          <w:tcPr>
            <w:tcW w:w="1169" w:type="pct"/>
            <w:tcBorders>
              <w:top w:val="nil"/>
              <w:left w:val="nil"/>
              <w:bottom w:val="nil"/>
              <w:right w:val="nil"/>
            </w:tcBorders>
            <w:noWrap w:val="0"/>
            <w:tcMar>
              <w:top w:w="-1" w:type="dxa"/>
              <w:left w:w="-1" w:type="dxa"/>
              <w:bottom w:w="-1" w:type="dxa"/>
              <w:right w:w="-1" w:type="dxa"/>
            </w:tcMar>
            <w:vAlign w:val="center"/>
          </w:tcPr>
          <w:p w14:paraId="7B91B380">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0.722</w:t>
            </w:r>
          </w:p>
        </w:tc>
        <w:tc>
          <w:tcPr>
            <w:tcW w:w="1328" w:type="pct"/>
            <w:tcBorders>
              <w:top w:val="nil"/>
              <w:left w:val="nil"/>
              <w:bottom w:val="nil"/>
              <w:right w:val="nil"/>
            </w:tcBorders>
            <w:noWrap w:val="0"/>
            <w:tcMar>
              <w:top w:w="-1" w:type="dxa"/>
              <w:left w:w="-1" w:type="dxa"/>
              <w:bottom w:w="-1" w:type="dxa"/>
              <w:right w:w="-1" w:type="dxa"/>
            </w:tcMar>
            <w:vAlign w:val="center"/>
          </w:tcPr>
          <w:p w14:paraId="3465643C">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0.491–0.875</w:t>
            </w:r>
          </w:p>
        </w:tc>
      </w:tr>
      <w:tr w14:paraId="466A1384">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3E6DAE50">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Validation</w:t>
            </w:r>
          </w:p>
        </w:tc>
        <w:tc>
          <w:tcPr>
            <w:tcW w:w="420" w:type="pct"/>
            <w:tcBorders>
              <w:top w:val="nil"/>
              <w:left w:val="nil"/>
              <w:bottom w:val="nil"/>
              <w:right w:val="nil"/>
            </w:tcBorders>
            <w:noWrap w:val="0"/>
            <w:tcMar>
              <w:top w:w="-1" w:type="dxa"/>
              <w:left w:w="-1" w:type="dxa"/>
              <w:bottom w:w="-1" w:type="dxa"/>
              <w:right w:w="-1" w:type="dxa"/>
            </w:tcMar>
            <w:vAlign w:val="center"/>
          </w:tcPr>
          <w:p w14:paraId="3A270CE1">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8</w:t>
            </w:r>
          </w:p>
        </w:tc>
        <w:tc>
          <w:tcPr>
            <w:tcW w:w="238" w:type="pct"/>
            <w:tcBorders>
              <w:top w:val="nil"/>
              <w:left w:val="nil"/>
              <w:bottom w:val="nil"/>
              <w:right w:val="nil"/>
            </w:tcBorders>
            <w:noWrap w:val="0"/>
            <w:tcMar>
              <w:top w:w="-1" w:type="dxa"/>
              <w:left w:w="-1" w:type="dxa"/>
              <w:bottom w:w="-1" w:type="dxa"/>
              <w:right w:w="-1" w:type="dxa"/>
            </w:tcMar>
            <w:vAlign w:val="center"/>
          </w:tcPr>
          <w:p w14:paraId="199A9D19">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19</w:t>
            </w:r>
          </w:p>
        </w:tc>
        <w:tc>
          <w:tcPr>
            <w:tcW w:w="1284" w:type="pct"/>
            <w:tcBorders>
              <w:top w:val="nil"/>
              <w:left w:val="nil"/>
              <w:bottom w:val="nil"/>
              <w:right w:val="nil"/>
            </w:tcBorders>
            <w:noWrap w:val="0"/>
            <w:tcMar>
              <w:top w:w="-1" w:type="dxa"/>
              <w:left w:w="-1" w:type="dxa"/>
              <w:bottom w:w="-1" w:type="dxa"/>
              <w:right w:w="-1" w:type="dxa"/>
            </w:tcMar>
            <w:vAlign w:val="center"/>
          </w:tcPr>
          <w:p w14:paraId="7D15919E">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0.967</w:t>
            </w:r>
          </w:p>
        </w:tc>
        <w:tc>
          <w:tcPr>
            <w:tcW w:w="1169" w:type="pct"/>
            <w:tcBorders>
              <w:top w:val="nil"/>
              <w:left w:val="nil"/>
              <w:bottom w:val="nil"/>
              <w:right w:val="nil"/>
            </w:tcBorders>
            <w:noWrap w:val="0"/>
            <w:tcMar>
              <w:top w:w="-1" w:type="dxa"/>
              <w:left w:w="-1" w:type="dxa"/>
              <w:bottom w:w="-1" w:type="dxa"/>
              <w:right w:w="-1" w:type="dxa"/>
            </w:tcMar>
            <w:vAlign w:val="center"/>
          </w:tcPr>
          <w:p w14:paraId="1E7BECB6">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1.000</w:t>
            </w:r>
          </w:p>
        </w:tc>
        <w:tc>
          <w:tcPr>
            <w:tcW w:w="1328" w:type="pct"/>
            <w:tcBorders>
              <w:top w:val="nil"/>
              <w:left w:val="nil"/>
              <w:bottom w:val="nil"/>
              <w:right w:val="nil"/>
            </w:tcBorders>
            <w:noWrap w:val="0"/>
            <w:tcMar>
              <w:top w:w="-1" w:type="dxa"/>
              <w:left w:w="-1" w:type="dxa"/>
              <w:bottom w:w="-1" w:type="dxa"/>
              <w:right w:w="-1" w:type="dxa"/>
            </w:tcMar>
            <w:vAlign w:val="center"/>
          </w:tcPr>
          <w:p w14:paraId="7C6124DD">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0.832–1.0</w:t>
            </w:r>
          </w:p>
        </w:tc>
      </w:tr>
      <w:tr w14:paraId="6F7E642E">
        <w:tblPrEx>
          <w:tblCellMar>
            <w:top w:w="0" w:type="dxa"/>
            <w:left w:w="108" w:type="dxa"/>
            <w:bottom w:w="0" w:type="dxa"/>
            <w:right w:w="108" w:type="dxa"/>
          </w:tblCellMar>
        </w:tblPrEx>
        <w:trPr>
          <w:trHeight w:val="0" w:hRule="atLeast"/>
          <w:jc w:val="center"/>
        </w:trPr>
        <w:tc>
          <w:tcPr>
            <w:tcW w:w="557" w:type="pct"/>
            <w:tcBorders>
              <w:top w:val="nil"/>
              <w:left w:val="nil"/>
              <w:bottom w:val="nil"/>
              <w:right w:val="nil"/>
            </w:tcBorders>
            <w:noWrap w:val="0"/>
            <w:tcMar>
              <w:top w:w="-1" w:type="dxa"/>
              <w:left w:w="-1" w:type="dxa"/>
              <w:bottom w:w="-1" w:type="dxa"/>
              <w:right w:w="-1" w:type="dxa"/>
            </w:tcMar>
            <w:vAlign w:val="center"/>
          </w:tcPr>
          <w:p w14:paraId="75C8FB9D">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Validation</w:t>
            </w:r>
          </w:p>
        </w:tc>
        <w:tc>
          <w:tcPr>
            <w:tcW w:w="420" w:type="pct"/>
            <w:tcBorders>
              <w:top w:val="nil"/>
              <w:left w:val="nil"/>
              <w:bottom w:val="nil"/>
              <w:right w:val="nil"/>
            </w:tcBorders>
            <w:noWrap w:val="0"/>
            <w:tcMar>
              <w:top w:w="-1" w:type="dxa"/>
              <w:left w:w="-1" w:type="dxa"/>
              <w:bottom w:w="-1" w:type="dxa"/>
              <w:right w:w="-1" w:type="dxa"/>
            </w:tcMar>
            <w:vAlign w:val="center"/>
          </w:tcPr>
          <w:p w14:paraId="0C75BAC3">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9</w:t>
            </w:r>
          </w:p>
        </w:tc>
        <w:tc>
          <w:tcPr>
            <w:tcW w:w="238" w:type="pct"/>
            <w:tcBorders>
              <w:top w:val="nil"/>
              <w:left w:val="nil"/>
              <w:bottom w:val="nil"/>
              <w:right w:val="nil"/>
            </w:tcBorders>
            <w:noWrap w:val="0"/>
            <w:tcMar>
              <w:top w:w="-1" w:type="dxa"/>
              <w:left w:w="-1" w:type="dxa"/>
              <w:bottom w:w="-1" w:type="dxa"/>
              <w:right w:w="-1" w:type="dxa"/>
            </w:tcMar>
            <w:vAlign w:val="center"/>
          </w:tcPr>
          <w:p w14:paraId="55403DE6">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18</w:t>
            </w:r>
          </w:p>
        </w:tc>
        <w:tc>
          <w:tcPr>
            <w:tcW w:w="1284" w:type="pct"/>
            <w:tcBorders>
              <w:top w:val="nil"/>
              <w:left w:val="nil"/>
              <w:bottom w:val="nil"/>
              <w:right w:val="nil"/>
            </w:tcBorders>
            <w:noWrap w:val="0"/>
            <w:tcMar>
              <w:top w:w="-1" w:type="dxa"/>
              <w:left w:w="-1" w:type="dxa"/>
              <w:bottom w:w="-1" w:type="dxa"/>
              <w:right w:w="-1" w:type="dxa"/>
            </w:tcMar>
            <w:vAlign w:val="center"/>
          </w:tcPr>
          <w:p w14:paraId="72C0FF44">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0.994</w:t>
            </w:r>
          </w:p>
        </w:tc>
        <w:tc>
          <w:tcPr>
            <w:tcW w:w="1169" w:type="pct"/>
            <w:tcBorders>
              <w:top w:val="nil"/>
              <w:left w:val="nil"/>
              <w:bottom w:val="nil"/>
              <w:right w:val="nil"/>
            </w:tcBorders>
            <w:noWrap w:val="0"/>
            <w:tcMar>
              <w:top w:w="-1" w:type="dxa"/>
              <w:left w:w="-1" w:type="dxa"/>
              <w:bottom w:w="-1" w:type="dxa"/>
              <w:right w:w="-1" w:type="dxa"/>
            </w:tcMar>
            <w:vAlign w:val="center"/>
          </w:tcPr>
          <w:p w14:paraId="3F9FD109">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1.000</w:t>
            </w:r>
          </w:p>
        </w:tc>
        <w:tc>
          <w:tcPr>
            <w:tcW w:w="1328" w:type="pct"/>
            <w:tcBorders>
              <w:top w:val="nil"/>
              <w:left w:val="nil"/>
              <w:bottom w:val="nil"/>
              <w:right w:val="nil"/>
            </w:tcBorders>
            <w:noWrap w:val="0"/>
            <w:tcMar>
              <w:top w:w="-1" w:type="dxa"/>
              <w:left w:w="-1" w:type="dxa"/>
              <w:bottom w:w="-1" w:type="dxa"/>
              <w:right w:w="-1" w:type="dxa"/>
            </w:tcMar>
            <w:vAlign w:val="center"/>
          </w:tcPr>
          <w:p w14:paraId="499501BA">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0.824–1.0</w:t>
            </w:r>
          </w:p>
        </w:tc>
      </w:tr>
      <w:tr w14:paraId="16B37D59">
        <w:tblPrEx>
          <w:tblCellMar>
            <w:top w:w="0" w:type="dxa"/>
            <w:left w:w="108" w:type="dxa"/>
            <w:bottom w:w="0" w:type="dxa"/>
            <w:right w:w="108" w:type="dxa"/>
          </w:tblCellMar>
        </w:tblPrEx>
        <w:trPr>
          <w:trHeight w:val="0" w:hRule="atLeast"/>
          <w:jc w:val="center"/>
        </w:trPr>
        <w:tc>
          <w:tcPr>
            <w:tcW w:w="557" w:type="pct"/>
            <w:tcBorders>
              <w:top w:val="nil"/>
              <w:left w:val="nil"/>
              <w:bottom w:val="single" w:color="auto" w:sz="12" w:space="0"/>
              <w:right w:val="nil"/>
            </w:tcBorders>
            <w:noWrap w:val="0"/>
            <w:tcMar>
              <w:top w:w="-1" w:type="dxa"/>
              <w:left w:w="-1" w:type="dxa"/>
              <w:bottom w:w="-1" w:type="dxa"/>
              <w:right w:w="-1" w:type="dxa"/>
            </w:tcMar>
            <w:vAlign w:val="center"/>
          </w:tcPr>
          <w:p w14:paraId="6C1F27ED">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Validation</w:t>
            </w:r>
          </w:p>
        </w:tc>
        <w:tc>
          <w:tcPr>
            <w:tcW w:w="420" w:type="pct"/>
            <w:tcBorders>
              <w:top w:val="nil"/>
              <w:left w:val="nil"/>
              <w:bottom w:val="single" w:color="auto" w:sz="12" w:space="0"/>
              <w:right w:val="nil"/>
            </w:tcBorders>
            <w:noWrap w:val="0"/>
            <w:tcMar>
              <w:top w:w="-1" w:type="dxa"/>
              <w:left w:w="-1" w:type="dxa"/>
              <w:bottom w:w="-1" w:type="dxa"/>
              <w:right w:w="-1" w:type="dxa"/>
            </w:tcMar>
            <w:vAlign w:val="center"/>
          </w:tcPr>
          <w:p w14:paraId="55CF5F29">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10</w:t>
            </w:r>
          </w:p>
        </w:tc>
        <w:tc>
          <w:tcPr>
            <w:tcW w:w="238" w:type="pct"/>
            <w:tcBorders>
              <w:top w:val="nil"/>
              <w:left w:val="nil"/>
              <w:bottom w:val="single" w:color="auto" w:sz="12" w:space="0"/>
              <w:right w:val="nil"/>
            </w:tcBorders>
            <w:noWrap w:val="0"/>
            <w:tcMar>
              <w:top w:w="-1" w:type="dxa"/>
              <w:left w:w="-1" w:type="dxa"/>
              <w:bottom w:w="-1" w:type="dxa"/>
              <w:right w:w="-1" w:type="dxa"/>
            </w:tcMar>
            <w:vAlign w:val="center"/>
          </w:tcPr>
          <w:p w14:paraId="4E848B5C">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19</w:t>
            </w:r>
          </w:p>
        </w:tc>
        <w:tc>
          <w:tcPr>
            <w:tcW w:w="1284" w:type="pct"/>
            <w:tcBorders>
              <w:top w:val="nil"/>
              <w:left w:val="nil"/>
              <w:bottom w:val="single" w:color="auto" w:sz="12" w:space="0"/>
              <w:right w:val="nil"/>
            </w:tcBorders>
            <w:noWrap w:val="0"/>
            <w:tcMar>
              <w:top w:w="-1" w:type="dxa"/>
              <w:left w:w="-1" w:type="dxa"/>
              <w:bottom w:w="-1" w:type="dxa"/>
              <w:right w:w="-1" w:type="dxa"/>
            </w:tcMar>
            <w:vAlign w:val="center"/>
          </w:tcPr>
          <w:p w14:paraId="0BBE887E">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0.998</w:t>
            </w:r>
          </w:p>
        </w:tc>
        <w:tc>
          <w:tcPr>
            <w:tcW w:w="1169" w:type="pct"/>
            <w:tcBorders>
              <w:top w:val="nil"/>
              <w:left w:val="nil"/>
              <w:bottom w:val="single" w:color="auto" w:sz="12" w:space="0"/>
              <w:right w:val="nil"/>
            </w:tcBorders>
            <w:noWrap w:val="0"/>
            <w:tcMar>
              <w:top w:w="-1" w:type="dxa"/>
              <w:left w:w="-1" w:type="dxa"/>
              <w:bottom w:w="-1" w:type="dxa"/>
              <w:right w:w="-1" w:type="dxa"/>
            </w:tcMar>
            <w:vAlign w:val="center"/>
          </w:tcPr>
          <w:p w14:paraId="7A81CD58">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1.000</w:t>
            </w:r>
          </w:p>
        </w:tc>
        <w:tc>
          <w:tcPr>
            <w:tcW w:w="1328" w:type="pct"/>
            <w:tcBorders>
              <w:top w:val="nil"/>
              <w:left w:val="nil"/>
              <w:bottom w:val="single" w:color="auto" w:sz="12" w:space="0"/>
              <w:right w:val="nil"/>
            </w:tcBorders>
            <w:noWrap w:val="0"/>
            <w:tcMar>
              <w:top w:w="-1" w:type="dxa"/>
              <w:left w:w="-1" w:type="dxa"/>
              <w:bottom w:w="-1" w:type="dxa"/>
              <w:right w:w="-1" w:type="dxa"/>
            </w:tcMar>
            <w:vAlign w:val="center"/>
          </w:tcPr>
          <w:p w14:paraId="32847C8D">
            <w:pPr>
              <w:snapToGrid w:val="0"/>
              <w:ind w:left="0" w:leftChars="0" w:right="0" w:rightChars="0" w:firstLine="0" w:firstLineChars="0"/>
              <w:jc w:val="center"/>
              <w:rPr>
                <w:rFonts w:ascii="Times New Roman" w:hAnsi="Times New Roman" w:eastAsia="宋体" w:cs="Times New Roman"/>
                <w:sz w:val="18"/>
                <w:szCs w:val="18"/>
              </w:rPr>
            </w:pPr>
            <w:r>
              <w:rPr>
                <w:rFonts w:ascii="Times New Roman" w:hAnsi="Times New Roman" w:eastAsia="宋体" w:cs="Times New Roman"/>
                <w:b w:val="0"/>
                <w:sz w:val="18"/>
                <w:szCs w:val="18"/>
              </w:rPr>
              <w:t>0.832–1.0</w:t>
            </w:r>
          </w:p>
        </w:tc>
      </w:tr>
    </w:tbl>
    <w:p w14:paraId="5A0F8DD0">
      <w:pPr>
        <w:spacing w:line="240" w:lineRule="auto"/>
        <w:rPr>
          <w:rFonts w:ascii="Times New Roman" w:hAnsi="Times New Roman"/>
          <w:i/>
          <w:iCs/>
          <w:sz w:val="21"/>
          <w:highlight w:val="none"/>
        </w:rPr>
      </w:pPr>
    </w:p>
    <w:p w14:paraId="03D7DA4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80" w:afterAutospacing="0" w:line="15" w:lineRule="atLeast"/>
        <w:ind w:left="0" w:right="0" w:firstLine="0"/>
        <w:jc w:val="both"/>
        <w:rPr>
          <w:rFonts w:ascii="Calibri" w:hAnsi="Calibri" w:cs="Calibri"/>
          <w:i w:val="0"/>
          <w:iCs w:val="0"/>
          <w:caps w:val="0"/>
          <w:color w:val="000000"/>
          <w:spacing w:val="0"/>
          <w:sz w:val="21"/>
          <w:szCs w:val="21"/>
          <w:highlight w:val="none"/>
        </w:rPr>
      </w:pPr>
      <w:r>
        <w:rPr>
          <w:rFonts w:hint="default" w:ascii="Times New Roman" w:hAnsi="Times New Roman" w:cs="Times New Roman"/>
          <w:b/>
          <w:bCs/>
          <w:i w:val="0"/>
          <w:iCs w:val="0"/>
          <w:caps w:val="0"/>
          <w:color w:val="000000"/>
          <w:spacing w:val="0"/>
          <w:sz w:val="21"/>
          <w:szCs w:val="21"/>
          <w:highlight w:val="none"/>
          <w:shd w:val="clear" w:fill="FFFFFF"/>
        </w:rPr>
        <w:t>Table S</w:t>
      </w:r>
      <w:r>
        <w:rPr>
          <w:rFonts w:hint="eastAsia" w:ascii="Times New Roman" w:hAnsi="Times New Roman" w:cs="Times New Roman"/>
          <w:b/>
          <w:bCs/>
          <w:i w:val="0"/>
          <w:iCs w:val="0"/>
          <w:caps w:val="0"/>
          <w:color w:val="000000"/>
          <w:spacing w:val="0"/>
          <w:sz w:val="21"/>
          <w:szCs w:val="21"/>
          <w:highlight w:val="none"/>
          <w:shd w:val="clear" w:fill="FFFFFF"/>
          <w:lang w:val="en-US" w:eastAsia="zh-CN"/>
        </w:rPr>
        <w:t>9</w:t>
      </w:r>
      <w:r>
        <w:rPr>
          <w:rFonts w:hint="default" w:ascii="Times New Roman" w:hAnsi="Times New Roman" w:cs="Times New Roman"/>
          <w:b/>
          <w:bCs/>
          <w:i w:val="0"/>
          <w:iCs w:val="0"/>
          <w:caps w:val="0"/>
          <w:color w:val="000000"/>
          <w:spacing w:val="0"/>
          <w:sz w:val="21"/>
          <w:szCs w:val="21"/>
          <w:highlight w:val="none"/>
          <w:shd w:val="clear" w:fill="FFFFFF"/>
        </w:rPr>
        <w:t>. Projected Diagnostic Consequences of the PUCD Assay Across Selected Hypothetical Cancer Prevalence Scenarios</w:t>
      </w:r>
    </w:p>
    <w:tbl>
      <w:tblPr>
        <w:tblStyle w:val="4"/>
        <w:tblW w:w="4998" w:type="pct"/>
        <w:jc w:val="center"/>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40"/>
        <w:gridCol w:w="761"/>
        <w:gridCol w:w="766"/>
        <w:gridCol w:w="756"/>
        <w:gridCol w:w="2352"/>
        <w:gridCol w:w="1414"/>
        <w:gridCol w:w="1414"/>
      </w:tblGrid>
      <w:tr w14:paraId="112B5D12">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trHeight w:val="0" w:hRule="atLeast"/>
          <w:tblHeader/>
          <w:jc w:val="center"/>
        </w:trPr>
        <w:tc>
          <w:tcPr>
            <w:tcW w:w="505" w:type="pct"/>
            <w:tcBorders>
              <w:top w:val="single" w:color="auto" w:sz="12" w:space="0"/>
              <w:left w:val="nil"/>
              <w:bottom w:val="single" w:color="auto" w:sz="6" w:space="0"/>
              <w:right w:val="nil"/>
            </w:tcBorders>
            <w:shd w:val="clear" w:color="auto" w:fill="FFFFFF"/>
            <w:vAlign w:val="center"/>
          </w:tcPr>
          <w:p w14:paraId="4D351CF4">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b/>
                <w:sz w:val="18"/>
                <w:szCs w:val="21"/>
                <w:highlight w:val="none"/>
              </w:rPr>
            </w:pPr>
            <w:r>
              <w:rPr>
                <w:rFonts w:hint="default" w:ascii="Times New Roman" w:hAnsi="Times New Roman" w:eastAsia="Segoe UI" w:cs="Times New Roman"/>
                <w:b/>
                <w:bCs/>
                <w:i w:val="0"/>
                <w:iCs w:val="0"/>
                <w:caps w:val="0"/>
                <w:color w:val="000000"/>
                <w:spacing w:val="0"/>
                <w:sz w:val="18"/>
                <w:szCs w:val="18"/>
                <w:highlight w:val="none"/>
              </w:rPr>
              <w:t>Prevalence</w:t>
            </w:r>
          </w:p>
        </w:tc>
        <w:tc>
          <w:tcPr>
            <w:tcW w:w="458" w:type="pct"/>
            <w:tcBorders>
              <w:top w:val="single" w:color="auto" w:sz="12" w:space="0"/>
              <w:left w:val="nil"/>
              <w:bottom w:val="single" w:color="auto" w:sz="6" w:space="0"/>
              <w:right w:val="nil"/>
            </w:tcBorders>
            <w:shd w:val="clear" w:color="auto" w:fill="FFFFFF"/>
            <w:vAlign w:val="center"/>
          </w:tcPr>
          <w:p w14:paraId="135EFA9D">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b/>
                <w:sz w:val="18"/>
                <w:szCs w:val="21"/>
                <w:highlight w:val="none"/>
              </w:rPr>
            </w:pPr>
            <w:r>
              <w:rPr>
                <w:rFonts w:hint="default" w:ascii="Times New Roman" w:hAnsi="Times New Roman" w:eastAsia="Segoe UI" w:cs="Times New Roman"/>
                <w:b/>
                <w:bCs/>
                <w:i w:val="0"/>
                <w:iCs w:val="0"/>
                <w:caps w:val="0"/>
                <w:color w:val="000000"/>
                <w:spacing w:val="0"/>
                <w:sz w:val="18"/>
                <w:szCs w:val="18"/>
                <w:highlight w:val="none"/>
              </w:rPr>
              <w:t>TP per 1,000</w:t>
            </w:r>
          </w:p>
        </w:tc>
        <w:tc>
          <w:tcPr>
            <w:tcW w:w="461" w:type="pct"/>
            <w:tcBorders>
              <w:top w:val="single" w:color="auto" w:sz="12" w:space="0"/>
              <w:left w:val="nil"/>
              <w:bottom w:val="single" w:color="auto" w:sz="6" w:space="0"/>
              <w:right w:val="nil"/>
            </w:tcBorders>
            <w:shd w:val="clear" w:color="auto" w:fill="FFFFFF"/>
            <w:vAlign w:val="center"/>
          </w:tcPr>
          <w:p w14:paraId="76ACA23B">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b/>
                <w:sz w:val="18"/>
                <w:szCs w:val="21"/>
                <w:highlight w:val="none"/>
              </w:rPr>
            </w:pPr>
            <w:r>
              <w:rPr>
                <w:rFonts w:hint="default" w:ascii="Times New Roman" w:hAnsi="Times New Roman" w:eastAsia="Segoe UI" w:cs="Times New Roman"/>
                <w:b/>
                <w:bCs/>
                <w:i w:val="0"/>
                <w:iCs w:val="0"/>
                <w:caps w:val="0"/>
                <w:color w:val="000000"/>
                <w:spacing w:val="0"/>
                <w:sz w:val="18"/>
                <w:szCs w:val="18"/>
                <w:highlight w:val="none"/>
              </w:rPr>
              <w:t>FN per 1,000</w:t>
            </w:r>
          </w:p>
        </w:tc>
        <w:tc>
          <w:tcPr>
            <w:tcW w:w="455" w:type="pct"/>
            <w:tcBorders>
              <w:top w:val="single" w:color="auto" w:sz="12" w:space="0"/>
              <w:left w:val="nil"/>
              <w:bottom w:val="single" w:color="auto" w:sz="6" w:space="0"/>
              <w:right w:val="nil"/>
            </w:tcBorders>
            <w:shd w:val="clear" w:color="auto" w:fill="FFFFFF"/>
            <w:vAlign w:val="center"/>
          </w:tcPr>
          <w:p w14:paraId="185CEC9A">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b/>
                <w:sz w:val="18"/>
                <w:szCs w:val="21"/>
                <w:highlight w:val="none"/>
              </w:rPr>
            </w:pPr>
            <w:r>
              <w:rPr>
                <w:rFonts w:hint="default" w:ascii="Times New Roman" w:hAnsi="Times New Roman" w:eastAsia="Segoe UI" w:cs="Times New Roman"/>
                <w:b/>
                <w:bCs/>
                <w:i w:val="0"/>
                <w:iCs w:val="0"/>
                <w:caps w:val="0"/>
                <w:color w:val="000000"/>
                <w:spacing w:val="0"/>
                <w:sz w:val="18"/>
                <w:szCs w:val="18"/>
                <w:highlight w:val="none"/>
              </w:rPr>
              <w:t>FP per 1,000</w:t>
            </w:r>
          </w:p>
        </w:tc>
        <w:tc>
          <w:tcPr>
            <w:tcW w:w="1415" w:type="pct"/>
            <w:tcBorders>
              <w:top w:val="single" w:color="auto" w:sz="12" w:space="0"/>
              <w:left w:val="nil"/>
              <w:bottom w:val="single" w:color="auto" w:sz="6" w:space="0"/>
              <w:right w:val="nil"/>
            </w:tcBorders>
            <w:shd w:val="clear" w:color="auto" w:fill="FFFFFF"/>
            <w:vAlign w:val="center"/>
          </w:tcPr>
          <w:p w14:paraId="3006FDF7">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b/>
                <w:sz w:val="18"/>
                <w:szCs w:val="21"/>
                <w:highlight w:val="none"/>
              </w:rPr>
            </w:pPr>
            <w:r>
              <w:rPr>
                <w:rFonts w:hint="default" w:ascii="Times New Roman" w:hAnsi="Times New Roman" w:eastAsia="Segoe UI" w:cs="Times New Roman"/>
                <w:b/>
                <w:bCs/>
                <w:i w:val="0"/>
                <w:iCs w:val="0"/>
                <w:caps w:val="0"/>
                <w:color w:val="000000"/>
                <w:spacing w:val="0"/>
                <w:sz w:val="18"/>
                <w:szCs w:val="18"/>
                <w:highlight w:val="none"/>
              </w:rPr>
              <w:t>TN / potentially deferred per 1,000 (range)</w:t>
            </w:r>
          </w:p>
        </w:tc>
        <w:tc>
          <w:tcPr>
            <w:tcW w:w="851" w:type="pct"/>
            <w:tcBorders>
              <w:top w:val="single" w:color="auto" w:sz="12" w:space="0"/>
              <w:left w:val="nil"/>
              <w:bottom w:val="single" w:color="auto" w:sz="6" w:space="0"/>
              <w:right w:val="nil"/>
            </w:tcBorders>
            <w:shd w:val="clear" w:color="auto" w:fill="FFFFFF"/>
            <w:vAlign w:val="center"/>
          </w:tcPr>
          <w:p w14:paraId="3A3D70CF">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b/>
                <w:sz w:val="18"/>
                <w:szCs w:val="21"/>
                <w:highlight w:val="none"/>
              </w:rPr>
            </w:pPr>
            <w:r>
              <w:rPr>
                <w:rFonts w:hint="default" w:ascii="Times New Roman" w:hAnsi="Times New Roman" w:eastAsia="Segoe UI" w:cs="Times New Roman"/>
                <w:b/>
                <w:bCs/>
                <w:i w:val="0"/>
                <w:iCs w:val="0"/>
                <w:caps w:val="0"/>
                <w:color w:val="000000"/>
                <w:spacing w:val="0"/>
                <w:sz w:val="18"/>
                <w:szCs w:val="18"/>
                <w:highlight w:val="none"/>
              </w:rPr>
              <w:t>PPV (95% CI)</w:t>
            </w:r>
          </w:p>
        </w:tc>
        <w:tc>
          <w:tcPr>
            <w:tcW w:w="851" w:type="pct"/>
            <w:tcBorders>
              <w:top w:val="single" w:color="auto" w:sz="12" w:space="0"/>
              <w:left w:val="nil"/>
              <w:bottom w:val="single" w:color="auto" w:sz="6" w:space="0"/>
              <w:right w:val="nil"/>
            </w:tcBorders>
            <w:shd w:val="clear" w:color="auto" w:fill="FFFFFF"/>
            <w:vAlign w:val="center"/>
          </w:tcPr>
          <w:p w14:paraId="6DD2BE56">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b/>
                <w:sz w:val="18"/>
                <w:szCs w:val="21"/>
                <w:highlight w:val="none"/>
              </w:rPr>
            </w:pPr>
            <w:r>
              <w:rPr>
                <w:rFonts w:hint="default" w:ascii="Times New Roman" w:hAnsi="Times New Roman" w:eastAsia="Segoe UI" w:cs="Times New Roman"/>
                <w:b/>
                <w:bCs/>
                <w:i w:val="0"/>
                <w:iCs w:val="0"/>
                <w:caps w:val="0"/>
                <w:color w:val="000000"/>
                <w:spacing w:val="0"/>
                <w:sz w:val="18"/>
                <w:szCs w:val="18"/>
                <w:highlight w:val="none"/>
              </w:rPr>
              <w:t>NPV (95% CI)</w:t>
            </w:r>
          </w:p>
        </w:tc>
      </w:tr>
      <w:tr w14:paraId="2AF818DE">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05" w:type="pct"/>
            <w:tcBorders>
              <w:top w:val="nil"/>
              <w:left w:val="nil"/>
              <w:bottom w:val="nil"/>
              <w:right w:val="nil"/>
            </w:tcBorders>
            <w:shd w:val="clear" w:color="auto" w:fill="FFFFFF"/>
            <w:vAlign w:val="center"/>
          </w:tcPr>
          <w:p w14:paraId="4D580CDF">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5%</w:t>
            </w:r>
          </w:p>
        </w:tc>
        <w:tc>
          <w:tcPr>
            <w:tcW w:w="458" w:type="pct"/>
            <w:tcBorders>
              <w:top w:val="nil"/>
              <w:left w:val="nil"/>
              <w:bottom w:val="nil"/>
              <w:right w:val="nil"/>
            </w:tcBorders>
            <w:shd w:val="clear" w:color="auto" w:fill="FFFFFF"/>
            <w:vAlign w:val="center"/>
          </w:tcPr>
          <w:p w14:paraId="108FC62A">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44</w:t>
            </w:r>
          </w:p>
        </w:tc>
        <w:tc>
          <w:tcPr>
            <w:tcW w:w="461" w:type="pct"/>
            <w:tcBorders>
              <w:top w:val="nil"/>
              <w:left w:val="nil"/>
              <w:bottom w:val="nil"/>
              <w:right w:val="nil"/>
            </w:tcBorders>
            <w:shd w:val="clear" w:color="auto" w:fill="FFFFFF"/>
            <w:vAlign w:val="center"/>
          </w:tcPr>
          <w:p w14:paraId="711EDEE1">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6</w:t>
            </w:r>
          </w:p>
        </w:tc>
        <w:tc>
          <w:tcPr>
            <w:tcW w:w="455" w:type="pct"/>
            <w:tcBorders>
              <w:top w:val="nil"/>
              <w:left w:val="nil"/>
              <w:bottom w:val="nil"/>
              <w:right w:val="nil"/>
            </w:tcBorders>
            <w:shd w:val="clear" w:color="auto" w:fill="FFFFFF"/>
            <w:vAlign w:val="center"/>
          </w:tcPr>
          <w:p w14:paraId="50D7FFA4">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95</w:t>
            </w:r>
          </w:p>
        </w:tc>
        <w:tc>
          <w:tcPr>
            <w:tcW w:w="1415" w:type="pct"/>
            <w:tcBorders>
              <w:top w:val="nil"/>
              <w:left w:val="nil"/>
              <w:bottom w:val="nil"/>
              <w:right w:val="nil"/>
            </w:tcBorders>
            <w:shd w:val="clear" w:color="auto" w:fill="FFFFFF"/>
            <w:vAlign w:val="center"/>
          </w:tcPr>
          <w:p w14:paraId="2ABF05FD">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855 (785-898)</w:t>
            </w:r>
          </w:p>
        </w:tc>
        <w:tc>
          <w:tcPr>
            <w:tcW w:w="851" w:type="pct"/>
            <w:tcBorders>
              <w:top w:val="nil"/>
              <w:left w:val="nil"/>
              <w:bottom w:val="nil"/>
              <w:right w:val="nil"/>
            </w:tcBorders>
            <w:shd w:val="clear" w:color="auto" w:fill="FFFFFF"/>
            <w:vAlign w:val="center"/>
          </w:tcPr>
          <w:p w14:paraId="3739D4B9">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31.7% (19.4%-47.2%)</w:t>
            </w:r>
          </w:p>
        </w:tc>
        <w:tc>
          <w:tcPr>
            <w:tcW w:w="851" w:type="pct"/>
            <w:tcBorders>
              <w:top w:val="nil"/>
              <w:left w:val="nil"/>
              <w:bottom w:val="nil"/>
              <w:right w:val="nil"/>
            </w:tcBorders>
            <w:shd w:val="clear" w:color="auto" w:fill="FFFFFF"/>
            <w:vAlign w:val="center"/>
          </w:tcPr>
          <w:p w14:paraId="48105B96">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99.3% (98.7%-99.6%)</w:t>
            </w:r>
          </w:p>
        </w:tc>
      </w:tr>
      <w:tr w14:paraId="2B4755A2">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05" w:type="pct"/>
            <w:tcBorders>
              <w:top w:val="nil"/>
              <w:left w:val="nil"/>
              <w:bottom w:val="nil"/>
              <w:right w:val="nil"/>
            </w:tcBorders>
            <w:shd w:val="clear" w:color="auto" w:fill="FFFFFF"/>
            <w:vAlign w:val="center"/>
          </w:tcPr>
          <w:p w14:paraId="2FA57F52">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10%</w:t>
            </w:r>
          </w:p>
        </w:tc>
        <w:tc>
          <w:tcPr>
            <w:tcW w:w="458" w:type="pct"/>
            <w:tcBorders>
              <w:top w:val="nil"/>
              <w:left w:val="nil"/>
              <w:bottom w:val="nil"/>
              <w:right w:val="nil"/>
            </w:tcBorders>
            <w:shd w:val="clear" w:color="auto" w:fill="FFFFFF"/>
            <w:vAlign w:val="center"/>
          </w:tcPr>
          <w:p w14:paraId="101B9E55">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88</w:t>
            </w:r>
          </w:p>
        </w:tc>
        <w:tc>
          <w:tcPr>
            <w:tcW w:w="461" w:type="pct"/>
            <w:tcBorders>
              <w:top w:val="nil"/>
              <w:left w:val="nil"/>
              <w:bottom w:val="nil"/>
              <w:right w:val="nil"/>
            </w:tcBorders>
            <w:shd w:val="clear" w:color="auto" w:fill="FFFFFF"/>
            <w:vAlign w:val="center"/>
          </w:tcPr>
          <w:p w14:paraId="391D36A3">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12</w:t>
            </w:r>
          </w:p>
        </w:tc>
        <w:tc>
          <w:tcPr>
            <w:tcW w:w="455" w:type="pct"/>
            <w:tcBorders>
              <w:top w:val="nil"/>
              <w:left w:val="nil"/>
              <w:bottom w:val="nil"/>
              <w:right w:val="nil"/>
            </w:tcBorders>
            <w:shd w:val="clear" w:color="auto" w:fill="FFFFFF"/>
            <w:vAlign w:val="center"/>
          </w:tcPr>
          <w:p w14:paraId="7D5849DC">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90</w:t>
            </w:r>
          </w:p>
        </w:tc>
        <w:tc>
          <w:tcPr>
            <w:tcW w:w="1415" w:type="pct"/>
            <w:tcBorders>
              <w:top w:val="nil"/>
              <w:left w:val="nil"/>
              <w:bottom w:val="nil"/>
              <w:right w:val="nil"/>
            </w:tcBorders>
            <w:shd w:val="clear" w:color="auto" w:fill="FFFFFF"/>
            <w:vAlign w:val="center"/>
          </w:tcPr>
          <w:p w14:paraId="5A67E676">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810 (743-850)</w:t>
            </w:r>
          </w:p>
        </w:tc>
        <w:tc>
          <w:tcPr>
            <w:tcW w:w="851" w:type="pct"/>
            <w:tcBorders>
              <w:top w:val="nil"/>
              <w:left w:val="nil"/>
              <w:bottom w:val="nil"/>
              <w:right w:val="nil"/>
            </w:tcBorders>
            <w:shd w:val="clear" w:color="auto" w:fill="FFFFFF"/>
            <w:vAlign w:val="center"/>
          </w:tcPr>
          <w:p w14:paraId="76F211A9">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49.5% (33.6%-65.3%)</w:t>
            </w:r>
          </w:p>
        </w:tc>
        <w:tc>
          <w:tcPr>
            <w:tcW w:w="851" w:type="pct"/>
            <w:tcBorders>
              <w:top w:val="nil"/>
              <w:left w:val="nil"/>
              <w:bottom w:val="nil"/>
              <w:right w:val="nil"/>
            </w:tcBorders>
            <w:shd w:val="clear" w:color="auto" w:fill="FFFFFF"/>
            <w:vAlign w:val="center"/>
          </w:tcPr>
          <w:p w14:paraId="21C63E42">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98.6% (97.3%-99.2%)</w:t>
            </w:r>
          </w:p>
        </w:tc>
      </w:tr>
      <w:tr w14:paraId="0A603E00">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05" w:type="pct"/>
            <w:tcBorders>
              <w:top w:val="nil"/>
              <w:left w:val="nil"/>
              <w:bottom w:val="nil"/>
              <w:right w:val="nil"/>
            </w:tcBorders>
            <w:shd w:val="clear" w:color="auto" w:fill="FFFFFF"/>
            <w:vAlign w:val="center"/>
          </w:tcPr>
          <w:p w14:paraId="32C387C2">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20%</w:t>
            </w:r>
          </w:p>
        </w:tc>
        <w:tc>
          <w:tcPr>
            <w:tcW w:w="458" w:type="pct"/>
            <w:tcBorders>
              <w:top w:val="nil"/>
              <w:left w:val="nil"/>
              <w:bottom w:val="nil"/>
              <w:right w:val="nil"/>
            </w:tcBorders>
            <w:shd w:val="clear" w:color="auto" w:fill="FFFFFF"/>
            <w:vAlign w:val="center"/>
          </w:tcPr>
          <w:p w14:paraId="04276327">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176</w:t>
            </w:r>
          </w:p>
        </w:tc>
        <w:tc>
          <w:tcPr>
            <w:tcW w:w="461" w:type="pct"/>
            <w:tcBorders>
              <w:top w:val="nil"/>
              <w:left w:val="nil"/>
              <w:bottom w:val="nil"/>
              <w:right w:val="nil"/>
            </w:tcBorders>
            <w:shd w:val="clear" w:color="auto" w:fill="FFFFFF"/>
            <w:vAlign w:val="center"/>
          </w:tcPr>
          <w:p w14:paraId="515DDDB1">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24</w:t>
            </w:r>
          </w:p>
        </w:tc>
        <w:tc>
          <w:tcPr>
            <w:tcW w:w="455" w:type="pct"/>
            <w:tcBorders>
              <w:top w:val="nil"/>
              <w:left w:val="nil"/>
              <w:bottom w:val="nil"/>
              <w:right w:val="nil"/>
            </w:tcBorders>
            <w:shd w:val="clear" w:color="auto" w:fill="FFFFFF"/>
            <w:vAlign w:val="center"/>
          </w:tcPr>
          <w:p w14:paraId="08247698">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80</w:t>
            </w:r>
          </w:p>
        </w:tc>
        <w:tc>
          <w:tcPr>
            <w:tcW w:w="1415" w:type="pct"/>
            <w:tcBorders>
              <w:top w:val="nil"/>
              <w:left w:val="nil"/>
              <w:bottom w:val="nil"/>
              <w:right w:val="nil"/>
            </w:tcBorders>
            <w:shd w:val="clear" w:color="auto" w:fill="FFFFFF"/>
            <w:vAlign w:val="center"/>
          </w:tcPr>
          <w:p w14:paraId="631254E7">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720 (661-756)</w:t>
            </w:r>
          </w:p>
        </w:tc>
        <w:tc>
          <w:tcPr>
            <w:tcW w:w="851" w:type="pct"/>
            <w:tcBorders>
              <w:top w:val="nil"/>
              <w:left w:val="nil"/>
              <w:bottom w:val="nil"/>
              <w:right w:val="nil"/>
            </w:tcBorders>
            <w:shd w:val="clear" w:color="auto" w:fill="FFFFFF"/>
            <w:vAlign w:val="center"/>
          </w:tcPr>
          <w:p w14:paraId="7FF41A74">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68.8% (53.3%-80.9%)</w:t>
            </w:r>
          </w:p>
        </w:tc>
        <w:tc>
          <w:tcPr>
            <w:tcW w:w="851" w:type="pct"/>
            <w:tcBorders>
              <w:top w:val="nil"/>
              <w:left w:val="nil"/>
              <w:bottom w:val="nil"/>
              <w:right w:val="nil"/>
            </w:tcBorders>
            <w:shd w:val="clear" w:color="auto" w:fill="FFFFFF"/>
            <w:vAlign w:val="center"/>
          </w:tcPr>
          <w:p w14:paraId="73F4DA73">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96.8% (94.1%-98.3%)</w:t>
            </w:r>
          </w:p>
        </w:tc>
      </w:tr>
      <w:tr w14:paraId="19494454">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trHeight w:val="0" w:hRule="atLeast"/>
          <w:jc w:val="center"/>
        </w:trPr>
        <w:tc>
          <w:tcPr>
            <w:tcW w:w="505" w:type="pct"/>
            <w:tcBorders>
              <w:top w:val="nil"/>
              <w:left w:val="nil"/>
              <w:bottom w:val="single" w:color="auto" w:sz="12" w:space="0"/>
              <w:right w:val="nil"/>
            </w:tcBorders>
            <w:shd w:val="clear" w:color="auto" w:fill="FFFFFF"/>
            <w:vAlign w:val="center"/>
          </w:tcPr>
          <w:p w14:paraId="00B57DF1">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30%</w:t>
            </w:r>
          </w:p>
        </w:tc>
        <w:tc>
          <w:tcPr>
            <w:tcW w:w="458" w:type="pct"/>
            <w:tcBorders>
              <w:top w:val="nil"/>
              <w:left w:val="nil"/>
              <w:bottom w:val="single" w:color="auto" w:sz="12" w:space="0"/>
              <w:right w:val="nil"/>
            </w:tcBorders>
            <w:shd w:val="clear" w:color="auto" w:fill="FFFFFF"/>
            <w:vAlign w:val="center"/>
          </w:tcPr>
          <w:p w14:paraId="77B6C2E8">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264</w:t>
            </w:r>
          </w:p>
        </w:tc>
        <w:tc>
          <w:tcPr>
            <w:tcW w:w="461" w:type="pct"/>
            <w:tcBorders>
              <w:top w:val="nil"/>
              <w:left w:val="nil"/>
              <w:bottom w:val="single" w:color="auto" w:sz="12" w:space="0"/>
              <w:right w:val="nil"/>
            </w:tcBorders>
            <w:shd w:val="clear" w:color="auto" w:fill="FFFFFF"/>
            <w:vAlign w:val="center"/>
          </w:tcPr>
          <w:p w14:paraId="3FD70DB5">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36</w:t>
            </w:r>
          </w:p>
        </w:tc>
        <w:tc>
          <w:tcPr>
            <w:tcW w:w="455" w:type="pct"/>
            <w:tcBorders>
              <w:top w:val="nil"/>
              <w:left w:val="nil"/>
              <w:bottom w:val="single" w:color="auto" w:sz="12" w:space="0"/>
              <w:right w:val="nil"/>
            </w:tcBorders>
            <w:shd w:val="clear" w:color="auto" w:fill="FFFFFF"/>
            <w:vAlign w:val="center"/>
          </w:tcPr>
          <w:p w14:paraId="17D7F584">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70</w:t>
            </w:r>
          </w:p>
        </w:tc>
        <w:tc>
          <w:tcPr>
            <w:tcW w:w="1415" w:type="pct"/>
            <w:tcBorders>
              <w:top w:val="nil"/>
              <w:left w:val="nil"/>
              <w:bottom w:val="single" w:color="auto" w:sz="12" w:space="0"/>
              <w:right w:val="nil"/>
            </w:tcBorders>
            <w:shd w:val="clear" w:color="auto" w:fill="FFFFFF"/>
            <w:vAlign w:val="center"/>
          </w:tcPr>
          <w:p w14:paraId="2CBB40A2">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630 (578-661)</w:t>
            </w:r>
          </w:p>
        </w:tc>
        <w:tc>
          <w:tcPr>
            <w:tcW w:w="851" w:type="pct"/>
            <w:tcBorders>
              <w:top w:val="nil"/>
              <w:left w:val="nil"/>
              <w:bottom w:val="single" w:color="auto" w:sz="12" w:space="0"/>
              <w:right w:val="nil"/>
            </w:tcBorders>
            <w:shd w:val="clear" w:color="auto" w:fill="FFFFFF"/>
            <w:vAlign w:val="center"/>
          </w:tcPr>
          <w:p w14:paraId="3F678B32">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79.1% (66.1%-87.9%)</w:t>
            </w:r>
          </w:p>
        </w:tc>
        <w:tc>
          <w:tcPr>
            <w:tcW w:w="851" w:type="pct"/>
            <w:tcBorders>
              <w:top w:val="nil"/>
              <w:left w:val="nil"/>
              <w:bottom w:val="single" w:color="auto" w:sz="12" w:space="0"/>
              <w:right w:val="nil"/>
            </w:tcBorders>
            <w:shd w:val="clear" w:color="auto" w:fill="FFFFFF"/>
            <w:vAlign w:val="center"/>
          </w:tcPr>
          <w:p w14:paraId="17557EC5">
            <w:pPr>
              <w:pStyle w:val="3"/>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Times New Roman" w:hAnsi="Calibri" w:eastAsia="Segoe UI" w:cs="Calibri"/>
                <w:sz w:val="18"/>
                <w:szCs w:val="21"/>
                <w:highlight w:val="none"/>
              </w:rPr>
            </w:pPr>
            <w:r>
              <w:rPr>
                <w:rFonts w:hint="default" w:ascii="Times New Roman" w:hAnsi="Times New Roman" w:eastAsia="Segoe UI" w:cs="Times New Roman"/>
                <w:b w:val="0"/>
                <w:bCs w:val="0"/>
                <w:i w:val="0"/>
                <w:iCs w:val="0"/>
                <w:caps w:val="0"/>
                <w:color w:val="000000"/>
                <w:spacing w:val="0"/>
                <w:sz w:val="18"/>
                <w:szCs w:val="18"/>
                <w:highlight w:val="none"/>
              </w:rPr>
              <w:t>94.6% (90.4%-97.1%)</w:t>
            </w:r>
          </w:p>
        </w:tc>
      </w:tr>
    </w:tbl>
    <w:p w14:paraId="0CB9FA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0" w:afterAutospacing="0" w:line="15" w:lineRule="atLeast"/>
        <w:ind w:left="0" w:right="0" w:firstLine="0"/>
        <w:jc w:val="both"/>
        <w:rPr>
          <w:rFonts w:hint="default" w:ascii="Calibri" w:hAnsi="Calibri" w:cs="Calibri"/>
          <w:i/>
          <w:iCs/>
          <w:caps w:val="0"/>
          <w:color w:val="000000"/>
          <w:spacing w:val="0"/>
          <w:sz w:val="21"/>
          <w:szCs w:val="21"/>
          <w:highlight w:val="none"/>
        </w:rPr>
      </w:pPr>
      <w:r>
        <w:rPr>
          <w:rFonts w:hint="default" w:ascii="Times New Roman" w:hAnsi="Times New Roman" w:cs="Times New Roman"/>
          <w:b w:val="0"/>
          <w:bCs w:val="0"/>
          <w:i/>
          <w:iCs/>
          <w:caps w:val="0"/>
          <w:color w:val="000000"/>
          <w:spacing w:val="0"/>
          <w:sz w:val="21"/>
          <w:szCs w:val="21"/>
          <w:highlight w:val="none"/>
          <w:shd w:val="clear" w:fill="FFFFFF"/>
        </w:rPr>
        <w:t>Note: Because the observed case-mix over-represents cancer relative to real-world practice, these estimates are illustrative and require confirmation in prospective, consecutively recruited populations</w:t>
      </w:r>
      <w:r>
        <w:rPr>
          <w:rFonts w:hint="eastAsia" w:ascii="Times New Roman" w:hAnsi="Times New Roman" w:cs="Times New Roman"/>
          <w:b w:val="0"/>
          <w:bCs w:val="0"/>
          <w:i/>
          <w:iCs/>
          <w:caps w:val="0"/>
          <w:color w:val="000000"/>
          <w:spacing w:val="0"/>
          <w:sz w:val="21"/>
          <w:szCs w:val="21"/>
          <w:highlight w:val="none"/>
          <w:shd w:val="clear" w:fill="FFFFFF"/>
          <w:lang w:val="en-US" w:eastAsia="zh-CN"/>
        </w:rPr>
        <w:t xml:space="preserve">. </w:t>
      </w:r>
      <w:r>
        <w:rPr>
          <w:rFonts w:hint="default" w:ascii="Times New Roman" w:hAnsi="Times New Roman" w:cs="Times New Roman"/>
          <w:b w:val="0"/>
          <w:bCs w:val="0"/>
          <w:i/>
          <w:iCs/>
          <w:caps w:val="0"/>
          <w:color w:val="000000"/>
          <w:spacing w:val="0"/>
          <w:sz w:val="21"/>
          <w:szCs w:val="21"/>
          <w:highlight w:val="none"/>
          <w:shd w:val="clear" w:fill="FFFFFF"/>
        </w:rPr>
        <w:t>Values are hypothetical arithmetic projections for cohorts of 1,000 symptomatic patients and were calculated using the sensitivity of 88.1% (74/84; 95% CI, 79.5%-93.4%) and specificity of 90.0% (90/100; 95% CI, 82.6%-94.5%) observed in the internal hold-out validation set. The scenario assumes that all patients would otherwise undergo further cancer-directed diagnostic evaluation and, hypothetically, that only PUCD-positive patients would proceed. Potentially deferred procedures were calculated as (1 - assumed prevalence) x specificity x 1,000; test-negative cancers were calculated as assumed prevalence x (1 - sensitivity) x 1,000.</w:t>
      </w:r>
      <w:r>
        <w:rPr>
          <w:rFonts w:hint="eastAsia" w:ascii="Times New Roman" w:hAnsi="Times New Roman" w:cs="Times New Roman"/>
          <w:b w:val="0"/>
          <w:bCs w:val="0"/>
          <w:i/>
          <w:iCs/>
          <w:caps w:val="0"/>
          <w:color w:val="000000"/>
          <w:spacing w:val="0"/>
          <w:sz w:val="21"/>
          <w:szCs w:val="21"/>
          <w:highlight w:val="none"/>
          <w:shd w:val="clear" w:fill="FFFFFF"/>
          <w:lang w:val="en-US" w:eastAsia="zh-CN"/>
        </w:rPr>
        <w:t xml:space="preserve"> </w:t>
      </w:r>
      <w:r>
        <w:rPr>
          <w:rFonts w:hint="default" w:ascii="Times New Roman" w:hAnsi="Times New Roman" w:cs="Times New Roman"/>
          <w:b w:val="0"/>
          <w:bCs w:val="0"/>
          <w:i/>
          <w:iCs/>
          <w:caps w:val="0"/>
          <w:color w:val="000000"/>
          <w:spacing w:val="0"/>
          <w:sz w:val="21"/>
          <w:szCs w:val="21"/>
          <w:highlight w:val="none"/>
          <w:shd w:val="clear" w:fill="FFFFFF"/>
        </w:rPr>
        <w:t>Confidence intervals for PPV and NPV were calculated by propagating the Wilson confidence limits for sensitivity and specificity. Counts were rounded to the nearest whole patient. TP, true positive; FN, false negative; FP, false positive; TN, true negative; PPV, positive predictive value; NPV, negative predictive value; CI, confidence interval.</w:t>
      </w:r>
    </w:p>
    <w:p w14:paraId="7F0845C7">
      <w:pPr>
        <w:spacing w:line="240" w:lineRule="auto"/>
      </w:pPr>
    </w:p>
    <w:p w14:paraId="15290554">
      <w:pPr>
        <w:rPr>
          <w:rFonts w:ascii="Times New Roman" w:hAnsi="Times New Roman" w:cs="Times New Roman"/>
          <w:szCs w:val="21"/>
        </w:rPr>
      </w:pPr>
      <w:r>
        <w:rPr>
          <w:rFonts w:ascii="Times New Roman" w:hAnsi="Times New Roman" w:cs="Times New Roman"/>
          <w:b/>
          <w:sz w:val="21"/>
          <w:szCs w:val="21"/>
        </w:rPr>
        <w:t>Table S</w:t>
      </w:r>
      <w:r>
        <w:rPr>
          <w:rFonts w:hint="eastAsia" w:ascii="Times New Roman" w:hAnsi="Times New Roman" w:cs="Times New Roman"/>
          <w:b/>
          <w:sz w:val="21"/>
          <w:szCs w:val="21"/>
          <w:lang w:val="en-US" w:eastAsia="zh-CN"/>
        </w:rPr>
        <w:t>10</w:t>
      </w:r>
      <w:r>
        <w:rPr>
          <w:rFonts w:ascii="Times New Roman" w:hAnsi="Times New Roman" w:cs="Times New Roman"/>
          <w:b/>
          <w:sz w:val="21"/>
          <w:szCs w:val="21"/>
        </w:rPr>
        <w:t>. Adjustment for Age and Sex Confounding: Multivariable Regression, Propensity Score Matching, and Stratified Analysis</w:t>
      </w:r>
    </w:p>
    <w:p w14:paraId="05D35803">
      <w:pPr>
        <w:spacing w:before="120" w:after="60"/>
        <w:rPr>
          <w:rFonts w:ascii="Times New Roman" w:hAnsi="Times New Roman" w:cs="Times New Roman"/>
        </w:rPr>
      </w:pPr>
      <w:r>
        <w:rPr>
          <w:rFonts w:ascii="Times New Roman" w:hAnsi="Times New Roman" w:cs="Times New Roman"/>
          <w:b/>
          <w:sz w:val="20"/>
        </w:rPr>
        <w:t>Part A. Multivariable Logistic Regression: Adjusted Odds Ratios</w:t>
      </w:r>
    </w:p>
    <w:tbl>
      <w:tblPr>
        <w:tblStyle w:val="4"/>
        <w:tblW w:w="4998" w:type="pct"/>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009"/>
        <w:gridCol w:w="2678"/>
        <w:gridCol w:w="898"/>
        <w:gridCol w:w="1689"/>
        <w:gridCol w:w="2245"/>
      </w:tblGrid>
      <w:tr w14:paraId="73BDE28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blHeader/>
          <w:jc w:val="center"/>
        </w:trPr>
        <w:tc>
          <w:tcPr>
            <w:tcW w:w="592" w:type="pct"/>
            <w:tcBorders>
              <w:top w:val="single" w:color="000000" w:sz="12" w:space="0"/>
              <w:bottom w:val="single" w:color="000000" w:sz="6" w:space="0"/>
            </w:tcBorders>
            <w:vAlign w:val="center"/>
          </w:tcPr>
          <w:p w14:paraId="5C20FA49">
            <w:pPr>
              <w:snapToGrid w:val="0"/>
              <w:spacing w:before="20" w:after="20"/>
              <w:ind w:left="0" w:leftChars="0" w:right="0" w:rightChars="0" w:firstLine="0" w:firstLineChars="0"/>
              <w:jc w:val="center"/>
              <w:rPr>
                <w:rFonts w:ascii="Times New Roman" w:hAnsi="Times New Roman" w:eastAsia="宋体" w:cs="Times New Roman"/>
                <w:b/>
                <w:sz w:val="18"/>
              </w:rPr>
            </w:pPr>
            <w:r>
              <w:rPr>
                <w:rFonts w:ascii="Times New Roman" w:hAnsi="Times New Roman" w:eastAsia="宋体" w:cs="Times New Roman"/>
                <w:b/>
                <w:sz w:val="18"/>
              </w:rPr>
              <w:t>Dataset</w:t>
            </w:r>
          </w:p>
        </w:tc>
        <w:tc>
          <w:tcPr>
            <w:tcW w:w="1571" w:type="pct"/>
            <w:tcBorders>
              <w:top w:val="single" w:color="000000" w:sz="12" w:space="0"/>
              <w:bottom w:val="single" w:color="000000" w:sz="6" w:space="0"/>
            </w:tcBorders>
            <w:vAlign w:val="center"/>
          </w:tcPr>
          <w:p w14:paraId="7B7EB4B4">
            <w:pPr>
              <w:snapToGrid w:val="0"/>
              <w:spacing w:before="20" w:after="20"/>
              <w:ind w:left="0" w:leftChars="0" w:right="0" w:rightChars="0" w:firstLine="0" w:firstLineChars="0"/>
              <w:jc w:val="center"/>
              <w:rPr>
                <w:rFonts w:ascii="Times New Roman" w:hAnsi="Times New Roman" w:eastAsia="宋体" w:cs="Times New Roman"/>
                <w:b/>
                <w:sz w:val="18"/>
              </w:rPr>
            </w:pPr>
            <w:r>
              <w:rPr>
                <w:rFonts w:ascii="Times New Roman" w:hAnsi="Times New Roman" w:eastAsia="宋体" w:cs="Times New Roman"/>
                <w:b/>
                <w:sz w:val="18"/>
              </w:rPr>
              <w:t>PUCD Adjusted OR (95% CI)</w:t>
            </w:r>
          </w:p>
        </w:tc>
        <w:tc>
          <w:tcPr>
            <w:tcW w:w="527" w:type="pct"/>
            <w:tcBorders>
              <w:top w:val="single" w:color="000000" w:sz="12" w:space="0"/>
              <w:bottom w:val="single" w:color="000000" w:sz="6" w:space="0"/>
            </w:tcBorders>
            <w:vAlign w:val="center"/>
          </w:tcPr>
          <w:p w14:paraId="71C3848B">
            <w:pPr>
              <w:snapToGrid w:val="0"/>
              <w:spacing w:before="20" w:after="20"/>
              <w:ind w:left="0" w:leftChars="0" w:right="0" w:rightChars="0" w:firstLine="0" w:firstLineChars="0"/>
              <w:jc w:val="center"/>
              <w:rPr>
                <w:rFonts w:ascii="Times New Roman" w:hAnsi="Times New Roman" w:eastAsia="宋体" w:cs="Times New Roman"/>
                <w:b/>
                <w:sz w:val="18"/>
              </w:rPr>
            </w:pPr>
            <w:r>
              <w:rPr>
                <w:rFonts w:ascii="Times New Roman" w:hAnsi="Times New Roman" w:eastAsia="宋体" w:cs="Times New Roman"/>
                <w:b/>
                <w:sz w:val="18"/>
              </w:rPr>
              <w:t>p value</w:t>
            </w:r>
          </w:p>
        </w:tc>
        <w:tc>
          <w:tcPr>
            <w:tcW w:w="991" w:type="pct"/>
            <w:tcBorders>
              <w:top w:val="single" w:color="000000" w:sz="12" w:space="0"/>
              <w:bottom w:val="single" w:color="000000" w:sz="6" w:space="0"/>
            </w:tcBorders>
            <w:vAlign w:val="center"/>
          </w:tcPr>
          <w:p w14:paraId="42433A1B">
            <w:pPr>
              <w:snapToGrid w:val="0"/>
              <w:spacing w:before="20" w:after="20"/>
              <w:ind w:left="0" w:leftChars="0" w:right="0" w:rightChars="0" w:firstLine="0" w:firstLineChars="0"/>
              <w:jc w:val="center"/>
              <w:rPr>
                <w:rFonts w:ascii="Times New Roman" w:hAnsi="Times New Roman" w:eastAsia="宋体" w:cs="Times New Roman"/>
                <w:b/>
                <w:sz w:val="18"/>
              </w:rPr>
            </w:pPr>
            <w:r>
              <w:rPr>
                <w:rFonts w:ascii="Times New Roman" w:hAnsi="Times New Roman" w:eastAsia="宋体" w:cs="Times New Roman"/>
                <w:b/>
                <w:sz w:val="18"/>
              </w:rPr>
              <w:t>Age OR (95% CI)</w:t>
            </w:r>
          </w:p>
        </w:tc>
        <w:tc>
          <w:tcPr>
            <w:tcW w:w="1317" w:type="pct"/>
            <w:tcBorders>
              <w:top w:val="single" w:color="000000" w:sz="12" w:space="0"/>
              <w:bottom w:val="single" w:color="000000" w:sz="6" w:space="0"/>
            </w:tcBorders>
            <w:vAlign w:val="center"/>
          </w:tcPr>
          <w:p w14:paraId="76EB85ED">
            <w:pPr>
              <w:snapToGrid w:val="0"/>
              <w:spacing w:before="20" w:after="20"/>
              <w:ind w:left="0" w:leftChars="0" w:right="0" w:rightChars="0" w:firstLine="0" w:firstLineChars="0"/>
              <w:jc w:val="center"/>
              <w:rPr>
                <w:rFonts w:ascii="Times New Roman" w:hAnsi="Times New Roman" w:eastAsia="宋体" w:cs="Times New Roman"/>
                <w:b/>
                <w:sz w:val="18"/>
              </w:rPr>
            </w:pPr>
            <w:r>
              <w:rPr>
                <w:rFonts w:ascii="Times New Roman" w:hAnsi="Times New Roman" w:eastAsia="宋体" w:cs="Times New Roman"/>
                <w:b/>
                <w:sz w:val="18"/>
              </w:rPr>
              <w:t>Sex (Male) OR (95% CI)</w:t>
            </w:r>
          </w:p>
        </w:tc>
      </w:tr>
      <w:tr w14:paraId="28D5F0E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592" w:type="pct"/>
            <w:vAlign w:val="center"/>
          </w:tcPr>
          <w:p w14:paraId="0365A800">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Training</w:t>
            </w:r>
          </w:p>
        </w:tc>
        <w:tc>
          <w:tcPr>
            <w:tcW w:w="1571" w:type="pct"/>
            <w:vAlign w:val="center"/>
          </w:tcPr>
          <w:p w14:paraId="00FA021A">
            <w:pPr>
              <w:snapToGrid w:val="0"/>
              <w:spacing w:before="20" w:after="20"/>
              <w:ind w:left="0" w:leftChars="0" w:right="0" w:rightChars="0" w:firstLine="0" w:firstLineChars="0"/>
              <w:jc w:val="right"/>
              <w:rPr>
                <w:rFonts w:ascii="Times New Roman" w:hAnsi="Times New Roman" w:eastAsia="宋体" w:cs="Times New Roman"/>
                <w:sz w:val="18"/>
              </w:rPr>
            </w:pPr>
            <w:r>
              <w:rPr>
                <w:rFonts w:ascii="Times New Roman" w:hAnsi="Times New Roman" w:eastAsia="宋体" w:cs="Times New Roman"/>
                <w:sz w:val="18"/>
              </w:rPr>
              <w:t>7.65 (4.95-13.07)</w:t>
            </w:r>
          </w:p>
        </w:tc>
        <w:tc>
          <w:tcPr>
            <w:tcW w:w="527" w:type="pct"/>
            <w:vAlign w:val="center"/>
          </w:tcPr>
          <w:p w14:paraId="41B330BB">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1.27e-16</w:t>
            </w:r>
          </w:p>
        </w:tc>
        <w:tc>
          <w:tcPr>
            <w:tcW w:w="991" w:type="pct"/>
            <w:vAlign w:val="center"/>
          </w:tcPr>
          <w:p w14:paraId="62D246C3">
            <w:pPr>
              <w:snapToGrid w:val="0"/>
              <w:spacing w:before="20" w:after="20"/>
              <w:ind w:left="0" w:leftChars="0" w:right="0" w:rightChars="0" w:firstLine="0" w:firstLineChars="0"/>
              <w:jc w:val="right"/>
              <w:rPr>
                <w:rFonts w:ascii="Times New Roman" w:hAnsi="Times New Roman" w:eastAsia="宋体" w:cs="Times New Roman"/>
                <w:sz w:val="18"/>
              </w:rPr>
            </w:pPr>
            <w:r>
              <w:rPr>
                <w:rFonts w:ascii="Times New Roman" w:hAnsi="Times New Roman" w:eastAsia="宋体" w:cs="Times New Roman"/>
                <w:sz w:val="18"/>
              </w:rPr>
              <w:t>1.16 (1.10-1.22)</w:t>
            </w:r>
          </w:p>
        </w:tc>
        <w:tc>
          <w:tcPr>
            <w:tcW w:w="1317" w:type="pct"/>
            <w:vAlign w:val="center"/>
          </w:tcPr>
          <w:p w14:paraId="57A86BA1">
            <w:pPr>
              <w:snapToGrid w:val="0"/>
              <w:spacing w:before="20" w:after="20"/>
              <w:ind w:left="0" w:leftChars="0" w:right="0" w:rightChars="0" w:firstLine="0" w:firstLineChars="0"/>
              <w:jc w:val="right"/>
              <w:rPr>
                <w:rFonts w:ascii="Times New Roman" w:hAnsi="Times New Roman" w:eastAsia="宋体" w:cs="Times New Roman"/>
                <w:sz w:val="18"/>
              </w:rPr>
            </w:pPr>
            <w:r>
              <w:rPr>
                <w:rFonts w:ascii="Times New Roman" w:hAnsi="Times New Roman" w:eastAsia="宋体" w:cs="Times New Roman"/>
                <w:sz w:val="18"/>
              </w:rPr>
              <w:t>5.89 (2.15-17.90)</w:t>
            </w:r>
          </w:p>
        </w:tc>
      </w:tr>
      <w:tr w14:paraId="4F2DF22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592" w:type="pct"/>
            <w:vAlign w:val="center"/>
          </w:tcPr>
          <w:p w14:paraId="17F27E4A">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Validation</w:t>
            </w:r>
          </w:p>
        </w:tc>
        <w:tc>
          <w:tcPr>
            <w:tcW w:w="1571" w:type="pct"/>
            <w:vAlign w:val="center"/>
          </w:tcPr>
          <w:p w14:paraId="4974C7B7">
            <w:pPr>
              <w:snapToGrid w:val="0"/>
              <w:spacing w:before="20" w:after="20"/>
              <w:ind w:left="0" w:leftChars="0" w:right="0" w:rightChars="0" w:firstLine="0" w:firstLineChars="0"/>
              <w:jc w:val="right"/>
              <w:rPr>
                <w:rFonts w:ascii="Times New Roman" w:hAnsi="Times New Roman" w:eastAsia="宋体" w:cs="Times New Roman"/>
                <w:sz w:val="18"/>
              </w:rPr>
            </w:pPr>
            <w:r>
              <w:rPr>
                <w:rFonts w:ascii="Times New Roman" w:hAnsi="Times New Roman" w:eastAsia="宋体" w:cs="Times New Roman"/>
                <w:sz w:val="18"/>
              </w:rPr>
              <w:t>6.24 (3.49-13.86)</w:t>
            </w:r>
          </w:p>
        </w:tc>
        <w:tc>
          <w:tcPr>
            <w:tcW w:w="527" w:type="pct"/>
            <w:vAlign w:val="center"/>
          </w:tcPr>
          <w:p w14:paraId="295D8791">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1.14e-07</w:t>
            </w:r>
          </w:p>
        </w:tc>
        <w:tc>
          <w:tcPr>
            <w:tcW w:w="991" w:type="pct"/>
            <w:vAlign w:val="center"/>
          </w:tcPr>
          <w:p w14:paraId="5A03DE9A">
            <w:pPr>
              <w:snapToGrid w:val="0"/>
              <w:spacing w:before="20" w:after="20"/>
              <w:ind w:left="0" w:leftChars="0" w:right="0" w:rightChars="0" w:firstLine="0" w:firstLineChars="0"/>
              <w:jc w:val="right"/>
              <w:rPr>
                <w:rFonts w:ascii="Times New Roman" w:hAnsi="Times New Roman" w:eastAsia="宋体" w:cs="Times New Roman"/>
                <w:sz w:val="18"/>
              </w:rPr>
            </w:pPr>
            <w:r>
              <w:rPr>
                <w:rFonts w:ascii="Times New Roman" w:hAnsi="Times New Roman" w:eastAsia="宋体" w:cs="Times New Roman"/>
                <w:sz w:val="18"/>
              </w:rPr>
              <w:t>1.10 (1.04-1.18)</w:t>
            </w:r>
          </w:p>
        </w:tc>
        <w:tc>
          <w:tcPr>
            <w:tcW w:w="1317" w:type="pct"/>
            <w:vAlign w:val="center"/>
          </w:tcPr>
          <w:p w14:paraId="1D1DC318">
            <w:pPr>
              <w:snapToGrid w:val="0"/>
              <w:spacing w:before="20" w:after="20"/>
              <w:ind w:left="0" w:leftChars="0" w:right="0" w:rightChars="0" w:firstLine="0" w:firstLineChars="0"/>
              <w:jc w:val="right"/>
              <w:rPr>
                <w:rFonts w:ascii="Times New Roman" w:hAnsi="Times New Roman" w:eastAsia="宋体" w:cs="Times New Roman"/>
                <w:sz w:val="18"/>
              </w:rPr>
            </w:pPr>
            <w:r>
              <w:rPr>
                <w:rFonts w:ascii="Times New Roman" w:hAnsi="Times New Roman" w:eastAsia="宋体" w:cs="Times New Roman"/>
                <w:sz w:val="18"/>
              </w:rPr>
              <w:t>5.79 (1.54-26.75)</w:t>
            </w:r>
          </w:p>
        </w:tc>
      </w:tr>
      <w:tr w14:paraId="029F62B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592" w:type="pct"/>
            <w:tcBorders>
              <w:bottom w:val="single" w:color="000000" w:sz="12" w:space="0"/>
            </w:tcBorders>
            <w:vAlign w:val="center"/>
          </w:tcPr>
          <w:p w14:paraId="296A9D93">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Pooled</w:t>
            </w:r>
          </w:p>
        </w:tc>
        <w:tc>
          <w:tcPr>
            <w:tcW w:w="1571" w:type="pct"/>
            <w:tcBorders>
              <w:bottom w:val="single" w:color="000000" w:sz="12" w:space="0"/>
            </w:tcBorders>
            <w:vAlign w:val="center"/>
          </w:tcPr>
          <w:p w14:paraId="0DFF9346">
            <w:pPr>
              <w:snapToGrid w:val="0"/>
              <w:spacing w:before="20" w:after="20"/>
              <w:ind w:left="0" w:leftChars="0" w:right="0" w:rightChars="0" w:firstLine="0" w:firstLineChars="0"/>
              <w:jc w:val="right"/>
              <w:rPr>
                <w:rFonts w:ascii="Times New Roman" w:hAnsi="Times New Roman" w:eastAsia="宋体" w:cs="Times New Roman"/>
                <w:sz w:val="18"/>
              </w:rPr>
            </w:pPr>
            <w:r>
              <w:rPr>
                <w:rFonts w:ascii="Times New Roman" w:hAnsi="Times New Roman" w:eastAsia="宋体" w:cs="Times New Roman"/>
                <w:sz w:val="18"/>
              </w:rPr>
              <w:t>7.07 (4.95-10.82)</w:t>
            </w:r>
          </w:p>
        </w:tc>
        <w:tc>
          <w:tcPr>
            <w:tcW w:w="527" w:type="pct"/>
            <w:tcBorders>
              <w:bottom w:val="single" w:color="000000" w:sz="12" w:space="0"/>
            </w:tcBorders>
            <w:vAlign w:val="center"/>
          </w:tcPr>
          <w:p w14:paraId="4A0FE989">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6.50e-23</w:t>
            </w:r>
          </w:p>
        </w:tc>
        <w:tc>
          <w:tcPr>
            <w:tcW w:w="991" w:type="pct"/>
            <w:tcBorders>
              <w:bottom w:val="single" w:color="000000" w:sz="12" w:space="0"/>
            </w:tcBorders>
            <w:vAlign w:val="center"/>
          </w:tcPr>
          <w:p w14:paraId="441EF6AE">
            <w:pPr>
              <w:snapToGrid w:val="0"/>
              <w:spacing w:before="20" w:after="20"/>
              <w:ind w:left="0" w:leftChars="0" w:right="0" w:rightChars="0" w:firstLine="0" w:firstLineChars="0"/>
              <w:jc w:val="right"/>
              <w:rPr>
                <w:rFonts w:ascii="Times New Roman" w:hAnsi="Times New Roman" w:eastAsia="宋体" w:cs="Times New Roman"/>
                <w:sz w:val="18"/>
              </w:rPr>
            </w:pPr>
            <w:r>
              <w:rPr>
                <w:rFonts w:ascii="Times New Roman" w:hAnsi="Times New Roman" w:eastAsia="宋体" w:cs="Times New Roman"/>
                <w:sz w:val="18"/>
              </w:rPr>
              <w:t>1.14 (1.10-1.18)</w:t>
            </w:r>
          </w:p>
        </w:tc>
        <w:tc>
          <w:tcPr>
            <w:tcW w:w="1317" w:type="pct"/>
            <w:tcBorders>
              <w:bottom w:val="single" w:color="000000" w:sz="12" w:space="0"/>
            </w:tcBorders>
            <w:vAlign w:val="center"/>
          </w:tcPr>
          <w:p w14:paraId="7277CD88">
            <w:pPr>
              <w:snapToGrid w:val="0"/>
              <w:spacing w:before="20" w:after="20"/>
              <w:ind w:left="0" w:leftChars="0" w:right="0" w:rightChars="0" w:firstLine="0" w:firstLineChars="0"/>
              <w:jc w:val="right"/>
              <w:rPr>
                <w:rFonts w:ascii="Times New Roman" w:hAnsi="Times New Roman" w:eastAsia="宋体" w:cs="Times New Roman"/>
                <w:sz w:val="18"/>
              </w:rPr>
            </w:pPr>
            <w:r>
              <w:rPr>
                <w:rFonts w:ascii="Times New Roman" w:hAnsi="Times New Roman" w:eastAsia="宋体" w:cs="Times New Roman"/>
                <w:sz w:val="18"/>
              </w:rPr>
              <w:t>5.78 (2.58-13.88)</w:t>
            </w:r>
          </w:p>
        </w:tc>
      </w:tr>
    </w:tbl>
    <w:p w14:paraId="1F5C94D1">
      <w:pPr>
        <w:spacing w:before="120" w:after="60"/>
        <w:rPr>
          <w:rFonts w:ascii="Times New Roman" w:hAnsi="Times New Roman" w:cs="Times New Roman"/>
        </w:rPr>
      </w:pPr>
      <w:r>
        <w:rPr>
          <w:rFonts w:ascii="Times New Roman" w:hAnsi="Times New Roman" w:cs="Times New Roman"/>
          <w:b/>
          <w:sz w:val="20"/>
        </w:rPr>
        <w:t>Part B. Propensity Score-Matched Analysis (1:1 Matching on Age and Sex)</w:t>
      </w:r>
    </w:p>
    <w:tbl>
      <w:tblPr>
        <w:tblStyle w:val="4"/>
        <w:tblW w:w="4998" w:type="pct"/>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038"/>
        <w:gridCol w:w="1782"/>
        <w:gridCol w:w="1804"/>
        <w:gridCol w:w="1947"/>
        <w:gridCol w:w="1948"/>
      </w:tblGrid>
      <w:tr w14:paraId="7F08323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609" w:type="pct"/>
            <w:tcBorders>
              <w:top w:val="single" w:color="000000" w:sz="12" w:space="0"/>
              <w:bottom w:val="single" w:color="000000" w:sz="6" w:space="0"/>
            </w:tcBorders>
            <w:vAlign w:val="center"/>
          </w:tcPr>
          <w:p w14:paraId="29F01DFE">
            <w:pPr>
              <w:snapToGrid w:val="0"/>
              <w:spacing w:before="20" w:after="20"/>
              <w:ind w:left="0" w:leftChars="0" w:right="0" w:rightChars="0" w:firstLine="0" w:firstLineChars="0"/>
              <w:jc w:val="center"/>
              <w:rPr>
                <w:rFonts w:ascii="Times New Roman" w:hAnsi="Times New Roman" w:eastAsia="宋体" w:cs="Times New Roman"/>
                <w:b/>
                <w:sz w:val="18"/>
              </w:rPr>
            </w:pPr>
            <w:r>
              <w:rPr>
                <w:rFonts w:ascii="Times New Roman" w:hAnsi="Times New Roman" w:eastAsia="宋体" w:cs="Times New Roman"/>
                <w:b/>
                <w:sz w:val="18"/>
              </w:rPr>
              <w:t>Dataset</w:t>
            </w:r>
          </w:p>
        </w:tc>
        <w:tc>
          <w:tcPr>
            <w:tcW w:w="1045" w:type="pct"/>
            <w:tcBorders>
              <w:top w:val="single" w:color="000000" w:sz="12" w:space="0"/>
              <w:bottom w:val="single" w:color="000000" w:sz="6" w:space="0"/>
            </w:tcBorders>
            <w:vAlign w:val="center"/>
          </w:tcPr>
          <w:p w14:paraId="7888E09B">
            <w:pPr>
              <w:snapToGrid w:val="0"/>
              <w:spacing w:before="20" w:after="20"/>
              <w:ind w:left="0" w:leftChars="0" w:right="0" w:rightChars="0" w:firstLine="0" w:firstLineChars="0"/>
              <w:jc w:val="center"/>
              <w:rPr>
                <w:rFonts w:ascii="Times New Roman" w:hAnsi="Times New Roman" w:eastAsia="宋体" w:cs="Times New Roman"/>
                <w:b/>
                <w:sz w:val="18"/>
              </w:rPr>
            </w:pPr>
            <w:r>
              <w:rPr>
                <w:rFonts w:ascii="Times New Roman" w:hAnsi="Times New Roman" w:eastAsia="宋体" w:cs="Times New Roman"/>
                <w:b/>
                <w:sz w:val="18"/>
              </w:rPr>
              <w:t>Matched Pairs (N)</w:t>
            </w:r>
          </w:p>
        </w:tc>
        <w:tc>
          <w:tcPr>
            <w:tcW w:w="1058" w:type="pct"/>
            <w:tcBorders>
              <w:top w:val="single" w:color="000000" w:sz="12" w:space="0"/>
              <w:bottom w:val="single" w:color="000000" w:sz="6" w:space="0"/>
            </w:tcBorders>
            <w:vAlign w:val="center"/>
          </w:tcPr>
          <w:p w14:paraId="1C4ADDA0">
            <w:pPr>
              <w:snapToGrid w:val="0"/>
              <w:spacing w:before="20" w:after="20"/>
              <w:ind w:left="0" w:leftChars="0" w:right="0" w:rightChars="0" w:firstLine="0" w:firstLineChars="0"/>
              <w:jc w:val="center"/>
              <w:rPr>
                <w:rFonts w:ascii="Times New Roman" w:hAnsi="Times New Roman" w:eastAsia="宋体" w:cs="Times New Roman"/>
                <w:b/>
                <w:sz w:val="18"/>
              </w:rPr>
            </w:pPr>
            <w:r>
              <w:rPr>
                <w:rFonts w:ascii="Times New Roman" w:hAnsi="Times New Roman" w:eastAsia="宋体" w:cs="Times New Roman"/>
                <w:b/>
                <w:sz w:val="18"/>
              </w:rPr>
              <w:t>AUC (95% CI)</w:t>
            </w:r>
          </w:p>
        </w:tc>
        <w:tc>
          <w:tcPr>
            <w:tcW w:w="1142" w:type="pct"/>
            <w:tcBorders>
              <w:top w:val="single" w:color="000000" w:sz="12" w:space="0"/>
              <w:bottom w:val="single" w:color="000000" w:sz="6" w:space="0"/>
            </w:tcBorders>
            <w:vAlign w:val="center"/>
          </w:tcPr>
          <w:p w14:paraId="616919CA">
            <w:pPr>
              <w:snapToGrid w:val="0"/>
              <w:spacing w:before="20" w:after="20"/>
              <w:ind w:left="0" w:leftChars="0" w:right="0" w:rightChars="0" w:firstLine="0" w:firstLineChars="0"/>
              <w:jc w:val="center"/>
              <w:rPr>
                <w:rFonts w:ascii="Times New Roman" w:hAnsi="Times New Roman" w:eastAsia="宋体" w:cs="Times New Roman"/>
                <w:b/>
                <w:sz w:val="18"/>
              </w:rPr>
            </w:pPr>
            <w:r>
              <w:rPr>
                <w:rFonts w:ascii="Times New Roman" w:hAnsi="Times New Roman" w:eastAsia="宋体" w:cs="Times New Roman"/>
                <w:b/>
                <w:sz w:val="18"/>
              </w:rPr>
              <w:t>Sensitivity (95% CI)</w:t>
            </w:r>
          </w:p>
        </w:tc>
        <w:tc>
          <w:tcPr>
            <w:tcW w:w="1142" w:type="pct"/>
            <w:tcBorders>
              <w:top w:val="single" w:color="000000" w:sz="12" w:space="0"/>
              <w:bottom w:val="single" w:color="000000" w:sz="6" w:space="0"/>
            </w:tcBorders>
            <w:vAlign w:val="center"/>
          </w:tcPr>
          <w:p w14:paraId="4BEBE467">
            <w:pPr>
              <w:snapToGrid w:val="0"/>
              <w:spacing w:before="20" w:after="20"/>
              <w:ind w:left="0" w:leftChars="0" w:right="0" w:rightChars="0" w:firstLine="0" w:firstLineChars="0"/>
              <w:jc w:val="center"/>
              <w:rPr>
                <w:rFonts w:ascii="Times New Roman" w:hAnsi="Times New Roman" w:eastAsia="宋体" w:cs="Times New Roman"/>
                <w:b/>
                <w:sz w:val="18"/>
              </w:rPr>
            </w:pPr>
            <w:r>
              <w:rPr>
                <w:rFonts w:ascii="Times New Roman" w:hAnsi="Times New Roman" w:eastAsia="宋体" w:cs="Times New Roman"/>
                <w:b/>
                <w:sz w:val="18"/>
              </w:rPr>
              <w:t>Specificity (95% CI)</w:t>
            </w:r>
          </w:p>
        </w:tc>
      </w:tr>
      <w:tr w14:paraId="26F5740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jc w:val="center"/>
        </w:trPr>
        <w:tc>
          <w:tcPr>
            <w:tcW w:w="609" w:type="pct"/>
            <w:vAlign w:val="center"/>
          </w:tcPr>
          <w:p w14:paraId="50219041">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Training</w:t>
            </w:r>
          </w:p>
        </w:tc>
        <w:tc>
          <w:tcPr>
            <w:tcW w:w="1045" w:type="pct"/>
            <w:vAlign w:val="center"/>
          </w:tcPr>
          <w:p w14:paraId="07264EC1">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191</w:t>
            </w:r>
          </w:p>
        </w:tc>
        <w:tc>
          <w:tcPr>
            <w:tcW w:w="1804" w:type="dxa"/>
            <w:vAlign w:val="center"/>
          </w:tcPr>
          <w:p w14:paraId="196FB580">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0.946 (0.924-0.96</w:t>
            </w:r>
            <w:r>
              <w:rPr>
                <w:rFonts w:hint="eastAsia" w:ascii="Times New Roman" w:hAnsi="Times New Roman" w:eastAsia="宋体" w:cs="Times New Roman"/>
                <w:sz w:val="18"/>
                <w:lang w:val="en-US" w:eastAsia="zh-CN"/>
              </w:rPr>
              <w:t>7</w:t>
            </w:r>
            <w:r>
              <w:rPr>
                <w:rFonts w:ascii="Times New Roman" w:hAnsi="Times New Roman" w:eastAsia="宋体" w:cs="Times New Roman"/>
                <w:sz w:val="18"/>
              </w:rPr>
              <w:t>)</w:t>
            </w:r>
          </w:p>
        </w:tc>
        <w:tc>
          <w:tcPr>
            <w:tcW w:w="1142" w:type="pct"/>
            <w:vAlign w:val="center"/>
          </w:tcPr>
          <w:p w14:paraId="2236F04B">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88.0% (82.6-91.8%)</w:t>
            </w:r>
          </w:p>
        </w:tc>
        <w:tc>
          <w:tcPr>
            <w:tcW w:w="1142" w:type="pct"/>
            <w:vAlign w:val="center"/>
          </w:tcPr>
          <w:p w14:paraId="3D3A6FAC">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88.5% (83.2-92.3%)</w:t>
            </w:r>
          </w:p>
        </w:tc>
      </w:tr>
      <w:tr w14:paraId="40DBFE4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jc w:val="center"/>
        </w:trPr>
        <w:tc>
          <w:tcPr>
            <w:tcW w:w="609" w:type="pct"/>
            <w:tcBorders>
              <w:bottom w:val="single" w:color="000000" w:sz="12" w:space="0"/>
            </w:tcBorders>
            <w:vAlign w:val="center"/>
          </w:tcPr>
          <w:p w14:paraId="3E57D7EE">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Validation</w:t>
            </w:r>
          </w:p>
        </w:tc>
        <w:tc>
          <w:tcPr>
            <w:tcW w:w="1045" w:type="pct"/>
            <w:tcBorders>
              <w:bottom w:val="single" w:color="000000" w:sz="12" w:space="0"/>
            </w:tcBorders>
            <w:vAlign w:val="center"/>
          </w:tcPr>
          <w:p w14:paraId="793E46A5">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84</w:t>
            </w:r>
          </w:p>
        </w:tc>
        <w:tc>
          <w:tcPr>
            <w:tcW w:w="1804" w:type="dxa"/>
            <w:tcBorders>
              <w:bottom w:val="single" w:color="000000" w:sz="12" w:space="0"/>
            </w:tcBorders>
            <w:vAlign w:val="center"/>
          </w:tcPr>
          <w:p w14:paraId="696C9E7F">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0.948 (0.9</w:t>
            </w:r>
            <w:r>
              <w:rPr>
                <w:rFonts w:hint="eastAsia" w:ascii="Times New Roman" w:hAnsi="Times New Roman" w:eastAsia="宋体" w:cs="Times New Roman"/>
                <w:sz w:val="18"/>
                <w:lang w:val="en-US" w:eastAsia="zh-CN"/>
              </w:rPr>
              <w:t>10</w:t>
            </w:r>
            <w:r>
              <w:rPr>
                <w:rFonts w:ascii="Times New Roman" w:hAnsi="Times New Roman" w:eastAsia="宋体" w:cs="Times New Roman"/>
                <w:sz w:val="18"/>
              </w:rPr>
              <w:t>-0.98</w:t>
            </w:r>
            <w:r>
              <w:rPr>
                <w:rFonts w:hint="eastAsia" w:ascii="Times New Roman" w:hAnsi="Times New Roman" w:eastAsia="宋体" w:cs="Times New Roman"/>
                <w:sz w:val="18"/>
                <w:lang w:val="en-US" w:eastAsia="zh-CN"/>
              </w:rPr>
              <w:t>6</w:t>
            </w:r>
            <w:r>
              <w:rPr>
                <w:rFonts w:ascii="Times New Roman" w:hAnsi="Times New Roman" w:eastAsia="宋体" w:cs="Times New Roman"/>
                <w:sz w:val="18"/>
              </w:rPr>
              <w:t>)</w:t>
            </w:r>
          </w:p>
        </w:tc>
        <w:tc>
          <w:tcPr>
            <w:tcW w:w="1142" w:type="pct"/>
            <w:tcBorders>
              <w:bottom w:val="single" w:color="000000" w:sz="12" w:space="0"/>
            </w:tcBorders>
            <w:vAlign w:val="center"/>
          </w:tcPr>
          <w:p w14:paraId="2D9DD7CB">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88.1% (79.5-93.4%)</w:t>
            </w:r>
          </w:p>
        </w:tc>
        <w:tc>
          <w:tcPr>
            <w:tcW w:w="1142" w:type="pct"/>
            <w:tcBorders>
              <w:bottom w:val="single" w:color="000000" w:sz="12" w:space="0"/>
            </w:tcBorders>
            <w:vAlign w:val="center"/>
          </w:tcPr>
          <w:p w14:paraId="347136B6">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89.3% (80.9-94.3%)</w:t>
            </w:r>
          </w:p>
        </w:tc>
      </w:tr>
    </w:tbl>
    <w:p w14:paraId="10B25504">
      <w:pPr>
        <w:spacing w:before="120" w:after="60"/>
        <w:rPr>
          <w:rFonts w:ascii="Times New Roman" w:hAnsi="Times New Roman" w:cs="Times New Roman"/>
        </w:rPr>
      </w:pPr>
      <w:r>
        <w:rPr>
          <w:rFonts w:ascii="Times New Roman" w:hAnsi="Times New Roman" w:cs="Times New Roman"/>
          <w:b/>
          <w:sz w:val="20"/>
        </w:rPr>
        <w:t>Part C. Stratified Diagnostic Performance by Age and Sex</w:t>
      </w:r>
    </w:p>
    <w:tbl>
      <w:tblPr>
        <w:tblStyle w:val="4"/>
        <w:tblW w:w="5000" w:type="pct"/>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956"/>
        <w:gridCol w:w="974"/>
        <w:gridCol w:w="1490"/>
        <w:gridCol w:w="1600"/>
        <w:gridCol w:w="1791"/>
        <w:gridCol w:w="1711"/>
      </w:tblGrid>
      <w:tr w14:paraId="72D9A48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560" w:type="pct"/>
            <w:tcBorders>
              <w:top w:val="single" w:color="000000" w:sz="12" w:space="0"/>
              <w:bottom w:val="single" w:color="000000" w:sz="6" w:space="0"/>
            </w:tcBorders>
            <w:vAlign w:val="center"/>
          </w:tcPr>
          <w:p w14:paraId="42FB45FB">
            <w:pPr>
              <w:snapToGrid w:val="0"/>
              <w:spacing w:before="20" w:after="20"/>
              <w:ind w:left="0" w:leftChars="0" w:right="0" w:rightChars="0" w:firstLine="0" w:firstLineChars="0"/>
              <w:jc w:val="center"/>
              <w:rPr>
                <w:rFonts w:ascii="Times New Roman" w:hAnsi="Times New Roman" w:eastAsia="宋体" w:cs="Times New Roman"/>
                <w:b/>
                <w:sz w:val="18"/>
              </w:rPr>
            </w:pPr>
            <w:r>
              <w:rPr>
                <w:rFonts w:ascii="Times New Roman" w:hAnsi="Times New Roman" w:eastAsia="宋体" w:cs="Times New Roman"/>
                <w:b/>
                <w:sz w:val="18"/>
              </w:rPr>
              <w:t>Dataset</w:t>
            </w:r>
          </w:p>
        </w:tc>
        <w:tc>
          <w:tcPr>
            <w:tcW w:w="571" w:type="pct"/>
            <w:tcBorders>
              <w:top w:val="single" w:color="000000" w:sz="12" w:space="0"/>
              <w:bottom w:val="single" w:color="000000" w:sz="6" w:space="0"/>
            </w:tcBorders>
            <w:vAlign w:val="center"/>
          </w:tcPr>
          <w:p w14:paraId="03716E4D">
            <w:pPr>
              <w:snapToGrid w:val="0"/>
              <w:spacing w:before="20" w:after="20"/>
              <w:ind w:left="0" w:leftChars="0" w:right="0" w:rightChars="0" w:firstLine="0" w:firstLineChars="0"/>
              <w:jc w:val="center"/>
              <w:rPr>
                <w:rFonts w:ascii="Times New Roman" w:hAnsi="Times New Roman" w:eastAsia="宋体" w:cs="Times New Roman"/>
                <w:b/>
                <w:sz w:val="18"/>
              </w:rPr>
            </w:pPr>
            <w:r>
              <w:rPr>
                <w:rFonts w:ascii="Times New Roman" w:hAnsi="Times New Roman" w:eastAsia="宋体" w:cs="Times New Roman"/>
                <w:b/>
                <w:sz w:val="18"/>
              </w:rPr>
              <w:t>Subgroup</w:t>
            </w:r>
          </w:p>
        </w:tc>
        <w:tc>
          <w:tcPr>
            <w:tcW w:w="874" w:type="pct"/>
            <w:tcBorders>
              <w:top w:val="single" w:color="000000" w:sz="12" w:space="0"/>
              <w:bottom w:val="single" w:color="000000" w:sz="6" w:space="0"/>
            </w:tcBorders>
            <w:vAlign w:val="center"/>
          </w:tcPr>
          <w:p w14:paraId="74649330">
            <w:pPr>
              <w:snapToGrid w:val="0"/>
              <w:spacing w:before="20" w:after="20"/>
              <w:ind w:left="0" w:leftChars="0" w:right="0" w:rightChars="0" w:firstLine="0" w:firstLineChars="0"/>
              <w:jc w:val="center"/>
              <w:rPr>
                <w:rFonts w:ascii="Times New Roman" w:hAnsi="Times New Roman" w:eastAsia="宋体" w:cs="Times New Roman"/>
                <w:b/>
                <w:sz w:val="18"/>
              </w:rPr>
            </w:pPr>
            <w:r>
              <w:rPr>
                <w:rFonts w:ascii="Times New Roman" w:hAnsi="Times New Roman" w:eastAsia="宋体" w:cs="Times New Roman"/>
                <w:b/>
                <w:sz w:val="18"/>
              </w:rPr>
              <w:t>N (Cancer/Total)</w:t>
            </w:r>
          </w:p>
        </w:tc>
        <w:tc>
          <w:tcPr>
            <w:tcW w:w="938" w:type="pct"/>
            <w:tcBorders>
              <w:top w:val="single" w:color="000000" w:sz="12" w:space="0"/>
              <w:bottom w:val="single" w:color="000000" w:sz="6" w:space="0"/>
            </w:tcBorders>
            <w:vAlign w:val="center"/>
          </w:tcPr>
          <w:p w14:paraId="3205DE83">
            <w:pPr>
              <w:snapToGrid w:val="0"/>
              <w:spacing w:before="20" w:after="20"/>
              <w:ind w:left="0" w:leftChars="0" w:right="0" w:rightChars="0" w:firstLine="0" w:firstLineChars="0"/>
              <w:jc w:val="center"/>
              <w:rPr>
                <w:rFonts w:ascii="Times New Roman" w:hAnsi="Times New Roman" w:eastAsia="宋体" w:cs="Times New Roman"/>
                <w:b/>
                <w:sz w:val="18"/>
              </w:rPr>
            </w:pPr>
            <w:r>
              <w:rPr>
                <w:rFonts w:ascii="Times New Roman" w:hAnsi="Times New Roman" w:eastAsia="宋体" w:cs="Times New Roman"/>
                <w:b/>
                <w:sz w:val="18"/>
              </w:rPr>
              <w:t>AUC (95% CI)</w:t>
            </w:r>
          </w:p>
        </w:tc>
        <w:tc>
          <w:tcPr>
            <w:tcW w:w="1050" w:type="pct"/>
            <w:tcBorders>
              <w:top w:val="single" w:color="000000" w:sz="12" w:space="0"/>
              <w:bottom w:val="single" w:color="000000" w:sz="6" w:space="0"/>
            </w:tcBorders>
            <w:vAlign w:val="center"/>
          </w:tcPr>
          <w:p w14:paraId="2537F3BA">
            <w:pPr>
              <w:snapToGrid w:val="0"/>
              <w:spacing w:before="20" w:after="20"/>
              <w:ind w:left="0" w:leftChars="0" w:right="0" w:rightChars="0" w:firstLine="0" w:firstLineChars="0"/>
              <w:jc w:val="center"/>
              <w:rPr>
                <w:rFonts w:ascii="Times New Roman" w:hAnsi="Times New Roman" w:eastAsia="宋体" w:cs="Times New Roman"/>
                <w:b/>
                <w:sz w:val="18"/>
              </w:rPr>
            </w:pPr>
            <w:r>
              <w:rPr>
                <w:rFonts w:ascii="Times New Roman" w:hAnsi="Times New Roman" w:eastAsia="宋体" w:cs="Times New Roman"/>
                <w:b/>
                <w:sz w:val="18"/>
              </w:rPr>
              <w:t>Sensitivity (95% CI)</w:t>
            </w:r>
          </w:p>
        </w:tc>
        <w:tc>
          <w:tcPr>
            <w:tcW w:w="1003" w:type="pct"/>
            <w:tcBorders>
              <w:top w:val="single" w:color="000000" w:sz="12" w:space="0"/>
              <w:bottom w:val="single" w:color="000000" w:sz="6" w:space="0"/>
            </w:tcBorders>
            <w:vAlign w:val="center"/>
          </w:tcPr>
          <w:p w14:paraId="739713ED">
            <w:pPr>
              <w:snapToGrid w:val="0"/>
              <w:spacing w:before="20" w:after="20"/>
              <w:ind w:left="0" w:leftChars="0" w:right="0" w:rightChars="0" w:firstLine="0" w:firstLineChars="0"/>
              <w:jc w:val="center"/>
              <w:rPr>
                <w:rFonts w:ascii="Times New Roman" w:hAnsi="Times New Roman" w:eastAsia="宋体" w:cs="Times New Roman"/>
                <w:b/>
                <w:sz w:val="18"/>
              </w:rPr>
            </w:pPr>
            <w:r>
              <w:rPr>
                <w:rFonts w:ascii="Times New Roman" w:hAnsi="Times New Roman" w:eastAsia="宋体" w:cs="Times New Roman"/>
                <w:b/>
                <w:sz w:val="18"/>
              </w:rPr>
              <w:t>Specificity (95% CI)</w:t>
            </w:r>
          </w:p>
        </w:tc>
      </w:tr>
      <w:tr w14:paraId="54437C1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jc w:val="center"/>
        </w:trPr>
        <w:tc>
          <w:tcPr>
            <w:tcW w:w="560" w:type="pct"/>
            <w:vAlign w:val="center"/>
          </w:tcPr>
          <w:p w14:paraId="31EB4DCB">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Training</w:t>
            </w:r>
          </w:p>
        </w:tc>
        <w:tc>
          <w:tcPr>
            <w:tcW w:w="571" w:type="pct"/>
            <w:vAlign w:val="center"/>
          </w:tcPr>
          <w:p w14:paraId="5F646303">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Age &lt;60</w:t>
            </w:r>
          </w:p>
        </w:tc>
        <w:tc>
          <w:tcPr>
            <w:tcW w:w="874" w:type="pct"/>
            <w:vAlign w:val="center"/>
          </w:tcPr>
          <w:p w14:paraId="0264F416">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42/230</w:t>
            </w:r>
          </w:p>
        </w:tc>
        <w:tc>
          <w:tcPr>
            <w:tcW w:w="938" w:type="pct"/>
            <w:vAlign w:val="center"/>
          </w:tcPr>
          <w:p w14:paraId="6592E07E">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0.936 (0.87</w:t>
            </w:r>
            <w:r>
              <w:rPr>
                <w:rFonts w:hint="eastAsia" w:ascii="Times New Roman" w:hAnsi="Times New Roman" w:eastAsia="宋体" w:cs="Times New Roman"/>
                <w:sz w:val="18"/>
                <w:lang w:val="en-US" w:eastAsia="zh-CN"/>
              </w:rPr>
              <w:t>6</w:t>
            </w:r>
            <w:r>
              <w:rPr>
                <w:rFonts w:ascii="Times New Roman" w:hAnsi="Times New Roman" w:eastAsia="宋体" w:cs="Times New Roman"/>
                <w:sz w:val="18"/>
              </w:rPr>
              <w:t>-0.9</w:t>
            </w:r>
            <w:r>
              <w:rPr>
                <w:rFonts w:hint="eastAsia" w:ascii="Times New Roman" w:hAnsi="Times New Roman" w:eastAsia="宋体" w:cs="Times New Roman"/>
                <w:sz w:val="18"/>
                <w:lang w:val="en-US" w:eastAsia="zh-CN"/>
              </w:rPr>
              <w:t>95</w:t>
            </w:r>
            <w:r>
              <w:rPr>
                <w:rFonts w:ascii="Times New Roman" w:hAnsi="Times New Roman" w:eastAsia="宋体" w:cs="Times New Roman"/>
                <w:sz w:val="18"/>
              </w:rPr>
              <w:t>)</w:t>
            </w:r>
          </w:p>
        </w:tc>
        <w:tc>
          <w:tcPr>
            <w:tcW w:w="1050" w:type="pct"/>
            <w:vAlign w:val="center"/>
          </w:tcPr>
          <w:p w14:paraId="53E80CAA">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90.5% (77.9-96.2%)</w:t>
            </w:r>
          </w:p>
        </w:tc>
        <w:tc>
          <w:tcPr>
            <w:tcW w:w="1003" w:type="pct"/>
            <w:vAlign w:val="center"/>
          </w:tcPr>
          <w:p w14:paraId="4D2F597C">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92.0% (87.3-95.1%)</w:t>
            </w:r>
          </w:p>
        </w:tc>
      </w:tr>
      <w:tr w14:paraId="1747F13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jc w:val="center"/>
        </w:trPr>
        <w:tc>
          <w:tcPr>
            <w:tcW w:w="560" w:type="pct"/>
            <w:vAlign w:val="center"/>
          </w:tcPr>
          <w:p w14:paraId="05B8961D">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Training</w:t>
            </w:r>
          </w:p>
        </w:tc>
        <w:tc>
          <w:tcPr>
            <w:tcW w:w="571" w:type="pct"/>
            <w:vAlign w:val="center"/>
          </w:tcPr>
          <w:p w14:paraId="38F3AC94">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Age &gt;=60</w:t>
            </w:r>
          </w:p>
        </w:tc>
        <w:tc>
          <w:tcPr>
            <w:tcW w:w="874" w:type="pct"/>
            <w:vAlign w:val="center"/>
          </w:tcPr>
          <w:p w14:paraId="011950D5">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149/195</w:t>
            </w:r>
          </w:p>
        </w:tc>
        <w:tc>
          <w:tcPr>
            <w:tcW w:w="938" w:type="pct"/>
            <w:vAlign w:val="center"/>
          </w:tcPr>
          <w:p w14:paraId="75BCBD9F">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0.931 (0.89</w:t>
            </w:r>
            <w:r>
              <w:rPr>
                <w:rFonts w:hint="eastAsia" w:ascii="Times New Roman" w:hAnsi="Times New Roman" w:eastAsia="宋体" w:cs="Times New Roman"/>
                <w:sz w:val="18"/>
                <w:lang w:val="en-US" w:eastAsia="zh-CN"/>
              </w:rPr>
              <w:t>6</w:t>
            </w:r>
            <w:r>
              <w:rPr>
                <w:rFonts w:ascii="Times New Roman" w:hAnsi="Times New Roman" w:eastAsia="宋体" w:cs="Times New Roman"/>
                <w:sz w:val="18"/>
              </w:rPr>
              <w:t>-0.96</w:t>
            </w:r>
            <w:r>
              <w:rPr>
                <w:rFonts w:hint="eastAsia" w:ascii="Times New Roman" w:hAnsi="Times New Roman" w:eastAsia="宋体" w:cs="Times New Roman"/>
                <w:sz w:val="18"/>
                <w:lang w:val="en-US" w:eastAsia="zh-CN"/>
              </w:rPr>
              <w:t>7</w:t>
            </w:r>
            <w:r>
              <w:rPr>
                <w:rFonts w:ascii="Times New Roman" w:hAnsi="Times New Roman" w:eastAsia="宋体" w:cs="Times New Roman"/>
                <w:sz w:val="18"/>
              </w:rPr>
              <w:t>)</w:t>
            </w:r>
          </w:p>
        </w:tc>
        <w:tc>
          <w:tcPr>
            <w:tcW w:w="1050" w:type="pct"/>
            <w:vAlign w:val="center"/>
          </w:tcPr>
          <w:p w14:paraId="669F7514">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87.2% (80.9-91.7%)</w:t>
            </w:r>
          </w:p>
        </w:tc>
        <w:tc>
          <w:tcPr>
            <w:tcW w:w="1003" w:type="pct"/>
            <w:vAlign w:val="center"/>
          </w:tcPr>
          <w:p w14:paraId="54B16C13">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82.6% (69.3-90.9%)</w:t>
            </w:r>
          </w:p>
        </w:tc>
      </w:tr>
      <w:tr w14:paraId="6C08F3E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jc w:val="center"/>
        </w:trPr>
        <w:tc>
          <w:tcPr>
            <w:tcW w:w="560" w:type="pct"/>
            <w:vAlign w:val="center"/>
          </w:tcPr>
          <w:p w14:paraId="2B460825">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Training</w:t>
            </w:r>
          </w:p>
        </w:tc>
        <w:tc>
          <w:tcPr>
            <w:tcW w:w="571" w:type="pct"/>
            <w:vAlign w:val="center"/>
          </w:tcPr>
          <w:p w14:paraId="7E43A68B">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Male</w:t>
            </w:r>
          </w:p>
        </w:tc>
        <w:tc>
          <w:tcPr>
            <w:tcW w:w="874" w:type="pct"/>
            <w:vAlign w:val="center"/>
          </w:tcPr>
          <w:p w14:paraId="544F8D03">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158/303</w:t>
            </w:r>
          </w:p>
        </w:tc>
        <w:tc>
          <w:tcPr>
            <w:tcW w:w="938" w:type="pct"/>
            <w:vAlign w:val="center"/>
          </w:tcPr>
          <w:p w14:paraId="01C34D0C">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0.937 (0.9</w:t>
            </w:r>
            <w:r>
              <w:rPr>
                <w:rFonts w:hint="eastAsia" w:ascii="Times New Roman" w:hAnsi="Times New Roman" w:eastAsia="宋体" w:cs="Times New Roman"/>
                <w:sz w:val="18"/>
                <w:lang w:val="en-US" w:eastAsia="zh-CN"/>
              </w:rPr>
              <w:t>11</w:t>
            </w:r>
            <w:r>
              <w:rPr>
                <w:rFonts w:ascii="Times New Roman" w:hAnsi="Times New Roman" w:eastAsia="宋体" w:cs="Times New Roman"/>
                <w:sz w:val="18"/>
              </w:rPr>
              <w:t>-0.96</w:t>
            </w:r>
            <w:r>
              <w:rPr>
                <w:rFonts w:hint="eastAsia" w:ascii="Times New Roman" w:hAnsi="Times New Roman" w:eastAsia="宋体" w:cs="Times New Roman"/>
                <w:sz w:val="18"/>
                <w:lang w:val="en-US" w:eastAsia="zh-CN"/>
              </w:rPr>
              <w:t>3</w:t>
            </w:r>
            <w:r>
              <w:rPr>
                <w:rFonts w:ascii="Times New Roman" w:hAnsi="Times New Roman" w:eastAsia="宋体" w:cs="Times New Roman"/>
                <w:sz w:val="18"/>
              </w:rPr>
              <w:t>)</w:t>
            </w:r>
          </w:p>
        </w:tc>
        <w:tc>
          <w:tcPr>
            <w:tcW w:w="1050" w:type="pct"/>
            <w:vAlign w:val="center"/>
          </w:tcPr>
          <w:p w14:paraId="762E4DBB">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85.4% (79.1-90.1%)</w:t>
            </w:r>
          </w:p>
        </w:tc>
        <w:tc>
          <w:tcPr>
            <w:tcW w:w="1003" w:type="pct"/>
            <w:vAlign w:val="center"/>
          </w:tcPr>
          <w:p w14:paraId="486FF3AB">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88.3% (82.0-92.5%)</w:t>
            </w:r>
          </w:p>
        </w:tc>
      </w:tr>
      <w:tr w14:paraId="5DDC3C8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jc w:val="center"/>
        </w:trPr>
        <w:tc>
          <w:tcPr>
            <w:tcW w:w="560" w:type="pct"/>
            <w:vAlign w:val="center"/>
          </w:tcPr>
          <w:p w14:paraId="59DF356D">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Training</w:t>
            </w:r>
          </w:p>
        </w:tc>
        <w:tc>
          <w:tcPr>
            <w:tcW w:w="571" w:type="pct"/>
            <w:vAlign w:val="center"/>
          </w:tcPr>
          <w:p w14:paraId="54BCCC95">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Female</w:t>
            </w:r>
          </w:p>
        </w:tc>
        <w:tc>
          <w:tcPr>
            <w:tcW w:w="874" w:type="pct"/>
            <w:vAlign w:val="center"/>
          </w:tcPr>
          <w:p w14:paraId="6DD1586F">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33/122</w:t>
            </w:r>
          </w:p>
        </w:tc>
        <w:tc>
          <w:tcPr>
            <w:tcW w:w="938" w:type="pct"/>
            <w:vAlign w:val="center"/>
          </w:tcPr>
          <w:p w14:paraId="358BF56F">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0.998 (0.99</w:t>
            </w:r>
            <w:r>
              <w:rPr>
                <w:rFonts w:hint="eastAsia" w:ascii="Times New Roman" w:hAnsi="Times New Roman" w:eastAsia="宋体" w:cs="Times New Roman"/>
                <w:sz w:val="18"/>
                <w:lang w:val="en-US" w:eastAsia="zh-CN"/>
              </w:rPr>
              <w:t>4</w:t>
            </w:r>
            <w:r>
              <w:rPr>
                <w:rFonts w:ascii="Times New Roman" w:hAnsi="Times New Roman" w:eastAsia="宋体" w:cs="Times New Roman"/>
                <w:sz w:val="18"/>
              </w:rPr>
              <w:t>-1.000)</w:t>
            </w:r>
          </w:p>
        </w:tc>
        <w:tc>
          <w:tcPr>
            <w:tcW w:w="1050" w:type="pct"/>
            <w:vAlign w:val="center"/>
          </w:tcPr>
          <w:p w14:paraId="01B9D83F">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100.0% (89.6-100.0%)</w:t>
            </w:r>
          </w:p>
        </w:tc>
        <w:tc>
          <w:tcPr>
            <w:tcW w:w="1003" w:type="pct"/>
            <w:vAlign w:val="center"/>
          </w:tcPr>
          <w:p w14:paraId="4364292D">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93.3% (86.1-96.9%)</w:t>
            </w:r>
          </w:p>
        </w:tc>
      </w:tr>
      <w:tr w14:paraId="583CC0E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jc w:val="center"/>
        </w:trPr>
        <w:tc>
          <w:tcPr>
            <w:tcW w:w="560" w:type="pct"/>
            <w:vAlign w:val="center"/>
          </w:tcPr>
          <w:p w14:paraId="7E02C50E">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Validation</w:t>
            </w:r>
          </w:p>
        </w:tc>
        <w:tc>
          <w:tcPr>
            <w:tcW w:w="571" w:type="pct"/>
            <w:vAlign w:val="center"/>
          </w:tcPr>
          <w:p w14:paraId="5395C6F7">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Age &lt;60</w:t>
            </w:r>
          </w:p>
        </w:tc>
        <w:tc>
          <w:tcPr>
            <w:tcW w:w="874" w:type="pct"/>
            <w:vAlign w:val="center"/>
          </w:tcPr>
          <w:p w14:paraId="3A963DAF">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16/99</w:t>
            </w:r>
          </w:p>
        </w:tc>
        <w:tc>
          <w:tcPr>
            <w:tcW w:w="938" w:type="pct"/>
            <w:vAlign w:val="center"/>
          </w:tcPr>
          <w:p w14:paraId="4ADCC5C2">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0.916 (0.</w:t>
            </w:r>
            <w:r>
              <w:rPr>
                <w:rFonts w:hint="eastAsia" w:ascii="Times New Roman" w:hAnsi="Times New Roman" w:eastAsia="宋体" w:cs="Times New Roman"/>
                <w:sz w:val="18"/>
                <w:lang w:val="en-US" w:eastAsia="zh-CN"/>
              </w:rPr>
              <w:t>807</w:t>
            </w:r>
            <w:r>
              <w:rPr>
                <w:rFonts w:ascii="Times New Roman" w:hAnsi="Times New Roman" w:eastAsia="宋体" w:cs="Times New Roman"/>
                <w:sz w:val="18"/>
              </w:rPr>
              <w:t>-</w:t>
            </w:r>
            <w:r>
              <w:rPr>
                <w:rFonts w:hint="eastAsia" w:ascii="Times New Roman" w:hAnsi="Times New Roman" w:eastAsia="宋体" w:cs="Times New Roman"/>
                <w:sz w:val="18"/>
                <w:lang w:val="en-US" w:eastAsia="zh-CN"/>
              </w:rPr>
              <w:t>1.000</w:t>
            </w:r>
            <w:r>
              <w:rPr>
                <w:rFonts w:ascii="Times New Roman" w:hAnsi="Times New Roman" w:eastAsia="宋体" w:cs="Times New Roman"/>
                <w:sz w:val="18"/>
              </w:rPr>
              <w:t>)</w:t>
            </w:r>
          </w:p>
        </w:tc>
        <w:tc>
          <w:tcPr>
            <w:tcW w:w="1050" w:type="pct"/>
            <w:vAlign w:val="center"/>
          </w:tcPr>
          <w:p w14:paraId="6129756A">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81.2% (57.0-93.4%)</w:t>
            </w:r>
          </w:p>
        </w:tc>
        <w:tc>
          <w:tcPr>
            <w:tcW w:w="1003" w:type="pct"/>
            <w:vAlign w:val="center"/>
          </w:tcPr>
          <w:p w14:paraId="30D025C9">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91.6% (83.6-95.9%)</w:t>
            </w:r>
          </w:p>
        </w:tc>
      </w:tr>
      <w:tr w14:paraId="68FB38C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jc w:val="center"/>
        </w:trPr>
        <w:tc>
          <w:tcPr>
            <w:tcW w:w="560" w:type="pct"/>
            <w:vAlign w:val="center"/>
          </w:tcPr>
          <w:p w14:paraId="6B8F5E14">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Validation</w:t>
            </w:r>
          </w:p>
        </w:tc>
        <w:tc>
          <w:tcPr>
            <w:tcW w:w="571" w:type="pct"/>
            <w:vAlign w:val="center"/>
          </w:tcPr>
          <w:p w14:paraId="5B6DFB9B">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Age &gt;=60</w:t>
            </w:r>
          </w:p>
        </w:tc>
        <w:tc>
          <w:tcPr>
            <w:tcW w:w="874" w:type="pct"/>
            <w:vAlign w:val="center"/>
          </w:tcPr>
          <w:p w14:paraId="397EA67B">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68/85</w:t>
            </w:r>
          </w:p>
        </w:tc>
        <w:tc>
          <w:tcPr>
            <w:tcW w:w="938" w:type="pct"/>
            <w:vAlign w:val="center"/>
          </w:tcPr>
          <w:p w14:paraId="0E2FE22E">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0.943 (0.8</w:t>
            </w:r>
            <w:r>
              <w:rPr>
                <w:rFonts w:hint="eastAsia" w:ascii="Times New Roman" w:hAnsi="Times New Roman" w:eastAsia="宋体" w:cs="Times New Roman"/>
                <w:sz w:val="18"/>
                <w:lang w:val="en-US" w:eastAsia="zh-CN"/>
              </w:rPr>
              <w:t>93</w:t>
            </w:r>
            <w:r>
              <w:rPr>
                <w:rFonts w:ascii="Times New Roman" w:hAnsi="Times New Roman" w:eastAsia="宋体" w:cs="Times New Roman"/>
                <w:sz w:val="18"/>
              </w:rPr>
              <w:t>-0.9</w:t>
            </w:r>
            <w:r>
              <w:rPr>
                <w:rFonts w:hint="eastAsia" w:ascii="Times New Roman" w:hAnsi="Times New Roman" w:eastAsia="宋体" w:cs="Times New Roman"/>
                <w:sz w:val="18"/>
                <w:lang w:val="en-US" w:eastAsia="zh-CN"/>
              </w:rPr>
              <w:t>93</w:t>
            </w:r>
            <w:r>
              <w:rPr>
                <w:rFonts w:ascii="Times New Roman" w:hAnsi="Times New Roman" w:eastAsia="宋体" w:cs="Times New Roman"/>
                <w:sz w:val="18"/>
              </w:rPr>
              <w:t>)</w:t>
            </w:r>
          </w:p>
        </w:tc>
        <w:tc>
          <w:tcPr>
            <w:tcW w:w="1050" w:type="pct"/>
            <w:vAlign w:val="center"/>
          </w:tcPr>
          <w:p w14:paraId="7D2C04F6">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89.7% (80.2-94.9%)</w:t>
            </w:r>
          </w:p>
        </w:tc>
        <w:tc>
          <w:tcPr>
            <w:tcW w:w="1003" w:type="pct"/>
            <w:vAlign w:val="center"/>
          </w:tcPr>
          <w:p w14:paraId="4896AF49">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82.4% (59.0-93.8%)</w:t>
            </w:r>
          </w:p>
        </w:tc>
      </w:tr>
      <w:tr w14:paraId="05563A5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jc w:val="center"/>
        </w:trPr>
        <w:tc>
          <w:tcPr>
            <w:tcW w:w="560" w:type="pct"/>
            <w:vAlign w:val="center"/>
          </w:tcPr>
          <w:p w14:paraId="666CBF4F">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Validation</w:t>
            </w:r>
          </w:p>
        </w:tc>
        <w:tc>
          <w:tcPr>
            <w:tcW w:w="571" w:type="pct"/>
            <w:vAlign w:val="center"/>
          </w:tcPr>
          <w:p w14:paraId="235FE964">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Male</w:t>
            </w:r>
          </w:p>
        </w:tc>
        <w:tc>
          <w:tcPr>
            <w:tcW w:w="874" w:type="pct"/>
            <w:vAlign w:val="center"/>
          </w:tcPr>
          <w:p w14:paraId="302F56DD">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71/124</w:t>
            </w:r>
          </w:p>
        </w:tc>
        <w:tc>
          <w:tcPr>
            <w:tcW w:w="938" w:type="pct"/>
            <w:vAlign w:val="center"/>
          </w:tcPr>
          <w:p w14:paraId="5EAD76F8">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0.947 (0.</w:t>
            </w:r>
            <w:r>
              <w:rPr>
                <w:rFonts w:hint="eastAsia" w:ascii="Times New Roman" w:hAnsi="Times New Roman" w:eastAsia="宋体" w:cs="Times New Roman"/>
                <w:sz w:val="18"/>
                <w:lang w:val="en-US" w:eastAsia="zh-CN"/>
              </w:rPr>
              <w:t>904</w:t>
            </w:r>
            <w:r>
              <w:rPr>
                <w:rFonts w:ascii="Times New Roman" w:hAnsi="Times New Roman" w:eastAsia="宋体" w:cs="Times New Roman"/>
                <w:sz w:val="18"/>
              </w:rPr>
              <w:t>-0.9</w:t>
            </w:r>
            <w:r>
              <w:rPr>
                <w:rFonts w:hint="eastAsia" w:ascii="Times New Roman" w:hAnsi="Times New Roman" w:eastAsia="宋体" w:cs="Times New Roman"/>
                <w:sz w:val="18"/>
                <w:lang w:val="en-US" w:eastAsia="zh-CN"/>
              </w:rPr>
              <w:t>90</w:t>
            </w:r>
            <w:r>
              <w:rPr>
                <w:rFonts w:ascii="Times New Roman" w:hAnsi="Times New Roman" w:eastAsia="宋体" w:cs="Times New Roman"/>
                <w:sz w:val="18"/>
              </w:rPr>
              <w:t>)</w:t>
            </w:r>
          </w:p>
        </w:tc>
        <w:tc>
          <w:tcPr>
            <w:tcW w:w="1050" w:type="pct"/>
            <w:vAlign w:val="center"/>
          </w:tcPr>
          <w:p w14:paraId="223114D9">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87.3% (77.6-93.2%)</w:t>
            </w:r>
          </w:p>
        </w:tc>
        <w:tc>
          <w:tcPr>
            <w:tcW w:w="1003" w:type="pct"/>
            <w:vAlign w:val="center"/>
          </w:tcPr>
          <w:p w14:paraId="73A2E2BF">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90.6% (79.7-95.9%)</w:t>
            </w:r>
          </w:p>
        </w:tc>
      </w:tr>
      <w:tr w14:paraId="6BEC14D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jc w:val="center"/>
        </w:trPr>
        <w:tc>
          <w:tcPr>
            <w:tcW w:w="560" w:type="pct"/>
            <w:tcBorders>
              <w:bottom w:val="single" w:color="000000" w:sz="12" w:space="0"/>
            </w:tcBorders>
            <w:vAlign w:val="center"/>
          </w:tcPr>
          <w:p w14:paraId="72CAB52B">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Validation</w:t>
            </w:r>
          </w:p>
        </w:tc>
        <w:tc>
          <w:tcPr>
            <w:tcW w:w="571" w:type="pct"/>
            <w:tcBorders>
              <w:bottom w:val="single" w:color="000000" w:sz="12" w:space="0"/>
            </w:tcBorders>
            <w:vAlign w:val="center"/>
          </w:tcPr>
          <w:p w14:paraId="364FEACB">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Female</w:t>
            </w:r>
          </w:p>
        </w:tc>
        <w:tc>
          <w:tcPr>
            <w:tcW w:w="874" w:type="pct"/>
            <w:tcBorders>
              <w:bottom w:val="single" w:color="000000" w:sz="12" w:space="0"/>
            </w:tcBorders>
            <w:vAlign w:val="center"/>
          </w:tcPr>
          <w:p w14:paraId="529FD0BE">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13/60</w:t>
            </w:r>
          </w:p>
        </w:tc>
        <w:tc>
          <w:tcPr>
            <w:tcW w:w="938" w:type="pct"/>
            <w:tcBorders>
              <w:bottom w:val="single" w:color="000000" w:sz="12" w:space="0"/>
            </w:tcBorders>
            <w:vAlign w:val="center"/>
          </w:tcPr>
          <w:p w14:paraId="7159E255">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0.985 (0.9</w:t>
            </w:r>
            <w:r>
              <w:rPr>
                <w:rFonts w:hint="eastAsia" w:ascii="Times New Roman" w:hAnsi="Times New Roman" w:eastAsia="宋体" w:cs="Times New Roman"/>
                <w:sz w:val="18"/>
                <w:lang w:val="en-US" w:eastAsia="zh-CN"/>
              </w:rPr>
              <w:t>58</w:t>
            </w:r>
            <w:r>
              <w:rPr>
                <w:rFonts w:ascii="Times New Roman" w:hAnsi="Times New Roman" w:eastAsia="宋体" w:cs="Times New Roman"/>
                <w:sz w:val="18"/>
              </w:rPr>
              <w:t>-1.000)</w:t>
            </w:r>
          </w:p>
        </w:tc>
        <w:tc>
          <w:tcPr>
            <w:tcW w:w="1050" w:type="pct"/>
            <w:tcBorders>
              <w:bottom w:val="single" w:color="000000" w:sz="12" w:space="0"/>
            </w:tcBorders>
            <w:vAlign w:val="center"/>
          </w:tcPr>
          <w:p w14:paraId="09C87B5C">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92.3% (66.7-98.6%)</w:t>
            </w:r>
          </w:p>
        </w:tc>
        <w:tc>
          <w:tcPr>
            <w:tcW w:w="1003" w:type="pct"/>
            <w:tcBorders>
              <w:bottom w:val="single" w:color="000000" w:sz="12" w:space="0"/>
            </w:tcBorders>
            <w:vAlign w:val="center"/>
          </w:tcPr>
          <w:p w14:paraId="081B82E8">
            <w:pPr>
              <w:snapToGrid w:val="0"/>
              <w:spacing w:before="20" w:after="20"/>
              <w:ind w:left="0" w:leftChars="0" w:right="0" w:rightChars="0" w:firstLine="0" w:firstLineChars="0"/>
              <w:jc w:val="center"/>
              <w:rPr>
                <w:rFonts w:ascii="Times New Roman" w:hAnsi="Times New Roman" w:eastAsia="宋体" w:cs="Times New Roman"/>
                <w:sz w:val="18"/>
              </w:rPr>
            </w:pPr>
            <w:r>
              <w:rPr>
                <w:rFonts w:ascii="Times New Roman" w:hAnsi="Times New Roman" w:eastAsia="宋体" w:cs="Times New Roman"/>
                <w:sz w:val="18"/>
              </w:rPr>
              <w:t>89.4% (77.4-95.4%)</w:t>
            </w:r>
          </w:p>
        </w:tc>
      </w:tr>
    </w:tbl>
    <w:p w14:paraId="0F584A55">
      <w:pPr>
        <w:spacing w:before="60" w:after="120"/>
        <w:rPr>
          <w:sz w:val="21"/>
          <w:szCs w:val="21"/>
        </w:rPr>
      </w:pPr>
      <w:r>
        <w:rPr>
          <w:rFonts w:ascii="Times New Roman" w:hAnsi="Times New Roman" w:cs="Times New Roman"/>
          <w:i/>
          <w:sz w:val="21"/>
          <w:szCs w:val="21"/>
        </w:rPr>
        <w:t>Note: OR, odds ratio; CI, confidence interval; AUC, area under the receiver operating characteristic curve; PSM, propensity score matching. Multivariable logistic regression included PUCD score, age, and sex as independent variables. PSM was performed using 1:1 nearest-neighbor matching with caliper = 0.2 SD of the propensity score. Stratified analyses were performed within each age (&lt;60 vs. &gt;=60 years) and sex subgroup. All 95% CIs for sensitivity and specificity were calculated using the Wilson score method.</w:t>
      </w:r>
    </w:p>
    <w:p w14:paraId="30CF2973">
      <w:pPr>
        <w:spacing w:line="240" w:lineRule="auto"/>
        <w:rPr>
          <w:rFonts w:ascii="Times New Roman" w:hAnsi="Times New Roman"/>
          <w:b/>
          <w:sz w:val="21"/>
        </w:rPr>
      </w:pPr>
    </w:p>
    <w:p w14:paraId="5BA0F5ED">
      <w:pPr>
        <w:spacing w:line="240" w:lineRule="auto"/>
      </w:pPr>
      <w:r>
        <w:rPr>
          <w:rFonts w:ascii="Times New Roman" w:hAnsi="Times New Roman"/>
          <w:b/>
          <w:sz w:val="21"/>
        </w:rPr>
        <w:t>Table S</w:t>
      </w:r>
      <w:r>
        <w:rPr>
          <w:rFonts w:hint="eastAsia" w:ascii="Times New Roman" w:hAnsi="Times New Roman"/>
          <w:b/>
          <w:sz w:val="21"/>
          <w:lang w:val="en-US" w:eastAsia="zh-CN"/>
        </w:rPr>
        <w:t>11</w:t>
      </w:r>
      <w:r>
        <w:rPr>
          <w:rFonts w:ascii="Times New Roman" w:hAnsi="Times New Roman"/>
          <w:b/>
          <w:sz w:val="21"/>
        </w:rPr>
        <w:t>. Prostate Cancer Subgroup Analysis: Sensitivity by Stage and Urinalysis Status, with Urothelial Cancer Comparison</w:t>
      </w:r>
    </w:p>
    <w:tbl>
      <w:tblPr>
        <w:tblStyle w:val="4"/>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90"/>
        <w:gridCol w:w="668"/>
        <w:gridCol w:w="1582"/>
        <w:gridCol w:w="1398"/>
        <w:gridCol w:w="1781"/>
      </w:tblGrid>
      <w:tr w14:paraId="529EB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813" w:type="pct"/>
            <w:tcBorders>
              <w:top w:val="single" w:color="000000" w:sz="12" w:space="0"/>
              <w:left w:val="nil"/>
              <w:bottom w:val="single" w:color="000000" w:sz="6" w:space="0"/>
              <w:right w:val="nil"/>
              <w:insideH w:val="nil"/>
              <w:insideV w:val="nil"/>
            </w:tcBorders>
            <w:vAlign w:val="center"/>
          </w:tcPr>
          <w:p w14:paraId="0F806C74">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Subgroup</w:t>
            </w:r>
          </w:p>
        </w:tc>
        <w:tc>
          <w:tcPr>
            <w:tcW w:w="392" w:type="pct"/>
            <w:tcBorders>
              <w:top w:val="single" w:color="000000" w:sz="12" w:space="0"/>
              <w:left w:val="nil"/>
              <w:bottom w:val="single" w:color="000000" w:sz="6" w:space="0"/>
              <w:right w:val="nil"/>
              <w:insideH w:val="nil"/>
              <w:insideV w:val="nil"/>
            </w:tcBorders>
            <w:vAlign w:val="center"/>
          </w:tcPr>
          <w:p w14:paraId="6E92C7C7">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N</w:t>
            </w:r>
          </w:p>
        </w:tc>
        <w:tc>
          <w:tcPr>
            <w:tcW w:w="928" w:type="pct"/>
            <w:tcBorders>
              <w:top w:val="single" w:color="000000" w:sz="12" w:space="0"/>
              <w:left w:val="nil"/>
              <w:bottom w:val="single" w:color="000000" w:sz="6" w:space="0"/>
              <w:right w:val="nil"/>
              <w:insideH w:val="nil"/>
              <w:insideV w:val="nil"/>
            </w:tcBorders>
            <w:vAlign w:val="center"/>
          </w:tcPr>
          <w:p w14:paraId="476D3739">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Detected (n)</w:t>
            </w:r>
          </w:p>
        </w:tc>
        <w:tc>
          <w:tcPr>
            <w:tcW w:w="820" w:type="pct"/>
            <w:tcBorders>
              <w:top w:val="single" w:color="000000" w:sz="12" w:space="0"/>
              <w:left w:val="nil"/>
              <w:bottom w:val="single" w:color="000000" w:sz="6" w:space="0"/>
              <w:right w:val="nil"/>
              <w:insideH w:val="nil"/>
              <w:insideV w:val="nil"/>
            </w:tcBorders>
            <w:vAlign w:val="center"/>
          </w:tcPr>
          <w:p w14:paraId="5F97869E">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Sensitivity</w:t>
            </w:r>
          </w:p>
        </w:tc>
        <w:tc>
          <w:tcPr>
            <w:tcW w:w="1045" w:type="pct"/>
            <w:tcBorders>
              <w:top w:val="single" w:color="000000" w:sz="12" w:space="0"/>
              <w:left w:val="nil"/>
              <w:bottom w:val="single" w:color="000000" w:sz="6" w:space="0"/>
              <w:right w:val="nil"/>
              <w:insideH w:val="nil"/>
              <w:insideV w:val="nil"/>
            </w:tcBorders>
            <w:vAlign w:val="center"/>
          </w:tcPr>
          <w:p w14:paraId="132CFD04">
            <w:pPr>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95% CI</w:t>
            </w:r>
          </w:p>
        </w:tc>
      </w:tr>
      <w:tr w14:paraId="1ED09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13" w:type="pct"/>
            <w:tcBorders>
              <w:top w:val="nil"/>
              <w:left w:val="nil"/>
              <w:bottom w:val="nil"/>
              <w:right w:val="nil"/>
              <w:insideH w:val="nil"/>
              <w:insideV w:val="nil"/>
            </w:tcBorders>
            <w:vAlign w:val="center"/>
          </w:tcPr>
          <w:p w14:paraId="5FEAC570">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Overall prostate cancer</w:t>
            </w:r>
          </w:p>
        </w:tc>
        <w:tc>
          <w:tcPr>
            <w:tcW w:w="392" w:type="pct"/>
            <w:tcBorders>
              <w:top w:val="nil"/>
              <w:left w:val="nil"/>
              <w:bottom w:val="nil"/>
              <w:right w:val="nil"/>
              <w:insideH w:val="nil"/>
              <w:insideV w:val="nil"/>
            </w:tcBorders>
            <w:vAlign w:val="center"/>
          </w:tcPr>
          <w:p w14:paraId="088FFE8C">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55</w:t>
            </w:r>
          </w:p>
        </w:tc>
        <w:tc>
          <w:tcPr>
            <w:tcW w:w="928" w:type="pct"/>
            <w:tcBorders>
              <w:top w:val="nil"/>
              <w:left w:val="nil"/>
              <w:bottom w:val="nil"/>
              <w:right w:val="nil"/>
              <w:insideH w:val="nil"/>
              <w:insideV w:val="nil"/>
            </w:tcBorders>
            <w:vAlign w:val="center"/>
          </w:tcPr>
          <w:p w14:paraId="11C609B9">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37</w:t>
            </w:r>
          </w:p>
        </w:tc>
        <w:tc>
          <w:tcPr>
            <w:tcW w:w="820" w:type="pct"/>
            <w:tcBorders>
              <w:top w:val="nil"/>
              <w:left w:val="nil"/>
              <w:bottom w:val="nil"/>
              <w:right w:val="nil"/>
              <w:insideH w:val="nil"/>
              <w:insideV w:val="nil"/>
            </w:tcBorders>
            <w:vAlign w:val="center"/>
          </w:tcPr>
          <w:p w14:paraId="278F6F50">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67.3%</w:t>
            </w:r>
          </w:p>
        </w:tc>
        <w:tc>
          <w:tcPr>
            <w:tcW w:w="1045" w:type="pct"/>
            <w:tcBorders>
              <w:top w:val="nil"/>
              <w:left w:val="nil"/>
              <w:bottom w:val="nil"/>
              <w:right w:val="nil"/>
              <w:insideH w:val="nil"/>
              <w:insideV w:val="nil"/>
            </w:tcBorders>
            <w:vAlign w:val="center"/>
          </w:tcPr>
          <w:p w14:paraId="45C1F1D4">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54.1%-78.2%</w:t>
            </w:r>
          </w:p>
        </w:tc>
      </w:tr>
      <w:tr w14:paraId="6E0A3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13" w:type="pct"/>
            <w:tcBorders>
              <w:top w:val="nil"/>
              <w:left w:val="nil"/>
              <w:bottom w:val="nil"/>
              <w:right w:val="nil"/>
              <w:insideH w:val="nil"/>
              <w:insideV w:val="nil"/>
            </w:tcBorders>
            <w:vAlign w:val="center"/>
          </w:tcPr>
          <w:p w14:paraId="0EDD7191">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Stage I</w:t>
            </w:r>
          </w:p>
        </w:tc>
        <w:tc>
          <w:tcPr>
            <w:tcW w:w="392" w:type="pct"/>
            <w:tcBorders>
              <w:top w:val="nil"/>
              <w:left w:val="nil"/>
              <w:bottom w:val="nil"/>
              <w:right w:val="nil"/>
              <w:insideH w:val="nil"/>
              <w:insideV w:val="nil"/>
            </w:tcBorders>
            <w:vAlign w:val="center"/>
          </w:tcPr>
          <w:p w14:paraId="06E004A0">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19</w:t>
            </w:r>
          </w:p>
        </w:tc>
        <w:tc>
          <w:tcPr>
            <w:tcW w:w="928" w:type="pct"/>
            <w:tcBorders>
              <w:top w:val="nil"/>
              <w:left w:val="nil"/>
              <w:bottom w:val="nil"/>
              <w:right w:val="nil"/>
              <w:insideH w:val="nil"/>
              <w:insideV w:val="nil"/>
            </w:tcBorders>
            <w:vAlign w:val="center"/>
          </w:tcPr>
          <w:p w14:paraId="05835C3E">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14</w:t>
            </w:r>
          </w:p>
        </w:tc>
        <w:tc>
          <w:tcPr>
            <w:tcW w:w="820" w:type="pct"/>
            <w:tcBorders>
              <w:top w:val="nil"/>
              <w:left w:val="nil"/>
              <w:bottom w:val="nil"/>
              <w:right w:val="nil"/>
              <w:insideH w:val="nil"/>
              <w:insideV w:val="nil"/>
            </w:tcBorders>
            <w:vAlign w:val="center"/>
          </w:tcPr>
          <w:p w14:paraId="5DF6D367">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73.7%</w:t>
            </w:r>
          </w:p>
        </w:tc>
        <w:tc>
          <w:tcPr>
            <w:tcW w:w="1045" w:type="pct"/>
            <w:tcBorders>
              <w:top w:val="nil"/>
              <w:left w:val="nil"/>
              <w:bottom w:val="nil"/>
              <w:right w:val="nil"/>
              <w:insideH w:val="nil"/>
              <w:insideV w:val="nil"/>
            </w:tcBorders>
            <w:vAlign w:val="center"/>
          </w:tcPr>
          <w:p w14:paraId="377DC9D9">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51.2%-88.2%</w:t>
            </w:r>
          </w:p>
        </w:tc>
      </w:tr>
      <w:tr w14:paraId="67506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13" w:type="pct"/>
            <w:tcBorders>
              <w:top w:val="nil"/>
              <w:left w:val="nil"/>
              <w:bottom w:val="nil"/>
              <w:right w:val="nil"/>
              <w:insideH w:val="nil"/>
              <w:insideV w:val="nil"/>
            </w:tcBorders>
            <w:vAlign w:val="center"/>
          </w:tcPr>
          <w:p w14:paraId="3B5E914C">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Stage II</w:t>
            </w:r>
          </w:p>
        </w:tc>
        <w:tc>
          <w:tcPr>
            <w:tcW w:w="392" w:type="pct"/>
            <w:tcBorders>
              <w:top w:val="nil"/>
              <w:left w:val="nil"/>
              <w:bottom w:val="nil"/>
              <w:right w:val="nil"/>
              <w:insideH w:val="nil"/>
              <w:insideV w:val="nil"/>
            </w:tcBorders>
            <w:vAlign w:val="center"/>
          </w:tcPr>
          <w:p w14:paraId="44D0753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21</w:t>
            </w:r>
          </w:p>
        </w:tc>
        <w:tc>
          <w:tcPr>
            <w:tcW w:w="928" w:type="pct"/>
            <w:tcBorders>
              <w:top w:val="nil"/>
              <w:left w:val="nil"/>
              <w:bottom w:val="nil"/>
              <w:right w:val="nil"/>
              <w:insideH w:val="nil"/>
              <w:insideV w:val="nil"/>
            </w:tcBorders>
            <w:vAlign w:val="center"/>
          </w:tcPr>
          <w:p w14:paraId="526D7051">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13</w:t>
            </w:r>
          </w:p>
        </w:tc>
        <w:tc>
          <w:tcPr>
            <w:tcW w:w="820" w:type="pct"/>
            <w:tcBorders>
              <w:top w:val="nil"/>
              <w:left w:val="nil"/>
              <w:bottom w:val="nil"/>
              <w:right w:val="nil"/>
              <w:insideH w:val="nil"/>
              <w:insideV w:val="nil"/>
            </w:tcBorders>
            <w:vAlign w:val="center"/>
          </w:tcPr>
          <w:p w14:paraId="56EE90B0">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61.9%</w:t>
            </w:r>
          </w:p>
        </w:tc>
        <w:tc>
          <w:tcPr>
            <w:tcW w:w="1045" w:type="pct"/>
            <w:tcBorders>
              <w:top w:val="nil"/>
              <w:left w:val="nil"/>
              <w:bottom w:val="nil"/>
              <w:right w:val="nil"/>
              <w:insideH w:val="nil"/>
              <w:insideV w:val="nil"/>
            </w:tcBorders>
            <w:vAlign w:val="center"/>
          </w:tcPr>
          <w:p w14:paraId="62DC0E1F">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40.9%-79.2%</w:t>
            </w:r>
          </w:p>
        </w:tc>
      </w:tr>
      <w:tr w14:paraId="5743D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13" w:type="pct"/>
            <w:tcBorders>
              <w:top w:val="nil"/>
              <w:left w:val="nil"/>
              <w:bottom w:val="nil"/>
              <w:right w:val="nil"/>
              <w:insideH w:val="nil"/>
              <w:insideV w:val="nil"/>
            </w:tcBorders>
            <w:vAlign w:val="center"/>
          </w:tcPr>
          <w:p w14:paraId="7F131C6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Stage III</w:t>
            </w:r>
          </w:p>
        </w:tc>
        <w:tc>
          <w:tcPr>
            <w:tcW w:w="392" w:type="pct"/>
            <w:tcBorders>
              <w:top w:val="nil"/>
              <w:left w:val="nil"/>
              <w:bottom w:val="nil"/>
              <w:right w:val="nil"/>
              <w:insideH w:val="nil"/>
              <w:insideV w:val="nil"/>
            </w:tcBorders>
            <w:vAlign w:val="center"/>
          </w:tcPr>
          <w:p w14:paraId="117ABD21">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7</w:t>
            </w:r>
          </w:p>
        </w:tc>
        <w:tc>
          <w:tcPr>
            <w:tcW w:w="928" w:type="pct"/>
            <w:tcBorders>
              <w:top w:val="nil"/>
              <w:left w:val="nil"/>
              <w:bottom w:val="nil"/>
              <w:right w:val="nil"/>
              <w:insideH w:val="nil"/>
              <w:insideV w:val="nil"/>
            </w:tcBorders>
            <w:vAlign w:val="center"/>
          </w:tcPr>
          <w:p w14:paraId="472A9C0C">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5</w:t>
            </w:r>
          </w:p>
        </w:tc>
        <w:tc>
          <w:tcPr>
            <w:tcW w:w="820" w:type="pct"/>
            <w:tcBorders>
              <w:top w:val="nil"/>
              <w:left w:val="nil"/>
              <w:bottom w:val="nil"/>
              <w:right w:val="nil"/>
              <w:insideH w:val="nil"/>
              <w:insideV w:val="nil"/>
            </w:tcBorders>
            <w:vAlign w:val="center"/>
          </w:tcPr>
          <w:p w14:paraId="42ED058C">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71.4%</w:t>
            </w:r>
          </w:p>
        </w:tc>
        <w:tc>
          <w:tcPr>
            <w:tcW w:w="1045" w:type="pct"/>
            <w:tcBorders>
              <w:top w:val="nil"/>
              <w:left w:val="nil"/>
              <w:bottom w:val="nil"/>
              <w:right w:val="nil"/>
              <w:insideH w:val="nil"/>
              <w:insideV w:val="nil"/>
            </w:tcBorders>
            <w:vAlign w:val="center"/>
          </w:tcPr>
          <w:p w14:paraId="3725E94B">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35.9%-91.8%</w:t>
            </w:r>
          </w:p>
        </w:tc>
      </w:tr>
      <w:tr w14:paraId="29436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13" w:type="pct"/>
            <w:tcBorders>
              <w:top w:val="nil"/>
              <w:left w:val="nil"/>
              <w:bottom w:val="nil"/>
              <w:right w:val="nil"/>
              <w:insideH w:val="nil"/>
              <w:insideV w:val="nil"/>
            </w:tcBorders>
            <w:vAlign w:val="center"/>
          </w:tcPr>
          <w:p w14:paraId="07811605">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Stage IV</w:t>
            </w:r>
          </w:p>
        </w:tc>
        <w:tc>
          <w:tcPr>
            <w:tcW w:w="392" w:type="pct"/>
            <w:tcBorders>
              <w:top w:val="nil"/>
              <w:left w:val="nil"/>
              <w:bottom w:val="nil"/>
              <w:right w:val="nil"/>
              <w:insideH w:val="nil"/>
              <w:insideV w:val="nil"/>
            </w:tcBorders>
            <w:vAlign w:val="center"/>
          </w:tcPr>
          <w:p w14:paraId="7E971967">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8</w:t>
            </w:r>
          </w:p>
        </w:tc>
        <w:tc>
          <w:tcPr>
            <w:tcW w:w="928" w:type="pct"/>
            <w:tcBorders>
              <w:top w:val="nil"/>
              <w:left w:val="nil"/>
              <w:bottom w:val="nil"/>
              <w:right w:val="nil"/>
              <w:insideH w:val="nil"/>
              <w:insideV w:val="nil"/>
            </w:tcBorders>
            <w:vAlign w:val="center"/>
          </w:tcPr>
          <w:p w14:paraId="783F8B19">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5</w:t>
            </w:r>
          </w:p>
        </w:tc>
        <w:tc>
          <w:tcPr>
            <w:tcW w:w="820" w:type="pct"/>
            <w:tcBorders>
              <w:top w:val="nil"/>
              <w:left w:val="nil"/>
              <w:bottom w:val="nil"/>
              <w:right w:val="nil"/>
              <w:insideH w:val="nil"/>
              <w:insideV w:val="nil"/>
            </w:tcBorders>
            <w:vAlign w:val="center"/>
          </w:tcPr>
          <w:p w14:paraId="0F284F9F">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62.5%</w:t>
            </w:r>
          </w:p>
        </w:tc>
        <w:tc>
          <w:tcPr>
            <w:tcW w:w="1045" w:type="pct"/>
            <w:tcBorders>
              <w:top w:val="nil"/>
              <w:left w:val="nil"/>
              <w:bottom w:val="nil"/>
              <w:right w:val="nil"/>
              <w:insideH w:val="nil"/>
              <w:insideV w:val="nil"/>
            </w:tcBorders>
            <w:vAlign w:val="center"/>
          </w:tcPr>
          <w:p w14:paraId="0315FBD9">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30.6%-86.3%</w:t>
            </w:r>
          </w:p>
        </w:tc>
      </w:tr>
      <w:tr w14:paraId="05D3B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13" w:type="pct"/>
            <w:tcBorders>
              <w:top w:val="nil"/>
              <w:left w:val="nil"/>
              <w:bottom w:val="nil"/>
              <w:right w:val="nil"/>
              <w:insideH w:val="nil"/>
              <w:insideV w:val="nil"/>
            </w:tcBorders>
            <w:vAlign w:val="center"/>
          </w:tcPr>
          <w:p w14:paraId="6E2F0826">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Hematuria positive (OB+)</w:t>
            </w:r>
          </w:p>
        </w:tc>
        <w:tc>
          <w:tcPr>
            <w:tcW w:w="392" w:type="pct"/>
            <w:tcBorders>
              <w:top w:val="nil"/>
              <w:left w:val="nil"/>
              <w:bottom w:val="nil"/>
              <w:right w:val="nil"/>
              <w:insideH w:val="nil"/>
              <w:insideV w:val="nil"/>
            </w:tcBorders>
            <w:vAlign w:val="center"/>
          </w:tcPr>
          <w:p w14:paraId="07FDFE07">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20</w:t>
            </w:r>
          </w:p>
        </w:tc>
        <w:tc>
          <w:tcPr>
            <w:tcW w:w="928" w:type="pct"/>
            <w:tcBorders>
              <w:top w:val="nil"/>
              <w:left w:val="nil"/>
              <w:bottom w:val="nil"/>
              <w:right w:val="nil"/>
              <w:insideH w:val="nil"/>
              <w:insideV w:val="nil"/>
            </w:tcBorders>
            <w:vAlign w:val="center"/>
          </w:tcPr>
          <w:p w14:paraId="3847428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16</w:t>
            </w:r>
          </w:p>
        </w:tc>
        <w:tc>
          <w:tcPr>
            <w:tcW w:w="820" w:type="pct"/>
            <w:tcBorders>
              <w:top w:val="nil"/>
              <w:left w:val="nil"/>
              <w:bottom w:val="nil"/>
              <w:right w:val="nil"/>
              <w:insideH w:val="nil"/>
              <w:insideV w:val="nil"/>
            </w:tcBorders>
            <w:vAlign w:val="center"/>
          </w:tcPr>
          <w:p w14:paraId="0D77B7D0">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80.0%</w:t>
            </w:r>
          </w:p>
        </w:tc>
        <w:tc>
          <w:tcPr>
            <w:tcW w:w="1045" w:type="pct"/>
            <w:tcBorders>
              <w:top w:val="nil"/>
              <w:left w:val="nil"/>
              <w:bottom w:val="nil"/>
              <w:right w:val="nil"/>
              <w:insideH w:val="nil"/>
              <w:insideV w:val="nil"/>
            </w:tcBorders>
            <w:vAlign w:val="center"/>
          </w:tcPr>
          <w:p w14:paraId="562FF0A1">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58.4%-91.9%</w:t>
            </w:r>
          </w:p>
        </w:tc>
      </w:tr>
      <w:tr w14:paraId="54F1D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13" w:type="pct"/>
            <w:tcBorders>
              <w:top w:val="nil"/>
              <w:left w:val="nil"/>
              <w:bottom w:val="nil"/>
              <w:right w:val="nil"/>
              <w:insideH w:val="nil"/>
              <w:insideV w:val="nil"/>
            </w:tcBorders>
            <w:vAlign w:val="center"/>
          </w:tcPr>
          <w:p w14:paraId="15F52507">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Hematuria negative (OB-)</w:t>
            </w:r>
          </w:p>
        </w:tc>
        <w:tc>
          <w:tcPr>
            <w:tcW w:w="392" w:type="pct"/>
            <w:tcBorders>
              <w:top w:val="nil"/>
              <w:left w:val="nil"/>
              <w:bottom w:val="nil"/>
              <w:right w:val="nil"/>
              <w:insideH w:val="nil"/>
              <w:insideV w:val="nil"/>
            </w:tcBorders>
            <w:vAlign w:val="center"/>
          </w:tcPr>
          <w:p w14:paraId="7A2C8E23">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34</w:t>
            </w:r>
          </w:p>
        </w:tc>
        <w:tc>
          <w:tcPr>
            <w:tcW w:w="928" w:type="pct"/>
            <w:tcBorders>
              <w:top w:val="nil"/>
              <w:left w:val="nil"/>
              <w:bottom w:val="nil"/>
              <w:right w:val="nil"/>
              <w:insideH w:val="nil"/>
              <w:insideV w:val="nil"/>
            </w:tcBorders>
            <w:vAlign w:val="center"/>
          </w:tcPr>
          <w:p w14:paraId="31B607C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20</w:t>
            </w:r>
          </w:p>
        </w:tc>
        <w:tc>
          <w:tcPr>
            <w:tcW w:w="820" w:type="pct"/>
            <w:tcBorders>
              <w:top w:val="nil"/>
              <w:left w:val="nil"/>
              <w:bottom w:val="nil"/>
              <w:right w:val="nil"/>
              <w:insideH w:val="nil"/>
              <w:insideV w:val="nil"/>
            </w:tcBorders>
            <w:vAlign w:val="center"/>
          </w:tcPr>
          <w:p w14:paraId="754D73A5">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58.8%</w:t>
            </w:r>
          </w:p>
        </w:tc>
        <w:tc>
          <w:tcPr>
            <w:tcW w:w="1045" w:type="pct"/>
            <w:tcBorders>
              <w:top w:val="nil"/>
              <w:left w:val="nil"/>
              <w:bottom w:val="nil"/>
              <w:right w:val="nil"/>
              <w:insideH w:val="nil"/>
              <w:insideV w:val="nil"/>
            </w:tcBorders>
            <w:vAlign w:val="center"/>
          </w:tcPr>
          <w:p w14:paraId="673CEEBF">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42.2%-73.6%</w:t>
            </w:r>
          </w:p>
        </w:tc>
      </w:tr>
      <w:tr w14:paraId="244DB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13" w:type="pct"/>
            <w:tcBorders>
              <w:top w:val="nil"/>
              <w:left w:val="nil"/>
              <w:bottom w:val="nil"/>
              <w:right w:val="nil"/>
              <w:insideH w:val="nil"/>
              <w:insideV w:val="nil"/>
            </w:tcBorders>
            <w:vAlign w:val="center"/>
          </w:tcPr>
          <w:p w14:paraId="1C62ED37">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Proteinuria positive (PRO+)</w:t>
            </w:r>
          </w:p>
        </w:tc>
        <w:tc>
          <w:tcPr>
            <w:tcW w:w="392" w:type="pct"/>
            <w:tcBorders>
              <w:top w:val="nil"/>
              <w:left w:val="nil"/>
              <w:bottom w:val="nil"/>
              <w:right w:val="nil"/>
              <w:insideH w:val="nil"/>
              <w:insideV w:val="nil"/>
            </w:tcBorders>
            <w:vAlign w:val="center"/>
          </w:tcPr>
          <w:p w14:paraId="76750DF8">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11</w:t>
            </w:r>
          </w:p>
        </w:tc>
        <w:tc>
          <w:tcPr>
            <w:tcW w:w="928" w:type="pct"/>
            <w:tcBorders>
              <w:top w:val="nil"/>
              <w:left w:val="nil"/>
              <w:bottom w:val="nil"/>
              <w:right w:val="nil"/>
              <w:insideH w:val="nil"/>
              <w:insideV w:val="nil"/>
            </w:tcBorders>
            <w:vAlign w:val="center"/>
          </w:tcPr>
          <w:p w14:paraId="24FD12FA">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8</w:t>
            </w:r>
          </w:p>
        </w:tc>
        <w:tc>
          <w:tcPr>
            <w:tcW w:w="820" w:type="pct"/>
            <w:tcBorders>
              <w:top w:val="nil"/>
              <w:left w:val="nil"/>
              <w:bottom w:val="nil"/>
              <w:right w:val="nil"/>
              <w:insideH w:val="nil"/>
              <w:insideV w:val="nil"/>
            </w:tcBorders>
            <w:vAlign w:val="center"/>
          </w:tcPr>
          <w:p w14:paraId="44ADC84C">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72.7%</w:t>
            </w:r>
          </w:p>
        </w:tc>
        <w:tc>
          <w:tcPr>
            <w:tcW w:w="1045" w:type="pct"/>
            <w:tcBorders>
              <w:top w:val="nil"/>
              <w:left w:val="nil"/>
              <w:bottom w:val="nil"/>
              <w:right w:val="nil"/>
              <w:insideH w:val="nil"/>
              <w:insideV w:val="nil"/>
            </w:tcBorders>
            <w:vAlign w:val="center"/>
          </w:tcPr>
          <w:p w14:paraId="62646C45">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43.4%-90.3%</w:t>
            </w:r>
          </w:p>
        </w:tc>
      </w:tr>
      <w:tr w14:paraId="15454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13" w:type="pct"/>
            <w:tcBorders>
              <w:top w:val="nil"/>
              <w:left w:val="nil"/>
              <w:bottom w:val="nil"/>
              <w:right w:val="nil"/>
              <w:insideH w:val="nil"/>
              <w:insideV w:val="nil"/>
            </w:tcBorders>
            <w:vAlign w:val="center"/>
          </w:tcPr>
          <w:p w14:paraId="16D483B8">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Proteinuria negative (PRO-)</w:t>
            </w:r>
          </w:p>
        </w:tc>
        <w:tc>
          <w:tcPr>
            <w:tcW w:w="392" w:type="pct"/>
            <w:tcBorders>
              <w:top w:val="nil"/>
              <w:left w:val="nil"/>
              <w:bottom w:val="nil"/>
              <w:right w:val="nil"/>
              <w:insideH w:val="nil"/>
              <w:insideV w:val="nil"/>
            </w:tcBorders>
            <w:vAlign w:val="center"/>
          </w:tcPr>
          <w:p w14:paraId="40E8BB79">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43</w:t>
            </w:r>
          </w:p>
        </w:tc>
        <w:tc>
          <w:tcPr>
            <w:tcW w:w="928" w:type="pct"/>
            <w:tcBorders>
              <w:top w:val="nil"/>
              <w:left w:val="nil"/>
              <w:bottom w:val="nil"/>
              <w:right w:val="nil"/>
              <w:insideH w:val="nil"/>
              <w:insideV w:val="nil"/>
            </w:tcBorders>
            <w:vAlign w:val="center"/>
          </w:tcPr>
          <w:p w14:paraId="1FF03E33">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28</w:t>
            </w:r>
          </w:p>
        </w:tc>
        <w:tc>
          <w:tcPr>
            <w:tcW w:w="820" w:type="pct"/>
            <w:tcBorders>
              <w:top w:val="nil"/>
              <w:left w:val="nil"/>
              <w:bottom w:val="nil"/>
              <w:right w:val="nil"/>
              <w:insideH w:val="nil"/>
              <w:insideV w:val="nil"/>
            </w:tcBorders>
            <w:vAlign w:val="center"/>
          </w:tcPr>
          <w:p w14:paraId="329CB5FC">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65.1%</w:t>
            </w:r>
          </w:p>
        </w:tc>
        <w:tc>
          <w:tcPr>
            <w:tcW w:w="1045" w:type="pct"/>
            <w:tcBorders>
              <w:top w:val="nil"/>
              <w:left w:val="nil"/>
              <w:bottom w:val="nil"/>
              <w:right w:val="nil"/>
              <w:insideH w:val="nil"/>
              <w:insideV w:val="nil"/>
            </w:tcBorders>
            <w:vAlign w:val="center"/>
          </w:tcPr>
          <w:p w14:paraId="3D639EEC">
            <w:pPr>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sz w:val="18"/>
              </w:rPr>
              <w:t>50.2%-77.6%</w:t>
            </w:r>
          </w:p>
        </w:tc>
      </w:tr>
      <w:tr w14:paraId="2F7C4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13" w:type="pct"/>
            <w:tcBorders>
              <w:top w:val="nil"/>
              <w:left w:val="nil"/>
              <w:bottom w:val="nil"/>
              <w:right w:val="nil"/>
              <w:insideH w:val="nil"/>
              <w:insideV w:val="nil"/>
            </w:tcBorders>
            <w:vAlign w:val="center"/>
          </w:tcPr>
          <w:p w14:paraId="1413A992">
            <w:pPr>
              <w:snapToGrid w:val="0"/>
              <w:spacing w:line="240" w:lineRule="auto"/>
              <w:ind w:left="0" w:leftChars="0" w:right="0" w:rightChars="0" w:firstLine="0" w:firstLineChars="0"/>
              <w:jc w:val="center"/>
              <w:rPr>
                <w:rFonts w:ascii="Times New Roman" w:hAnsi="Times New Roman" w:eastAsia="宋体" w:cs="Times New Roman"/>
                <w:b w:val="0"/>
                <w:bCs w:val="0"/>
                <w:sz w:val="18"/>
                <w:szCs w:val="18"/>
              </w:rPr>
            </w:pPr>
            <w:r>
              <w:rPr>
                <w:rFonts w:ascii="Times New Roman" w:hAnsi="Times New Roman" w:eastAsia="宋体" w:cs="Times New Roman"/>
                <w:b w:val="0"/>
                <w:bCs w:val="0"/>
                <w:sz w:val="18"/>
                <w:szCs w:val="18"/>
              </w:rPr>
              <w:t>Urothelial cancer (</w:t>
            </w:r>
            <w:r>
              <w:rPr>
                <w:rStyle w:val="6"/>
                <w:rFonts w:hint="default" w:ascii="Times New Roman" w:hAnsi="Times New Roman" w:eastAsia="宋体" w:cs="Times New Roman"/>
                <w:b w:val="0"/>
                <w:bCs w:val="0"/>
                <w:i w:val="0"/>
                <w:iCs w:val="0"/>
                <w:caps w:val="0"/>
                <w:spacing w:val="0"/>
                <w:kern w:val="0"/>
                <w:sz w:val="18"/>
                <w:szCs w:val="18"/>
                <w:lang w:val="en-US" w:eastAsia="zh-CN" w:bidi="ar"/>
              </w:rPr>
              <w:t>Overall</w:t>
            </w:r>
            <w:r>
              <w:rPr>
                <w:rFonts w:ascii="Times New Roman" w:hAnsi="Times New Roman" w:eastAsia="宋体" w:cs="Times New Roman"/>
                <w:b w:val="0"/>
                <w:bCs w:val="0"/>
                <w:sz w:val="18"/>
                <w:szCs w:val="18"/>
              </w:rPr>
              <w:t>)</w:t>
            </w:r>
          </w:p>
        </w:tc>
        <w:tc>
          <w:tcPr>
            <w:tcW w:w="392" w:type="pct"/>
            <w:tcBorders>
              <w:top w:val="nil"/>
              <w:left w:val="nil"/>
              <w:bottom w:val="nil"/>
              <w:right w:val="nil"/>
              <w:insideH w:val="nil"/>
              <w:insideV w:val="nil"/>
            </w:tcBorders>
            <w:shd w:val="clear" w:color="auto" w:fill="auto"/>
            <w:vAlign w:val="center"/>
          </w:tcPr>
          <w:p w14:paraId="0A4257D4">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b w:val="0"/>
                <w:bCs w:val="0"/>
                <w:sz w:val="18"/>
                <w:szCs w:val="18"/>
              </w:rPr>
            </w:pPr>
            <w:r>
              <w:rPr>
                <w:rStyle w:val="6"/>
                <w:rFonts w:hint="default" w:ascii="Times New Roman" w:hAnsi="Times New Roman" w:eastAsia="宋体" w:cs="Times New Roman"/>
                <w:b w:val="0"/>
                <w:bCs w:val="0"/>
                <w:i w:val="0"/>
                <w:iCs w:val="0"/>
                <w:caps w:val="0"/>
                <w:spacing w:val="0"/>
                <w:kern w:val="0"/>
                <w:sz w:val="18"/>
                <w:szCs w:val="18"/>
                <w:lang w:val="en-US" w:eastAsia="zh-CN" w:bidi="ar"/>
              </w:rPr>
              <w:t>205</w:t>
            </w:r>
          </w:p>
        </w:tc>
        <w:tc>
          <w:tcPr>
            <w:tcW w:w="928" w:type="pct"/>
            <w:tcBorders>
              <w:top w:val="nil"/>
              <w:left w:val="nil"/>
              <w:bottom w:val="nil"/>
              <w:right w:val="nil"/>
              <w:insideH w:val="nil"/>
              <w:insideV w:val="nil"/>
            </w:tcBorders>
            <w:shd w:val="clear" w:color="auto" w:fill="auto"/>
            <w:vAlign w:val="center"/>
          </w:tcPr>
          <w:p w14:paraId="2458A7AF">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b w:val="0"/>
                <w:bCs w:val="0"/>
                <w:sz w:val="18"/>
                <w:szCs w:val="18"/>
              </w:rPr>
            </w:pPr>
            <w:r>
              <w:rPr>
                <w:rStyle w:val="6"/>
                <w:rFonts w:hint="default" w:ascii="Times New Roman" w:hAnsi="Times New Roman" w:eastAsia="宋体" w:cs="Times New Roman"/>
                <w:b w:val="0"/>
                <w:bCs w:val="0"/>
                <w:i w:val="0"/>
                <w:iCs w:val="0"/>
                <w:caps w:val="0"/>
                <w:spacing w:val="0"/>
                <w:kern w:val="0"/>
                <w:sz w:val="18"/>
                <w:szCs w:val="18"/>
                <w:lang w:val="en-US" w:eastAsia="zh-CN" w:bidi="ar"/>
              </w:rPr>
              <w:t>194</w:t>
            </w:r>
          </w:p>
        </w:tc>
        <w:tc>
          <w:tcPr>
            <w:tcW w:w="820" w:type="pct"/>
            <w:tcBorders>
              <w:top w:val="nil"/>
              <w:left w:val="nil"/>
              <w:bottom w:val="nil"/>
              <w:right w:val="nil"/>
              <w:insideH w:val="nil"/>
              <w:insideV w:val="nil"/>
            </w:tcBorders>
            <w:shd w:val="clear" w:color="auto" w:fill="auto"/>
            <w:vAlign w:val="center"/>
          </w:tcPr>
          <w:p w14:paraId="254AC02A">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b w:val="0"/>
                <w:bCs w:val="0"/>
                <w:sz w:val="18"/>
                <w:szCs w:val="18"/>
              </w:rPr>
            </w:pPr>
            <w:r>
              <w:rPr>
                <w:rStyle w:val="6"/>
                <w:rFonts w:hint="default" w:ascii="Times New Roman" w:hAnsi="Times New Roman" w:eastAsia="宋体" w:cs="Times New Roman"/>
                <w:b w:val="0"/>
                <w:bCs w:val="0"/>
                <w:i w:val="0"/>
                <w:iCs w:val="0"/>
                <w:caps w:val="0"/>
                <w:spacing w:val="0"/>
                <w:kern w:val="0"/>
                <w:sz w:val="18"/>
                <w:szCs w:val="18"/>
                <w:lang w:val="en-US" w:eastAsia="zh-CN" w:bidi="ar"/>
              </w:rPr>
              <w:t>94.6%</w:t>
            </w:r>
          </w:p>
        </w:tc>
        <w:tc>
          <w:tcPr>
            <w:tcW w:w="1045" w:type="pct"/>
            <w:tcBorders>
              <w:top w:val="nil"/>
              <w:left w:val="nil"/>
              <w:bottom w:val="nil"/>
              <w:right w:val="nil"/>
              <w:insideH w:val="nil"/>
              <w:insideV w:val="nil"/>
            </w:tcBorders>
            <w:shd w:val="clear" w:color="auto" w:fill="auto"/>
            <w:vAlign w:val="center"/>
          </w:tcPr>
          <w:p w14:paraId="7DF2EF7D">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b w:val="0"/>
                <w:bCs w:val="0"/>
                <w:sz w:val="18"/>
                <w:szCs w:val="18"/>
              </w:rPr>
            </w:pPr>
            <w:r>
              <w:rPr>
                <w:rStyle w:val="6"/>
                <w:rFonts w:hint="default" w:ascii="Times New Roman" w:hAnsi="Times New Roman" w:eastAsia="宋体" w:cs="Times New Roman"/>
                <w:b w:val="0"/>
                <w:bCs w:val="0"/>
                <w:i w:val="0"/>
                <w:iCs w:val="0"/>
                <w:caps w:val="0"/>
                <w:spacing w:val="0"/>
                <w:kern w:val="0"/>
                <w:sz w:val="18"/>
                <w:szCs w:val="18"/>
                <w:lang w:val="en-US" w:eastAsia="zh-CN" w:bidi="ar"/>
              </w:rPr>
              <w:t>90.6%-97.0%</w:t>
            </w:r>
          </w:p>
        </w:tc>
      </w:tr>
      <w:tr w14:paraId="16832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13" w:type="pct"/>
            <w:tcBorders>
              <w:top w:val="nil"/>
              <w:left w:val="nil"/>
              <w:bottom w:val="nil"/>
              <w:right w:val="nil"/>
              <w:insideH w:val="nil"/>
              <w:insideV w:val="nil"/>
            </w:tcBorders>
            <w:vAlign w:val="center"/>
          </w:tcPr>
          <w:p w14:paraId="47D5AF52">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Stage I</w:t>
            </w:r>
          </w:p>
        </w:tc>
        <w:tc>
          <w:tcPr>
            <w:tcW w:w="392" w:type="pct"/>
            <w:tcBorders>
              <w:top w:val="nil"/>
              <w:left w:val="nil"/>
              <w:bottom w:val="nil"/>
              <w:right w:val="nil"/>
              <w:insideH w:val="nil"/>
              <w:insideV w:val="nil"/>
            </w:tcBorders>
            <w:vAlign w:val="center"/>
          </w:tcPr>
          <w:p w14:paraId="62FBEFDB">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117</w:t>
            </w:r>
          </w:p>
        </w:tc>
        <w:tc>
          <w:tcPr>
            <w:tcW w:w="928" w:type="pct"/>
            <w:tcBorders>
              <w:top w:val="nil"/>
              <w:left w:val="nil"/>
              <w:bottom w:val="nil"/>
              <w:right w:val="nil"/>
              <w:insideH w:val="nil"/>
              <w:insideV w:val="nil"/>
            </w:tcBorders>
            <w:vAlign w:val="center"/>
          </w:tcPr>
          <w:p w14:paraId="21D3D53E">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109</w:t>
            </w:r>
          </w:p>
        </w:tc>
        <w:tc>
          <w:tcPr>
            <w:tcW w:w="820" w:type="pct"/>
            <w:tcBorders>
              <w:top w:val="nil"/>
              <w:left w:val="nil"/>
              <w:bottom w:val="nil"/>
              <w:right w:val="nil"/>
              <w:insideH w:val="nil"/>
              <w:insideV w:val="nil"/>
            </w:tcBorders>
            <w:vAlign w:val="center"/>
          </w:tcPr>
          <w:p w14:paraId="107201DD">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93.2%</w:t>
            </w:r>
          </w:p>
        </w:tc>
        <w:tc>
          <w:tcPr>
            <w:tcW w:w="1045" w:type="pct"/>
            <w:tcBorders>
              <w:top w:val="nil"/>
              <w:left w:val="nil"/>
              <w:bottom w:val="nil"/>
              <w:right w:val="nil"/>
              <w:insideH w:val="nil"/>
              <w:insideV w:val="nil"/>
            </w:tcBorders>
            <w:vAlign w:val="center"/>
          </w:tcPr>
          <w:p w14:paraId="7CADA001">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87.1%-96.5%</w:t>
            </w:r>
          </w:p>
        </w:tc>
      </w:tr>
      <w:tr w14:paraId="4CBEF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13" w:type="pct"/>
            <w:tcBorders>
              <w:top w:val="nil"/>
              <w:left w:val="nil"/>
              <w:bottom w:val="nil"/>
              <w:right w:val="nil"/>
              <w:insideH w:val="nil"/>
              <w:insideV w:val="nil"/>
            </w:tcBorders>
            <w:vAlign w:val="center"/>
          </w:tcPr>
          <w:p w14:paraId="5095A03B">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Stage II</w:t>
            </w:r>
          </w:p>
        </w:tc>
        <w:tc>
          <w:tcPr>
            <w:tcW w:w="392" w:type="pct"/>
            <w:tcBorders>
              <w:top w:val="nil"/>
              <w:left w:val="nil"/>
              <w:bottom w:val="nil"/>
              <w:right w:val="nil"/>
              <w:insideH w:val="nil"/>
              <w:insideV w:val="nil"/>
            </w:tcBorders>
            <w:vAlign w:val="center"/>
          </w:tcPr>
          <w:p w14:paraId="09D09841">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56</w:t>
            </w:r>
          </w:p>
        </w:tc>
        <w:tc>
          <w:tcPr>
            <w:tcW w:w="928" w:type="pct"/>
            <w:tcBorders>
              <w:top w:val="nil"/>
              <w:left w:val="nil"/>
              <w:bottom w:val="nil"/>
              <w:right w:val="nil"/>
              <w:insideH w:val="nil"/>
              <w:insideV w:val="nil"/>
            </w:tcBorders>
            <w:vAlign w:val="center"/>
          </w:tcPr>
          <w:p w14:paraId="21997523">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56</w:t>
            </w:r>
          </w:p>
        </w:tc>
        <w:tc>
          <w:tcPr>
            <w:tcW w:w="820" w:type="pct"/>
            <w:tcBorders>
              <w:top w:val="nil"/>
              <w:left w:val="nil"/>
              <w:bottom w:val="nil"/>
              <w:right w:val="nil"/>
              <w:insideH w:val="nil"/>
              <w:insideV w:val="nil"/>
            </w:tcBorders>
            <w:vAlign w:val="center"/>
          </w:tcPr>
          <w:p w14:paraId="08EC6936">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100.0%</w:t>
            </w:r>
          </w:p>
        </w:tc>
        <w:tc>
          <w:tcPr>
            <w:tcW w:w="1045" w:type="pct"/>
            <w:tcBorders>
              <w:top w:val="nil"/>
              <w:left w:val="nil"/>
              <w:bottom w:val="nil"/>
              <w:right w:val="nil"/>
              <w:insideH w:val="nil"/>
              <w:insideV w:val="nil"/>
            </w:tcBorders>
            <w:vAlign w:val="center"/>
          </w:tcPr>
          <w:p w14:paraId="334F6CB6">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93.6%-100.0%</w:t>
            </w:r>
          </w:p>
        </w:tc>
      </w:tr>
      <w:tr w14:paraId="17A07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13" w:type="pct"/>
            <w:tcBorders>
              <w:top w:val="nil"/>
              <w:left w:val="nil"/>
              <w:bottom w:val="nil"/>
              <w:right w:val="nil"/>
              <w:insideH w:val="nil"/>
              <w:insideV w:val="nil"/>
            </w:tcBorders>
            <w:vAlign w:val="center"/>
          </w:tcPr>
          <w:p w14:paraId="5D68E724">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Stage III</w:t>
            </w:r>
          </w:p>
        </w:tc>
        <w:tc>
          <w:tcPr>
            <w:tcW w:w="392" w:type="pct"/>
            <w:tcBorders>
              <w:top w:val="nil"/>
              <w:left w:val="nil"/>
              <w:bottom w:val="nil"/>
              <w:right w:val="nil"/>
              <w:insideH w:val="nil"/>
              <w:insideV w:val="nil"/>
            </w:tcBorders>
            <w:vAlign w:val="center"/>
          </w:tcPr>
          <w:p w14:paraId="03E224B0">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21</w:t>
            </w:r>
          </w:p>
        </w:tc>
        <w:tc>
          <w:tcPr>
            <w:tcW w:w="928" w:type="pct"/>
            <w:tcBorders>
              <w:top w:val="nil"/>
              <w:left w:val="nil"/>
              <w:bottom w:val="nil"/>
              <w:right w:val="nil"/>
              <w:insideH w:val="nil"/>
              <w:insideV w:val="nil"/>
            </w:tcBorders>
            <w:vAlign w:val="center"/>
          </w:tcPr>
          <w:p w14:paraId="7320483E">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19</w:t>
            </w:r>
          </w:p>
        </w:tc>
        <w:tc>
          <w:tcPr>
            <w:tcW w:w="820" w:type="pct"/>
            <w:tcBorders>
              <w:top w:val="nil"/>
              <w:left w:val="nil"/>
              <w:bottom w:val="nil"/>
              <w:right w:val="nil"/>
              <w:insideH w:val="nil"/>
              <w:insideV w:val="nil"/>
            </w:tcBorders>
            <w:vAlign w:val="center"/>
          </w:tcPr>
          <w:p w14:paraId="09B88C36">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90.5%</w:t>
            </w:r>
          </w:p>
        </w:tc>
        <w:tc>
          <w:tcPr>
            <w:tcW w:w="1045" w:type="pct"/>
            <w:tcBorders>
              <w:top w:val="nil"/>
              <w:left w:val="nil"/>
              <w:bottom w:val="nil"/>
              <w:right w:val="nil"/>
              <w:insideH w:val="nil"/>
              <w:insideV w:val="nil"/>
            </w:tcBorders>
            <w:vAlign w:val="center"/>
          </w:tcPr>
          <w:p w14:paraId="6DEAB097">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71.1%-97.3%</w:t>
            </w:r>
          </w:p>
        </w:tc>
      </w:tr>
      <w:tr w14:paraId="1387E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13" w:type="pct"/>
            <w:tcBorders>
              <w:top w:val="nil"/>
              <w:left w:val="nil"/>
              <w:bottom w:val="single" w:color="000000" w:sz="12" w:space="0"/>
              <w:right w:val="nil"/>
              <w:insideH w:val="nil"/>
              <w:insideV w:val="nil"/>
            </w:tcBorders>
            <w:shd w:val="clear" w:color="auto" w:fill="auto"/>
            <w:vAlign w:val="center"/>
          </w:tcPr>
          <w:p w14:paraId="36EFF5DD">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Stage IV</w:t>
            </w:r>
          </w:p>
        </w:tc>
        <w:tc>
          <w:tcPr>
            <w:tcW w:w="392" w:type="pct"/>
            <w:tcBorders>
              <w:top w:val="nil"/>
              <w:left w:val="nil"/>
              <w:bottom w:val="single" w:color="000000" w:sz="12" w:space="0"/>
              <w:right w:val="nil"/>
              <w:insideH w:val="nil"/>
              <w:insideV w:val="nil"/>
            </w:tcBorders>
            <w:shd w:val="clear" w:color="auto" w:fill="auto"/>
            <w:vAlign w:val="center"/>
          </w:tcPr>
          <w:p w14:paraId="54D03570">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11</w:t>
            </w:r>
          </w:p>
        </w:tc>
        <w:tc>
          <w:tcPr>
            <w:tcW w:w="928" w:type="pct"/>
            <w:tcBorders>
              <w:top w:val="nil"/>
              <w:left w:val="nil"/>
              <w:bottom w:val="single" w:color="000000" w:sz="12" w:space="0"/>
              <w:right w:val="nil"/>
              <w:insideH w:val="nil"/>
              <w:insideV w:val="nil"/>
            </w:tcBorders>
            <w:shd w:val="clear" w:color="auto" w:fill="auto"/>
            <w:vAlign w:val="center"/>
          </w:tcPr>
          <w:p w14:paraId="01364DD3">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10</w:t>
            </w:r>
          </w:p>
        </w:tc>
        <w:tc>
          <w:tcPr>
            <w:tcW w:w="820" w:type="pct"/>
            <w:tcBorders>
              <w:top w:val="nil"/>
              <w:left w:val="nil"/>
              <w:bottom w:val="single" w:color="000000" w:sz="12" w:space="0"/>
              <w:right w:val="nil"/>
              <w:insideH w:val="nil"/>
              <w:insideV w:val="nil"/>
            </w:tcBorders>
            <w:shd w:val="clear" w:color="auto" w:fill="auto"/>
            <w:vAlign w:val="center"/>
          </w:tcPr>
          <w:p w14:paraId="2B612BA7">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90.9%</w:t>
            </w:r>
          </w:p>
        </w:tc>
        <w:tc>
          <w:tcPr>
            <w:tcW w:w="1045" w:type="pct"/>
            <w:tcBorders>
              <w:top w:val="nil"/>
              <w:left w:val="nil"/>
              <w:bottom w:val="single" w:color="000000" w:sz="12" w:space="0"/>
              <w:right w:val="nil"/>
              <w:insideH w:val="nil"/>
              <w:insideV w:val="nil"/>
            </w:tcBorders>
            <w:shd w:val="clear" w:color="auto" w:fill="auto"/>
            <w:vAlign w:val="center"/>
          </w:tcPr>
          <w:p w14:paraId="101F0432">
            <w:pPr>
              <w:keepNext w:val="0"/>
              <w:keepLines w:val="0"/>
              <w:widowControl/>
              <w:suppressLineNumbers w:val="0"/>
              <w:snapToGrid w:val="0"/>
              <w:spacing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宋体" w:cs="Times New Roman"/>
                <w:i w:val="0"/>
                <w:iCs w:val="0"/>
                <w:caps w:val="0"/>
                <w:spacing w:val="0"/>
                <w:kern w:val="0"/>
                <w:sz w:val="18"/>
                <w:szCs w:val="18"/>
                <w:lang w:val="en-US" w:eastAsia="zh-CN" w:bidi="ar"/>
              </w:rPr>
              <w:t>62.3%-98.4%</w:t>
            </w:r>
          </w:p>
        </w:tc>
      </w:tr>
    </w:tbl>
    <w:p w14:paraId="6484F261">
      <w:pPr>
        <w:spacing w:line="240" w:lineRule="auto"/>
        <w:rPr>
          <w:rFonts w:ascii="Times New Roman" w:hAnsi="Times New Roman"/>
          <w:i/>
          <w:sz w:val="21"/>
        </w:rPr>
      </w:pPr>
      <w:r>
        <w:rPr>
          <w:rFonts w:ascii="Times New Roman" w:hAnsi="Times New Roman"/>
          <w:i/>
          <w:sz w:val="21"/>
        </w:rPr>
        <w:t xml:space="preserve">Note: </w:t>
      </w:r>
      <w:r>
        <w:rPr>
          <w:rFonts w:hint="eastAsia" w:ascii="Times New Roman" w:hAnsi="Times New Roman"/>
          <w:i/>
        </w:rPr>
        <w:t>Urinalysis results were missing for one of the 55 prostate cancer cases; therefore, the hematuria and proteinuria subgroup denominators sum to 54.</w:t>
      </w:r>
      <w:r>
        <w:rPr>
          <w:rFonts w:hint="eastAsia" w:ascii="Times New Roman" w:hAnsi="Times New Roman"/>
          <w:i/>
          <w:lang w:val="en-US" w:eastAsia="zh-CN"/>
        </w:rPr>
        <w:t xml:space="preserve"> </w:t>
      </w:r>
      <w:r>
        <w:rPr>
          <w:rFonts w:ascii="Times New Roman" w:hAnsi="Times New Roman"/>
          <w:i/>
          <w:sz w:val="21"/>
        </w:rPr>
        <w:t>Sensitivity was calculated as the proportion of cases correctly classified as cancer by the PUCD assay. 95% confidence intervals were calculated using the Wilson score method. Urine samples were collected as first-void urine without prior digital rectal examination or prostate massage. Urothelial cancers include bladder, renal pelvis</w:t>
      </w:r>
      <w:r>
        <w:rPr>
          <w:rFonts w:hint="eastAsia" w:ascii="Times New Roman" w:hAnsi="Times New Roman"/>
          <w:i/>
          <w:sz w:val="21"/>
          <w:lang w:val="en-US" w:eastAsia="zh-CN"/>
        </w:rPr>
        <w:t xml:space="preserve"> </w:t>
      </w:r>
      <w:r>
        <w:rPr>
          <w:rFonts w:ascii="Times New Roman" w:hAnsi="Times New Roman"/>
          <w:i/>
          <w:sz w:val="21"/>
        </w:rPr>
        <w:t>and ureteral. OB = urine occult blood; PRO = urine protein.</w:t>
      </w:r>
    </w:p>
    <w:p w14:paraId="191ED79A">
      <w:pPr>
        <w:spacing w:line="240" w:lineRule="auto"/>
        <w:rPr>
          <w:rFonts w:ascii="Times New Roman" w:hAnsi="Times New Roman"/>
          <w:b/>
          <w:sz w:val="21"/>
        </w:rPr>
      </w:pPr>
    </w:p>
    <w:p w14:paraId="614C217B">
      <w:pPr>
        <w:spacing w:line="240" w:lineRule="auto"/>
        <w:rPr>
          <w:rFonts w:hint="eastAsia" w:ascii="Times New Roman" w:hAnsi="Times New Roman" w:eastAsiaTheme="minorEastAsia"/>
          <w:i w:val="0"/>
          <w:iCs/>
          <w:sz w:val="21"/>
          <w:lang w:val="en-US" w:eastAsia="zh-CN"/>
        </w:rPr>
      </w:pPr>
      <w:r>
        <w:rPr>
          <w:rFonts w:ascii="Times New Roman" w:hAnsi="Times New Roman"/>
          <w:b/>
          <w:sz w:val="21"/>
        </w:rPr>
        <w:t>Table S</w:t>
      </w:r>
      <w:r>
        <w:rPr>
          <w:rFonts w:hint="eastAsia" w:ascii="Times New Roman" w:hAnsi="Times New Roman"/>
          <w:b/>
          <w:sz w:val="21"/>
          <w:lang w:val="en-US" w:eastAsia="zh-CN"/>
        </w:rPr>
        <w:t>12</w:t>
      </w:r>
      <w:r>
        <w:rPr>
          <w:rFonts w:ascii="Times New Roman" w:hAnsi="Times New Roman"/>
          <w:b/>
          <w:sz w:val="21"/>
        </w:rPr>
        <w:t>. Diagnostic Performance of the PUCD Assay Within</w:t>
      </w:r>
      <w:r>
        <w:rPr>
          <w:rFonts w:hint="eastAsia" w:ascii="Times New Roman" w:hAnsi="Times New Roman"/>
          <w:b/>
          <w:bCs w:val="0"/>
          <w:sz w:val="21"/>
          <w:lang w:val="en-US" w:eastAsia="zh-CN"/>
        </w:rPr>
        <w:t xml:space="preserve"> </w:t>
      </w:r>
      <w:r>
        <w:rPr>
          <w:rFonts w:hint="eastAsia" w:ascii="Times New Roman" w:hAnsi="Times New Roman"/>
          <w:b/>
          <w:bCs w:val="0"/>
          <w:i w:val="0"/>
          <w:iCs/>
          <w:sz w:val="22"/>
          <w:lang w:eastAsia="zh-CN"/>
        </w:rPr>
        <w:t>L</w:t>
      </w:r>
      <w:r>
        <w:rPr>
          <w:rFonts w:ascii="Times New Roman" w:hAnsi="Times New Roman"/>
          <w:b/>
          <w:bCs w:val="0"/>
          <w:i w:val="0"/>
          <w:iCs/>
          <w:sz w:val="22"/>
        </w:rPr>
        <w:t xml:space="preserve">ow and </w:t>
      </w:r>
      <w:r>
        <w:rPr>
          <w:rFonts w:hint="eastAsia" w:ascii="Times New Roman" w:hAnsi="Times New Roman"/>
          <w:b/>
          <w:bCs w:val="0"/>
          <w:i w:val="0"/>
          <w:iCs/>
          <w:sz w:val="22"/>
          <w:lang w:eastAsia="zh-CN"/>
        </w:rPr>
        <w:t>H</w:t>
      </w:r>
      <w:r>
        <w:rPr>
          <w:rFonts w:ascii="Times New Roman" w:hAnsi="Times New Roman"/>
          <w:b/>
          <w:bCs w:val="0"/>
          <w:i w:val="0"/>
          <w:iCs/>
          <w:sz w:val="22"/>
        </w:rPr>
        <w:t xml:space="preserve">igh </w:t>
      </w:r>
      <w:r>
        <w:rPr>
          <w:rFonts w:hint="eastAsia" w:ascii="Times New Roman" w:hAnsi="Times New Roman"/>
          <w:b/>
          <w:bCs w:val="0"/>
          <w:i w:val="0"/>
          <w:iCs/>
          <w:sz w:val="22"/>
          <w:lang w:eastAsia="zh-CN"/>
        </w:rPr>
        <w:t>G</w:t>
      </w:r>
      <w:r>
        <w:rPr>
          <w:rFonts w:ascii="Times New Roman" w:hAnsi="Times New Roman"/>
          <w:b/>
          <w:bCs w:val="0"/>
          <w:i w:val="0"/>
          <w:iCs/>
          <w:sz w:val="22"/>
        </w:rPr>
        <w:t xml:space="preserve">rade </w:t>
      </w:r>
      <w:r>
        <w:rPr>
          <w:rFonts w:hint="eastAsia" w:ascii="Times New Roman" w:hAnsi="Times New Roman"/>
          <w:b/>
          <w:bCs w:val="0"/>
          <w:i w:val="0"/>
          <w:iCs/>
          <w:sz w:val="22"/>
          <w:lang w:eastAsia="zh-CN"/>
        </w:rPr>
        <w:t>U</w:t>
      </w:r>
      <w:r>
        <w:rPr>
          <w:rFonts w:ascii="Times New Roman" w:hAnsi="Times New Roman"/>
          <w:b/>
          <w:bCs w:val="0"/>
          <w:i w:val="0"/>
          <w:iCs/>
          <w:sz w:val="22"/>
        </w:rPr>
        <w:t xml:space="preserve">rothelial </w:t>
      </w:r>
      <w:r>
        <w:rPr>
          <w:rFonts w:hint="eastAsia" w:ascii="Times New Roman" w:hAnsi="Times New Roman"/>
          <w:b/>
          <w:bCs w:val="0"/>
          <w:i w:val="0"/>
          <w:iCs/>
          <w:sz w:val="22"/>
          <w:lang w:eastAsia="zh-CN"/>
        </w:rPr>
        <w:t>C</w:t>
      </w:r>
      <w:r>
        <w:rPr>
          <w:rFonts w:ascii="Times New Roman" w:hAnsi="Times New Roman"/>
          <w:b/>
          <w:bCs w:val="0"/>
          <w:i w:val="0"/>
          <w:iCs/>
          <w:sz w:val="22"/>
        </w:rPr>
        <w:t>arcinoma</w:t>
      </w:r>
    </w:p>
    <w:tbl>
      <w:tblPr>
        <w:tblStyle w:val="4"/>
        <w:tblW w:w="512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89"/>
        <w:gridCol w:w="1705"/>
        <w:gridCol w:w="521"/>
        <w:gridCol w:w="1368"/>
        <w:gridCol w:w="1343"/>
        <w:gridCol w:w="1237"/>
        <w:gridCol w:w="1277"/>
      </w:tblGrid>
      <w:tr w14:paraId="20C14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37" w:type="pct"/>
            <w:tcBorders>
              <w:top w:val="single" w:color="000000" w:sz="12" w:space="0"/>
              <w:left w:val="nil"/>
              <w:bottom w:val="nil"/>
              <w:right w:val="nil"/>
            </w:tcBorders>
            <w:shd w:val="clear" w:color="D9E1F2" w:fill="auto"/>
            <w:noWrap w:val="0"/>
            <w:tcMar>
              <w:top w:w="-1" w:type="dxa"/>
              <w:left w:w="-1" w:type="dxa"/>
              <w:bottom w:w="-1" w:type="dxa"/>
              <w:right w:w="-1" w:type="dxa"/>
            </w:tcMar>
            <w:vAlign w:val="center"/>
          </w:tcPr>
          <w:p w14:paraId="6B0E18E6">
            <w:pPr>
              <w:keepNext w:val="0"/>
              <w:keepLines w:val="0"/>
              <w:widowControl/>
              <w:suppressLineNumbers w:val="0"/>
              <w:snapToGrid w:val="0"/>
              <w:ind w:left="0" w:leftChars="0" w:right="0" w:rightChars="0" w:firstLine="0" w:firstLineChars="0"/>
              <w:jc w:val="center"/>
              <w:textAlignment w:val="bottom"/>
              <w:rPr>
                <w:rFonts w:ascii="Times New Roman" w:hAnsi="Times New Roman"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Dataset</w:t>
            </w:r>
          </w:p>
        </w:tc>
        <w:tc>
          <w:tcPr>
            <w:tcW w:w="975" w:type="pct"/>
            <w:tcBorders>
              <w:top w:val="single" w:color="000000" w:sz="12" w:space="0"/>
              <w:left w:val="nil"/>
              <w:bottom w:val="nil"/>
              <w:right w:val="nil"/>
            </w:tcBorders>
            <w:shd w:val="clear" w:color="D9E1F2" w:fill="auto"/>
            <w:noWrap w:val="0"/>
            <w:tcMar>
              <w:top w:w="-1" w:type="dxa"/>
              <w:left w:w="-1" w:type="dxa"/>
              <w:bottom w:w="-1" w:type="dxa"/>
              <w:right w:w="-1" w:type="dxa"/>
            </w:tcMar>
            <w:vAlign w:val="center"/>
          </w:tcPr>
          <w:p w14:paraId="38C609ED">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Tumor Grade</w:t>
            </w:r>
          </w:p>
        </w:tc>
        <w:tc>
          <w:tcPr>
            <w:tcW w:w="298" w:type="pct"/>
            <w:tcBorders>
              <w:top w:val="single" w:color="000000" w:sz="12" w:space="0"/>
              <w:left w:val="nil"/>
              <w:bottom w:val="nil"/>
              <w:right w:val="nil"/>
            </w:tcBorders>
            <w:shd w:val="clear" w:color="D9E1F2" w:fill="auto"/>
            <w:noWrap w:val="0"/>
            <w:tcMar>
              <w:top w:w="-1" w:type="dxa"/>
              <w:left w:w="-1" w:type="dxa"/>
              <w:bottom w:w="-1" w:type="dxa"/>
              <w:right w:w="-1" w:type="dxa"/>
            </w:tcMar>
            <w:vAlign w:val="center"/>
          </w:tcPr>
          <w:p w14:paraId="61CC8565">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N</w:t>
            </w:r>
          </w:p>
        </w:tc>
        <w:tc>
          <w:tcPr>
            <w:tcW w:w="782" w:type="pct"/>
            <w:tcBorders>
              <w:top w:val="single" w:color="000000" w:sz="12" w:space="0"/>
              <w:left w:val="nil"/>
              <w:bottom w:val="nil"/>
              <w:right w:val="nil"/>
            </w:tcBorders>
            <w:shd w:val="clear" w:color="D9E1F2" w:fill="auto"/>
            <w:noWrap w:val="0"/>
            <w:tcMar>
              <w:top w:w="-1" w:type="dxa"/>
              <w:left w:w="-1" w:type="dxa"/>
              <w:bottom w:w="-1" w:type="dxa"/>
              <w:right w:w="-1" w:type="dxa"/>
            </w:tcMar>
            <w:vAlign w:val="center"/>
          </w:tcPr>
          <w:p w14:paraId="0FECD4E6">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Positive_N</w:t>
            </w:r>
          </w:p>
        </w:tc>
        <w:tc>
          <w:tcPr>
            <w:tcW w:w="768" w:type="pct"/>
            <w:tcBorders>
              <w:top w:val="single" w:color="000000" w:sz="12" w:space="0"/>
              <w:left w:val="nil"/>
              <w:bottom w:val="nil"/>
              <w:right w:val="nil"/>
            </w:tcBorders>
            <w:shd w:val="clear" w:color="D9E1F2" w:fill="auto"/>
            <w:noWrap w:val="0"/>
            <w:tcMar>
              <w:top w:w="-1" w:type="dxa"/>
              <w:left w:w="-1" w:type="dxa"/>
              <w:bottom w:w="-1" w:type="dxa"/>
              <w:right w:w="-1" w:type="dxa"/>
            </w:tcMar>
            <w:vAlign w:val="center"/>
          </w:tcPr>
          <w:p w14:paraId="5F1E06EC">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Sensitivity</w:t>
            </w:r>
          </w:p>
        </w:tc>
        <w:tc>
          <w:tcPr>
            <w:tcW w:w="707" w:type="pct"/>
            <w:tcBorders>
              <w:top w:val="single" w:color="000000" w:sz="12" w:space="0"/>
              <w:left w:val="nil"/>
              <w:bottom w:val="nil"/>
              <w:right w:val="nil"/>
            </w:tcBorders>
            <w:shd w:val="clear" w:color="D9E1F2" w:fill="auto"/>
            <w:noWrap w:val="0"/>
            <w:tcMar>
              <w:top w:w="-1" w:type="dxa"/>
              <w:left w:w="-1" w:type="dxa"/>
              <w:bottom w:w="-1" w:type="dxa"/>
              <w:right w:w="-1" w:type="dxa"/>
            </w:tcMar>
            <w:vAlign w:val="center"/>
          </w:tcPr>
          <w:p w14:paraId="434EDCA9">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CI_lower</w:t>
            </w:r>
          </w:p>
        </w:tc>
        <w:tc>
          <w:tcPr>
            <w:tcW w:w="730" w:type="pct"/>
            <w:tcBorders>
              <w:top w:val="single" w:color="000000" w:sz="12" w:space="0"/>
              <w:left w:val="nil"/>
              <w:bottom w:val="nil"/>
              <w:right w:val="nil"/>
            </w:tcBorders>
            <w:shd w:val="clear" w:color="D9E1F2" w:fill="auto"/>
            <w:noWrap w:val="0"/>
            <w:tcMar>
              <w:top w:w="-1" w:type="dxa"/>
              <w:left w:w="-1" w:type="dxa"/>
              <w:bottom w:w="-1" w:type="dxa"/>
              <w:right w:w="-1" w:type="dxa"/>
            </w:tcMar>
            <w:vAlign w:val="center"/>
          </w:tcPr>
          <w:p w14:paraId="607C33B8">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CI_upper</w:t>
            </w:r>
          </w:p>
        </w:tc>
      </w:tr>
      <w:tr w14:paraId="2CFD4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362AAE5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aps w:val="0"/>
                <w:color w:val="333333"/>
                <w:spacing w:val="0"/>
                <w:kern w:val="0"/>
                <w:sz w:val="18"/>
                <w:szCs w:val="18"/>
                <w:lang w:val="en-US" w:eastAsia="zh-CN" w:bidi="ar"/>
              </w:rPr>
              <w:t>Combined</w:t>
            </w:r>
          </w:p>
        </w:tc>
        <w:tc>
          <w:tcPr>
            <w:tcW w:w="975"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75DE75AC">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aps w:val="0"/>
                <w:color w:val="333333"/>
                <w:spacing w:val="0"/>
                <w:kern w:val="0"/>
                <w:sz w:val="18"/>
                <w:szCs w:val="18"/>
                <w:lang w:val="en-US" w:eastAsia="zh-CN" w:bidi="ar"/>
              </w:rPr>
              <w:t>High-grade</w:t>
            </w:r>
          </w:p>
        </w:tc>
        <w:tc>
          <w:tcPr>
            <w:tcW w:w="298"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02CBCF8B">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98</w:t>
            </w:r>
          </w:p>
        </w:tc>
        <w:tc>
          <w:tcPr>
            <w:tcW w:w="782"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4A12F06B">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96</w:t>
            </w:r>
          </w:p>
        </w:tc>
        <w:tc>
          <w:tcPr>
            <w:tcW w:w="768"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36DB8EB7">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w:t>
            </w:r>
            <w:r>
              <w:rPr>
                <w:rFonts w:hint="eastAsia" w:ascii="Times New Roman" w:hAnsi="Times New Roman" w:eastAsia="宋体" w:cs="Times New Roman"/>
                <w:i w:val="0"/>
                <w:iCs w:val="0"/>
                <w:color w:val="000000"/>
                <w:kern w:val="0"/>
                <w:sz w:val="18"/>
                <w:szCs w:val="18"/>
                <w:u w:val="none"/>
                <w:lang w:val="en-US" w:eastAsia="zh-CN" w:bidi="ar"/>
              </w:rPr>
              <w:t>80</w:t>
            </w:r>
          </w:p>
        </w:tc>
        <w:tc>
          <w:tcPr>
            <w:tcW w:w="707"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62BF2CE9">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r>
              <w:rPr>
                <w:rFonts w:hint="eastAsia" w:ascii="Times New Roman" w:hAnsi="Times New Roman" w:eastAsia="宋体" w:cs="Times New Roman"/>
                <w:i w:val="0"/>
                <w:iCs w:val="0"/>
                <w:color w:val="000000"/>
                <w:kern w:val="0"/>
                <w:sz w:val="18"/>
                <w:szCs w:val="18"/>
                <w:u w:val="none"/>
                <w:lang w:val="en-US" w:eastAsia="zh-CN" w:bidi="ar"/>
              </w:rPr>
              <w:t>929</w:t>
            </w:r>
          </w:p>
        </w:tc>
        <w:tc>
          <w:tcPr>
            <w:tcW w:w="730"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2A8A221C">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w:t>
            </w:r>
            <w:r>
              <w:rPr>
                <w:rFonts w:hint="eastAsia" w:ascii="Times New Roman" w:hAnsi="Times New Roman" w:eastAsia="宋体" w:cs="Times New Roman"/>
                <w:i w:val="0"/>
                <w:iCs w:val="0"/>
                <w:color w:val="000000"/>
                <w:kern w:val="0"/>
                <w:sz w:val="18"/>
                <w:szCs w:val="18"/>
                <w:u w:val="none"/>
                <w:lang w:val="en-US" w:eastAsia="zh-CN" w:bidi="ar"/>
              </w:rPr>
              <w:t>94</w:t>
            </w:r>
          </w:p>
        </w:tc>
      </w:tr>
      <w:tr w14:paraId="08A6A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pct"/>
            <w:tcBorders>
              <w:top w:val="nil"/>
              <w:left w:val="nil"/>
              <w:bottom w:val="nil"/>
              <w:right w:val="nil"/>
            </w:tcBorders>
            <w:shd w:val="clear" w:color="auto" w:fill="auto"/>
            <w:noWrap w:val="0"/>
            <w:tcMar>
              <w:top w:w="-1" w:type="dxa"/>
              <w:left w:w="-1" w:type="dxa"/>
              <w:bottom w:w="-1" w:type="dxa"/>
              <w:right w:w="-1" w:type="dxa"/>
            </w:tcMar>
            <w:vAlign w:val="center"/>
          </w:tcPr>
          <w:p w14:paraId="01686E0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aps w:val="0"/>
                <w:color w:val="333333"/>
                <w:spacing w:val="0"/>
                <w:kern w:val="0"/>
                <w:sz w:val="18"/>
                <w:szCs w:val="18"/>
                <w:lang w:val="en-US" w:eastAsia="zh-CN" w:bidi="ar"/>
              </w:rPr>
              <w:t>Combined</w:t>
            </w:r>
          </w:p>
        </w:tc>
        <w:tc>
          <w:tcPr>
            <w:tcW w:w="975" w:type="pct"/>
            <w:tcBorders>
              <w:top w:val="nil"/>
              <w:left w:val="nil"/>
              <w:bottom w:val="nil"/>
              <w:right w:val="nil"/>
            </w:tcBorders>
            <w:shd w:val="clear" w:color="auto" w:fill="auto"/>
            <w:noWrap w:val="0"/>
            <w:tcMar>
              <w:top w:w="-1" w:type="dxa"/>
              <w:left w:w="-1" w:type="dxa"/>
              <w:bottom w:w="-1" w:type="dxa"/>
              <w:right w:w="-1" w:type="dxa"/>
            </w:tcMar>
            <w:vAlign w:val="center"/>
          </w:tcPr>
          <w:p w14:paraId="79D187D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aps w:val="0"/>
                <w:color w:val="333333"/>
                <w:spacing w:val="0"/>
                <w:kern w:val="0"/>
                <w:sz w:val="18"/>
                <w:szCs w:val="18"/>
                <w:lang w:val="en-US" w:eastAsia="zh-CN" w:bidi="ar"/>
              </w:rPr>
              <w:t>Low-grade</w:t>
            </w:r>
          </w:p>
        </w:tc>
        <w:tc>
          <w:tcPr>
            <w:tcW w:w="298" w:type="pct"/>
            <w:tcBorders>
              <w:top w:val="nil"/>
              <w:left w:val="nil"/>
              <w:bottom w:val="nil"/>
              <w:right w:val="nil"/>
            </w:tcBorders>
            <w:shd w:val="clear" w:color="auto" w:fill="auto"/>
            <w:noWrap w:val="0"/>
            <w:tcMar>
              <w:top w:w="-1" w:type="dxa"/>
              <w:left w:w="-1" w:type="dxa"/>
              <w:bottom w:w="-1" w:type="dxa"/>
              <w:right w:w="-1" w:type="dxa"/>
            </w:tcMar>
            <w:vAlign w:val="center"/>
          </w:tcPr>
          <w:p w14:paraId="3C38D71F">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37</w:t>
            </w:r>
          </w:p>
        </w:tc>
        <w:tc>
          <w:tcPr>
            <w:tcW w:w="782" w:type="pct"/>
            <w:tcBorders>
              <w:top w:val="nil"/>
              <w:left w:val="nil"/>
              <w:bottom w:val="nil"/>
              <w:right w:val="nil"/>
            </w:tcBorders>
            <w:shd w:val="clear" w:color="auto" w:fill="auto"/>
            <w:noWrap w:val="0"/>
            <w:tcMar>
              <w:top w:w="-1" w:type="dxa"/>
              <w:left w:w="-1" w:type="dxa"/>
              <w:bottom w:w="-1" w:type="dxa"/>
              <w:right w:w="-1" w:type="dxa"/>
            </w:tcMar>
            <w:vAlign w:val="center"/>
          </w:tcPr>
          <w:p w14:paraId="32F932F8">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32</w:t>
            </w:r>
          </w:p>
        </w:tc>
        <w:tc>
          <w:tcPr>
            <w:tcW w:w="768" w:type="pct"/>
            <w:tcBorders>
              <w:top w:val="nil"/>
              <w:left w:val="nil"/>
              <w:bottom w:val="nil"/>
              <w:right w:val="nil"/>
            </w:tcBorders>
            <w:shd w:val="clear" w:color="auto" w:fill="auto"/>
            <w:noWrap w:val="0"/>
            <w:tcMar>
              <w:top w:w="-1" w:type="dxa"/>
              <w:left w:w="-1" w:type="dxa"/>
              <w:bottom w:w="-1" w:type="dxa"/>
              <w:right w:w="-1" w:type="dxa"/>
            </w:tcMar>
            <w:vAlign w:val="center"/>
          </w:tcPr>
          <w:p w14:paraId="3C3949EB">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w:t>
            </w:r>
            <w:r>
              <w:rPr>
                <w:rFonts w:hint="eastAsia" w:ascii="Times New Roman" w:hAnsi="Times New Roman" w:eastAsia="宋体" w:cs="Times New Roman"/>
                <w:i w:val="0"/>
                <w:iCs w:val="0"/>
                <w:color w:val="000000"/>
                <w:kern w:val="0"/>
                <w:sz w:val="18"/>
                <w:szCs w:val="18"/>
                <w:u w:val="none"/>
                <w:lang w:val="en-US" w:eastAsia="zh-CN" w:bidi="ar"/>
              </w:rPr>
              <w:t>65</w:t>
            </w:r>
          </w:p>
        </w:tc>
        <w:tc>
          <w:tcPr>
            <w:tcW w:w="707" w:type="pct"/>
            <w:tcBorders>
              <w:top w:val="nil"/>
              <w:left w:val="nil"/>
              <w:bottom w:val="nil"/>
              <w:right w:val="nil"/>
            </w:tcBorders>
            <w:shd w:val="clear" w:color="auto" w:fill="auto"/>
            <w:noWrap w:val="0"/>
            <w:tcMar>
              <w:top w:w="-1" w:type="dxa"/>
              <w:left w:w="-1" w:type="dxa"/>
              <w:bottom w:w="-1" w:type="dxa"/>
              <w:right w:w="-1" w:type="dxa"/>
            </w:tcMar>
            <w:vAlign w:val="center"/>
          </w:tcPr>
          <w:p w14:paraId="574716BD">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r>
              <w:rPr>
                <w:rFonts w:hint="eastAsia" w:ascii="Times New Roman" w:hAnsi="Times New Roman" w:eastAsia="宋体" w:cs="Times New Roman"/>
                <w:i w:val="0"/>
                <w:iCs w:val="0"/>
                <w:color w:val="000000"/>
                <w:kern w:val="0"/>
                <w:sz w:val="18"/>
                <w:szCs w:val="18"/>
                <w:u w:val="none"/>
                <w:lang w:val="en-US" w:eastAsia="zh-CN" w:bidi="ar"/>
              </w:rPr>
              <w:t>720</w:t>
            </w:r>
          </w:p>
        </w:tc>
        <w:tc>
          <w:tcPr>
            <w:tcW w:w="730" w:type="pct"/>
            <w:tcBorders>
              <w:top w:val="nil"/>
              <w:left w:val="nil"/>
              <w:bottom w:val="nil"/>
              <w:right w:val="nil"/>
            </w:tcBorders>
            <w:shd w:val="clear" w:color="auto" w:fill="auto"/>
            <w:noWrap w:val="0"/>
            <w:tcMar>
              <w:top w:w="-1" w:type="dxa"/>
              <w:left w:w="-1" w:type="dxa"/>
              <w:bottom w:w="-1" w:type="dxa"/>
              <w:right w:w="-1" w:type="dxa"/>
            </w:tcMar>
            <w:vAlign w:val="center"/>
          </w:tcPr>
          <w:p w14:paraId="616EAD3E">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w:t>
            </w:r>
            <w:r>
              <w:rPr>
                <w:rFonts w:hint="eastAsia" w:ascii="Times New Roman" w:hAnsi="Times New Roman" w:eastAsia="宋体" w:cs="Times New Roman"/>
                <w:i w:val="0"/>
                <w:iCs w:val="0"/>
                <w:color w:val="000000"/>
                <w:kern w:val="0"/>
                <w:sz w:val="18"/>
                <w:szCs w:val="18"/>
                <w:u w:val="none"/>
                <w:lang w:val="en-US" w:eastAsia="zh-CN" w:bidi="ar"/>
              </w:rPr>
              <w:t>41</w:t>
            </w:r>
          </w:p>
        </w:tc>
      </w:tr>
      <w:tr w14:paraId="0C5EF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pct"/>
            <w:tcBorders>
              <w:top w:val="nil"/>
              <w:left w:val="nil"/>
              <w:bottom w:val="nil"/>
              <w:right w:val="nil"/>
            </w:tcBorders>
            <w:shd w:val="clear" w:color="auto" w:fill="auto"/>
            <w:noWrap w:val="0"/>
            <w:tcMar>
              <w:top w:w="-1" w:type="dxa"/>
              <w:left w:w="-1" w:type="dxa"/>
              <w:bottom w:w="-1" w:type="dxa"/>
              <w:right w:w="-1" w:type="dxa"/>
            </w:tcMar>
            <w:vAlign w:val="center"/>
          </w:tcPr>
          <w:p w14:paraId="13D792DF">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aps w:val="0"/>
                <w:color w:val="333333"/>
                <w:spacing w:val="0"/>
                <w:kern w:val="0"/>
                <w:sz w:val="18"/>
                <w:szCs w:val="18"/>
                <w:lang w:val="en-US" w:eastAsia="zh-CN" w:bidi="ar"/>
              </w:rPr>
              <w:t>Training</w:t>
            </w:r>
          </w:p>
        </w:tc>
        <w:tc>
          <w:tcPr>
            <w:tcW w:w="975" w:type="pct"/>
            <w:tcBorders>
              <w:top w:val="nil"/>
              <w:left w:val="nil"/>
              <w:bottom w:val="nil"/>
              <w:right w:val="nil"/>
            </w:tcBorders>
            <w:shd w:val="clear" w:color="auto" w:fill="auto"/>
            <w:noWrap w:val="0"/>
            <w:tcMar>
              <w:top w:w="-1" w:type="dxa"/>
              <w:left w:w="-1" w:type="dxa"/>
              <w:bottom w:w="-1" w:type="dxa"/>
              <w:right w:w="-1" w:type="dxa"/>
            </w:tcMar>
            <w:vAlign w:val="center"/>
          </w:tcPr>
          <w:p w14:paraId="6290C763">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aps w:val="0"/>
                <w:color w:val="333333"/>
                <w:spacing w:val="0"/>
                <w:kern w:val="0"/>
                <w:sz w:val="18"/>
                <w:szCs w:val="18"/>
                <w:lang w:val="en-US" w:eastAsia="zh-CN" w:bidi="ar"/>
              </w:rPr>
              <w:t>High-grade</w:t>
            </w:r>
          </w:p>
        </w:tc>
        <w:tc>
          <w:tcPr>
            <w:tcW w:w="298" w:type="pct"/>
            <w:tcBorders>
              <w:top w:val="nil"/>
              <w:left w:val="nil"/>
              <w:bottom w:val="nil"/>
              <w:right w:val="nil"/>
            </w:tcBorders>
            <w:shd w:val="clear" w:color="auto" w:fill="auto"/>
            <w:noWrap w:val="0"/>
            <w:tcMar>
              <w:top w:w="-1" w:type="dxa"/>
              <w:left w:w="-1" w:type="dxa"/>
              <w:bottom w:w="-1" w:type="dxa"/>
              <w:right w:w="-1" w:type="dxa"/>
            </w:tcMar>
            <w:vAlign w:val="center"/>
          </w:tcPr>
          <w:p w14:paraId="5DE91956">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65</w:t>
            </w:r>
          </w:p>
        </w:tc>
        <w:tc>
          <w:tcPr>
            <w:tcW w:w="782" w:type="pct"/>
            <w:tcBorders>
              <w:top w:val="nil"/>
              <w:left w:val="nil"/>
              <w:bottom w:val="nil"/>
              <w:right w:val="nil"/>
            </w:tcBorders>
            <w:shd w:val="clear" w:color="auto" w:fill="auto"/>
            <w:noWrap w:val="0"/>
            <w:tcMar>
              <w:top w:w="-1" w:type="dxa"/>
              <w:left w:w="-1" w:type="dxa"/>
              <w:bottom w:w="-1" w:type="dxa"/>
              <w:right w:w="-1" w:type="dxa"/>
            </w:tcMar>
            <w:vAlign w:val="center"/>
          </w:tcPr>
          <w:p w14:paraId="5F41FE6F">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63</w:t>
            </w:r>
          </w:p>
        </w:tc>
        <w:tc>
          <w:tcPr>
            <w:tcW w:w="768" w:type="pct"/>
            <w:tcBorders>
              <w:top w:val="nil"/>
              <w:left w:val="nil"/>
              <w:bottom w:val="nil"/>
              <w:right w:val="nil"/>
            </w:tcBorders>
            <w:shd w:val="clear" w:color="auto" w:fill="auto"/>
            <w:noWrap w:val="0"/>
            <w:tcMar>
              <w:top w:w="-1" w:type="dxa"/>
              <w:left w:w="-1" w:type="dxa"/>
              <w:bottom w:w="-1" w:type="dxa"/>
              <w:right w:w="-1" w:type="dxa"/>
            </w:tcMar>
            <w:vAlign w:val="center"/>
          </w:tcPr>
          <w:p w14:paraId="0A58B4B6">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w:t>
            </w:r>
            <w:r>
              <w:rPr>
                <w:rFonts w:hint="eastAsia" w:ascii="Times New Roman" w:hAnsi="Times New Roman" w:eastAsia="宋体" w:cs="Times New Roman"/>
                <w:i w:val="0"/>
                <w:iCs w:val="0"/>
                <w:color w:val="000000"/>
                <w:kern w:val="0"/>
                <w:sz w:val="18"/>
                <w:szCs w:val="18"/>
                <w:u w:val="none"/>
                <w:lang w:val="en-US" w:eastAsia="zh-CN" w:bidi="ar"/>
              </w:rPr>
              <w:t>69</w:t>
            </w:r>
          </w:p>
        </w:tc>
        <w:tc>
          <w:tcPr>
            <w:tcW w:w="707" w:type="pct"/>
            <w:tcBorders>
              <w:top w:val="nil"/>
              <w:left w:val="nil"/>
              <w:bottom w:val="nil"/>
              <w:right w:val="nil"/>
            </w:tcBorders>
            <w:shd w:val="clear" w:color="auto" w:fill="auto"/>
            <w:noWrap w:val="0"/>
            <w:tcMar>
              <w:top w:w="-1" w:type="dxa"/>
              <w:left w:w="-1" w:type="dxa"/>
              <w:bottom w:w="-1" w:type="dxa"/>
              <w:right w:w="-1" w:type="dxa"/>
            </w:tcMar>
            <w:vAlign w:val="center"/>
          </w:tcPr>
          <w:p w14:paraId="774CA26D">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w:t>
            </w:r>
            <w:r>
              <w:rPr>
                <w:rFonts w:hint="eastAsia" w:ascii="Times New Roman" w:hAnsi="Times New Roman" w:eastAsia="宋体" w:cs="Times New Roman"/>
                <w:i w:val="0"/>
                <w:iCs w:val="0"/>
                <w:color w:val="000000"/>
                <w:kern w:val="0"/>
                <w:sz w:val="18"/>
                <w:szCs w:val="18"/>
                <w:u w:val="none"/>
                <w:lang w:val="en-US" w:eastAsia="zh-CN" w:bidi="ar"/>
              </w:rPr>
              <w:t>95</w:t>
            </w:r>
          </w:p>
        </w:tc>
        <w:tc>
          <w:tcPr>
            <w:tcW w:w="730" w:type="pct"/>
            <w:tcBorders>
              <w:top w:val="nil"/>
              <w:left w:val="nil"/>
              <w:bottom w:val="nil"/>
              <w:right w:val="nil"/>
            </w:tcBorders>
            <w:shd w:val="clear" w:color="auto" w:fill="auto"/>
            <w:noWrap w:val="0"/>
            <w:tcMar>
              <w:top w:w="-1" w:type="dxa"/>
              <w:left w:w="-1" w:type="dxa"/>
              <w:bottom w:w="-1" w:type="dxa"/>
              <w:right w:w="-1" w:type="dxa"/>
            </w:tcMar>
            <w:vAlign w:val="center"/>
          </w:tcPr>
          <w:p w14:paraId="52EC9E8F">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w:t>
            </w:r>
            <w:r>
              <w:rPr>
                <w:rFonts w:hint="eastAsia" w:ascii="Times New Roman" w:hAnsi="Times New Roman" w:eastAsia="宋体" w:cs="Times New Roman"/>
                <w:i w:val="0"/>
                <w:iCs w:val="0"/>
                <w:color w:val="000000"/>
                <w:kern w:val="0"/>
                <w:sz w:val="18"/>
                <w:szCs w:val="18"/>
                <w:u w:val="none"/>
                <w:lang w:val="en-US" w:eastAsia="zh-CN" w:bidi="ar"/>
              </w:rPr>
              <w:t>92</w:t>
            </w:r>
          </w:p>
        </w:tc>
      </w:tr>
      <w:tr w14:paraId="28DEC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pct"/>
            <w:tcBorders>
              <w:top w:val="nil"/>
              <w:left w:val="nil"/>
              <w:bottom w:val="nil"/>
              <w:right w:val="nil"/>
            </w:tcBorders>
            <w:shd w:val="clear" w:color="auto" w:fill="auto"/>
            <w:noWrap w:val="0"/>
            <w:tcMar>
              <w:top w:w="-1" w:type="dxa"/>
              <w:left w:w="-1" w:type="dxa"/>
              <w:bottom w:w="-1" w:type="dxa"/>
              <w:right w:w="-1" w:type="dxa"/>
            </w:tcMar>
            <w:vAlign w:val="center"/>
          </w:tcPr>
          <w:p w14:paraId="67982D1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aps w:val="0"/>
                <w:color w:val="333333"/>
                <w:spacing w:val="0"/>
                <w:kern w:val="0"/>
                <w:sz w:val="18"/>
                <w:szCs w:val="18"/>
                <w:lang w:val="en-US" w:eastAsia="zh-CN" w:bidi="ar"/>
              </w:rPr>
              <w:t>Training</w:t>
            </w:r>
          </w:p>
        </w:tc>
        <w:tc>
          <w:tcPr>
            <w:tcW w:w="975" w:type="pct"/>
            <w:tcBorders>
              <w:top w:val="nil"/>
              <w:left w:val="nil"/>
              <w:bottom w:val="nil"/>
              <w:right w:val="nil"/>
            </w:tcBorders>
            <w:shd w:val="clear" w:color="auto" w:fill="auto"/>
            <w:noWrap w:val="0"/>
            <w:tcMar>
              <w:top w:w="-1" w:type="dxa"/>
              <w:left w:w="-1" w:type="dxa"/>
              <w:bottom w:w="-1" w:type="dxa"/>
              <w:right w:w="-1" w:type="dxa"/>
            </w:tcMar>
            <w:vAlign w:val="center"/>
          </w:tcPr>
          <w:p w14:paraId="231062B2">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aps w:val="0"/>
                <w:color w:val="333333"/>
                <w:spacing w:val="0"/>
                <w:kern w:val="0"/>
                <w:sz w:val="18"/>
                <w:szCs w:val="18"/>
                <w:lang w:val="en-US" w:eastAsia="zh-CN" w:bidi="ar"/>
              </w:rPr>
              <w:t>Low-grade</w:t>
            </w:r>
          </w:p>
        </w:tc>
        <w:tc>
          <w:tcPr>
            <w:tcW w:w="298" w:type="pct"/>
            <w:tcBorders>
              <w:top w:val="nil"/>
              <w:left w:val="nil"/>
              <w:bottom w:val="nil"/>
              <w:right w:val="nil"/>
            </w:tcBorders>
            <w:shd w:val="clear" w:color="auto" w:fill="auto"/>
            <w:noWrap w:val="0"/>
            <w:tcMar>
              <w:top w:w="-1" w:type="dxa"/>
              <w:left w:w="-1" w:type="dxa"/>
              <w:bottom w:w="-1" w:type="dxa"/>
              <w:right w:w="-1" w:type="dxa"/>
            </w:tcMar>
            <w:vAlign w:val="center"/>
          </w:tcPr>
          <w:p w14:paraId="1E20E7DB">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29</w:t>
            </w:r>
          </w:p>
        </w:tc>
        <w:tc>
          <w:tcPr>
            <w:tcW w:w="782" w:type="pct"/>
            <w:tcBorders>
              <w:top w:val="nil"/>
              <w:left w:val="nil"/>
              <w:bottom w:val="nil"/>
              <w:right w:val="nil"/>
            </w:tcBorders>
            <w:shd w:val="clear" w:color="auto" w:fill="auto"/>
            <w:noWrap w:val="0"/>
            <w:tcMar>
              <w:top w:w="-1" w:type="dxa"/>
              <w:left w:w="-1" w:type="dxa"/>
              <w:bottom w:w="-1" w:type="dxa"/>
              <w:right w:w="-1" w:type="dxa"/>
            </w:tcMar>
            <w:vAlign w:val="center"/>
          </w:tcPr>
          <w:p w14:paraId="7BAA6AD7">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25</w:t>
            </w:r>
          </w:p>
        </w:tc>
        <w:tc>
          <w:tcPr>
            <w:tcW w:w="768" w:type="pct"/>
            <w:tcBorders>
              <w:top w:val="nil"/>
              <w:left w:val="nil"/>
              <w:bottom w:val="nil"/>
              <w:right w:val="nil"/>
            </w:tcBorders>
            <w:shd w:val="clear" w:color="auto" w:fill="auto"/>
            <w:noWrap w:val="0"/>
            <w:tcMar>
              <w:top w:w="-1" w:type="dxa"/>
              <w:left w:w="-1" w:type="dxa"/>
              <w:bottom w:w="-1" w:type="dxa"/>
              <w:right w:w="-1" w:type="dxa"/>
            </w:tcMar>
            <w:vAlign w:val="center"/>
          </w:tcPr>
          <w:p w14:paraId="3216545A">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w:t>
            </w:r>
            <w:r>
              <w:rPr>
                <w:rFonts w:hint="eastAsia" w:ascii="Times New Roman" w:hAnsi="Times New Roman" w:eastAsia="宋体" w:cs="Times New Roman"/>
                <w:i w:val="0"/>
                <w:iCs w:val="0"/>
                <w:color w:val="000000"/>
                <w:kern w:val="0"/>
                <w:sz w:val="18"/>
                <w:szCs w:val="18"/>
                <w:u w:val="none"/>
                <w:lang w:val="en-US" w:eastAsia="zh-CN" w:bidi="ar"/>
              </w:rPr>
              <w:t>62</w:t>
            </w:r>
          </w:p>
        </w:tc>
        <w:tc>
          <w:tcPr>
            <w:tcW w:w="707" w:type="pct"/>
            <w:tcBorders>
              <w:top w:val="nil"/>
              <w:left w:val="nil"/>
              <w:bottom w:val="nil"/>
              <w:right w:val="nil"/>
            </w:tcBorders>
            <w:shd w:val="clear" w:color="auto" w:fill="auto"/>
            <w:noWrap w:val="0"/>
            <w:tcMar>
              <w:top w:w="-1" w:type="dxa"/>
              <w:left w:w="-1" w:type="dxa"/>
              <w:bottom w:w="-1" w:type="dxa"/>
              <w:right w:w="-1" w:type="dxa"/>
            </w:tcMar>
            <w:vAlign w:val="center"/>
          </w:tcPr>
          <w:p w14:paraId="368F27FC">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w:t>
            </w:r>
            <w:r>
              <w:rPr>
                <w:rFonts w:hint="eastAsia" w:ascii="Times New Roman" w:hAnsi="Times New Roman" w:eastAsia="宋体" w:cs="Times New Roman"/>
                <w:i w:val="0"/>
                <w:iCs w:val="0"/>
                <w:color w:val="000000"/>
                <w:kern w:val="0"/>
                <w:sz w:val="18"/>
                <w:szCs w:val="18"/>
                <w:u w:val="none"/>
                <w:lang w:val="en-US" w:eastAsia="zh-CN" w:bidi="ar"/>
              </w:rPr>
              <w:t>94</w:t>
            </w:r>
          </w:p>
        </w:tc>
        <w:tc>
          <w:tcPr>
            <w:tcW w:w="730" w:type="pct"/>
            <w:tcBorders>
              <w:top w:val="nil"/>
              <w:left w:val="nil"/>
              <w:bottom w:val="nil"/>
              <w:right w:val="nil"/>
            </w:tcBorders>
            <w:shd w:val="clear" w:color="auto" w:fill="auto"/>
            <w:noWrap w:val="0"/>
            <w:tcMar>
              <w:top w:w="-1" w:type="dxa"/>
              <w:left w:w="-1" w:type="dxa"/>
              <w:bottom w:w="-1" w:type="dxa"/>
              <w:right w:w="-1" w:type="dxa"/>
            </w:tcMar>
            <w:vAlign w:val="center"/>
          </w:tcPr>
          <w:p w14:paraId="5CD661F1">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w:t>
            </w:r>
            <w:r>
              <w:rPr>
                <w:rFonts w:hint="eastAsia" w:ascii="Times New Roman" w:hAnsi="Times New Roman" w:eastAsia="宋体" w:cs="Times New Roman"/>
                <w:i w:val="0"/>
                <w:iCs w:val="0"/>
                <w:color w:val="000000"/>
                <w:kern w:val="0"/>
                <w:sz w:val="18"/>
                <w:szCs w:val="18"/>
                <w:u w:val="none"/>
                <w:lang w:val="en-US" w:eastAsia="zh-CN" w:bidi="ar"/>
              </w:rPr>
              <w:t>45</w:t>
            </w:r>
          </w:p>
        </w:tc>
      </w:tr>
      <w:tr w14:paraId="3E67E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pct"/>
            <w:tcBorders>
              <w:top w:val="nil"/>
              <w:left w:val="nil"/>
              <w:bottom w:val="nil"/>
              <w:right w:val="nil"/>
            </w:tcBorders>
            <w:shd w:val="clear" w:color="auto" w:fill="auto"/>
            <w:noWrap w:val="0"/>
            <w:tcMar>
              <w:top w:w="-1" w:type="dxa"/>
              <w:left w:w="-1" w:type="dxa"/>
              <w:bottom w:w="-1" w:type="dxa"/>
              <w:right w:w="-1" w:type="dxa"/>
            </w:tcMar>
            <w:vAlign w:val="center"/>
          </w:tcPr>
          <w:p w14:paraId="60C34C7C">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aps w:val="0"/>
                <w:color w:val="333333"/>
                <w:spacing w:val="0"/>
                <w:kern w:val="0"/>
                <w:sz w:val="18"/>
                <w:szCs w:val="18"/>
                <w:lang w:val="en-US" w:eastAsia="zh-CN" w:bidi="ar"/>
              </w:rPr>
              <w:t>Validation</w:t>
            </w:r>
          </w:p>
        </w:tc>
        <w:tc>
          <w:tcPr>
            <w:tcW w:w="975" w:type="pct"/>
            <w:tcBorders>
              <w:top w:val="nil"/>
              <w:left w:val="nil"/>
              <w:bottom w:val="nil"/>
              <w:right w:val="nil"/>
            </w:tcBorders>
            <w:shd w:val="clear" w:color="auto" w:fill="auto"/>
            <w:noWrap w:val="0"/>
            <w:tcMar>
              <w:top w:w="-1" w:type="dxa"/>
              <w:left w:w="-1" w:type="dxa"/>
              <w:bottom w:w="-1" w:type="dxa"/>
              <w:right w:w="-1" w:type="dxa"/>
            </w:tcMar>
            <w:vAlign w:val="center"/>
          </w:tcPr>
          <w:p w14:paraId="2BA8DAC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aps w:val="0"/>
                <w:color w:val="333333"/>
                <w:spacing w:val="0"/>
                <w:kern w:val="0"/>
                <w:sz w:val="18"/>
                <w:szCs w:val="18"/>
                <w:lang w:val="en-US" w:eastAsia="zh-CN" w:bidi="ar"/>
              </w:rPr>
              <w:t>High-grade</w:t>
            </w:r>
          </w:p>
        </w:tc>
        <w:tc>
          <w:tcPr>
            <w:tcW w:w="298" w:type="pct"/>
            <w:tcBorders>
              <w:top w:val="nil"/>
              <w:left w:val="nil"/>
              <w:bottom w:val="nil"/>
              <w:right w:val="nil"/>
            </w:tcBorders>
            <w:shd w:val="clear" w:color="auto" w:fill="auto"/>
            <w:noWrap w:val="0"/>
            <w:tcMar>
              <w:top w:w="-1" w:type="dxa"/>
              <w:left w:w="-1" w:type="dxa"/>
              <w:bottom w:w="-1" w:type="dxa"/>
              <w:right w:w="-1" w:type="dxa"/>
            </w:tcMar>
            <w:vAlign w:val="center"/>
          </w:tcPr>
          <w:p w14:paraId="2895A95A">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33</w:t>
            </w:r>
          </w:p>
        </w:tc>
        <w:tc>
          <w:tcPr>
            <w:tcW w:w="782" w:type="pct"/>
            <w:tcBorders>
              <w:top w:val="nil"/>
              <w:left w:val="nil"/>
              <w:bottom w:val="nil"/>
              <w:right w:val="nil"/>
            </w:tcBorders>
            <w:shd w:val="clear" w:color="auto" w:fill="auto"/>
            <w:noWrap w:val="0"/>
            <w:tcMar>
              <w:top w:w="-1" w:type="dxa"/>
              <w:left w:w="-1" w:type="dxa"/>
              <w:bottom w:w="-1" w:type="dxa"/>
              <w:right w:w="-1" w:type="dxa"/>
            </w:tcMar>
            <w:vAlign w:val="center"/>
          </w:tcPr>
          <w:p w14:paraId="39948CCC">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33</w:t>
            </w:r>
          </w:p>
        </w:tc>
        <w:tc>
          <w:tcPr>
            <w:tcW w:w="768" w:type="pct"/>
            <w:tcBorders>
              <w:top w:val="nil"/>
              <w:left w:val="nil"/>
              <w:bottom w:val="nil"/>
              <w:right w:val="nil"/>
            </w:tcBorders>
            <w:shd w:val="clear" w:color="auto" w:fill="auto"/>
            <w:noWrap w:val="0"/>
            <w:tcMar>
              <w:top w:w="-1" w:type="dxa"/>
              <w:left w:w="-1" w:type="dxa"/>
              <w:bottom w:w="-1" w:type="dxa"/>
              <w:right w:w="-1" w:type="dxa"/>
            </w:tcMar>
            <w:vAlign w:val="center"/>
          </w:tcPr>
          <w:p w14:paraId="13BE5927">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1</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ascii="Times New Roman" w:hAnsi="Times New Roman" w:eastAsia="宋体" w:cs="Times New Roman"/>
                <w:i w:val="0"/>
                <w:iCs w:val="0"/>
                <w:color w:val="000000"/>
                <w:kern w:val="0"/>
                <w:sz w:val="18"/>
                <w:szCs w:val="18"/>
                <w:u w:val="none"/>
                <w:lang w:val="en-US" w:eastAsia="zh-CN" w:bidi="ar"/>
              </w:rPr>
              <w:t>000</w:t>
            </w:r>
          </w:p>
        </w:tc>
        <w:tc>
          <w:tcPr>
            <w:tcW w:w="707" w:type="pct"/>
            <w:tcBorders>
              <w:top w:val="nil"/>
              <w:left w:val="nil"/>
              <w:bottom w:val="nil"/>
              <w:right w:val="nil"/>
            </w:tcBorders>
            <w:shd w:val="clear" w:color="auto" w:fill="auto"/>
            <w:noWrap w:val="0"/>
            <w:tcMar>
              <w:top w:w="-1" w:type="dxa"/>
              <w:left w:w="-1" w:type="dxa"/>
              <w:bottom w:w="-1" w:type="dxa"/>
              <w:right w:w="-1" w:type="dxa"/>
            </w:tcMar>
            <w:vAlign w:val="center"/>
          </w:tcPr>
          <w:p w14:paraId="50A91F63">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r>
              <w:rPr>
                <w:rFonts w:hint="eastAsia" w:ascii="Times New Roman" w:hAnsi="Times New Roman" w:eastAsia="宋体" w:cs="Times New Roman"/>
                <w:i w:val="0"/>
                <w:iCs w:val="0"/>
                <w:color w:val="000000"/>
                <w:kern w:val="0"/>
                <w:sz w:val="18"/>
                <w:szCs w:val="18"/>
                <w:u w:val="none"/>
                <w:lang w:val="en-US" w:eastAsia="zh-CN" w:bidi="ar"/>
              </w:rPr>
              <w:t>896</w:t>
            </w:r>
          </w:p>
        </w:tc>
        <w:tc>
          <w:tcPr>
            <w:tcW w:w="730" w:type="pct"/>
            <w:tcBorders>
              <w:top w:val="nil"/>
              <w:left w:val="nil"/>
              <w:bottom w:val="nil"/>
              <w:right w:val="nil"/>
            </w:tcBorders>
            <w:shd w:val="clear" w:color="auto" w:fill="auto"/>
            <w:noWrap w:val="0"/>
            <w:tcMar>
              <w:top w:w="-1" w:type="dxa"/>
              <w:left w:w="-1" w:type="dxa"/>
              <w:bottom w:w="-1" w:type="dxa"/>
              <w:right w:w="-1" w:type="dxa"/>
            </w:tcMar>
            <w:vAlign w:val="center"/>
          </w:tcPr>
          <w:p w14:paraId="38E6AF03">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1.000</w:t>
            </w:r>
          </w:p>
        </w:tc>
      </w:tr>
      <w:tr w14:paraId="03983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0E1B570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aps w:val="0"/>
                <w:color w:val="333333"/>
                <w:spacing w:val="0"/>
                <w:kern w:val="0"/>
                <w:sz w:val="18"/>
                <w:szCs w:val="18"/>
                <w:lang w:val="en-US" w:eastAsia="zh-CN" w:bidi="ar"/>
              </w:rPr>
              <w:t>Validation</w:t>
            </w:r>
          </w:p>
        </w:tc>
        <w:tc>
          <w:tcPr>
            <w:tcW w:w="975"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30C5657C">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aps w:val="0"/>
                <w:color w:val="333333"/>
                <w:spacing w:val="0"/>
                <w:kern w:val="0"/>
                <w:sz w:val="18"/>
                <w:szCs w:val="18"/>
                <w:lang w:val="en-US" w:eastAsia="zh-CN" w:bidi="ar"/>
              </w:rPr>
              <w:t>Low-grade</w:t>
            </w:r>
          </w:p>
        </w:tc>
        <w:tc>
          <w:tcPr>
            <w:tcW w:w="298"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0C7C0D87">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782"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33600051">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w:t>
            </w:r>
          </w:p>
        </w:tc>
        <w:tc>
          <w:tcPr>
            <w:tcW w:w="768"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25F7E2A4">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0.875</w:t>
            </w:r>
          </w:p>
        </w:tc>
        <w:tc>
          <w:tcPr>
            <w:tcW w:w="707"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5E92E8E7">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r>
              <w:rPr>
                <w:rFonts w:hint="eastAsia" w:ascii="Times New Roman" w:hAnsi="Times New Roman" w:eastAsia="宋体" w:cs="Times New Roman"/>
                <w:i w:val="0"/>
                <w:iCs w:val="0"/>
                <w:color w:val="000000"/>
                <w:kern w:val="0"/>
                <w:sz w:val="18"/>
                <w:szCs w:val="18"/>
                <w:u w:val="none"/>
                <w:lang w:val="en-US" w:eastAsia="zh-CN" w:bidi="ar"/>
              </w:rPr>
              <w:t>529</w:t>
            </w:r>
          </w:p>
        </w:tc>
        <w:tc>
          <w:tcPr>
            <w:tcW w:w="730"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0B282390">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w:t>
            </w:r>
            <w:r>
              <w:rPr>
                <w:rFonts w:hint="eastAsia" w:ascii="Times New Roman" w:hAnsi="Times New Roman" w:eastAsia="宋体" w:cs="Times New Roman"/>
                <w:i w:val="0"/>
                <w:iCs w:val="0"/>
                <w:color w:val="000000"/>
                <w:kern w:val="0"/>
                <w:sz w:val="18"/>
                <w:szCs w:val="18"/>
                <w:u w:val="none"/>
                <w:lang w:val="en-US" w:eastAsia="zh-CN" w:bidi="ar"/>
              </w:rPr>
              <w:t>78</w:t>
            </w:r>
          </w:p>
        </w:tc>
      </w:tr>
    </w:tbl>
    <w:p w14:paraId="1C68B878">
      <w:pPr>
        <w:spacing w:line="240" w:lineRule="auto"/>
        <w:rPr>
          <w:rFonts w:ascii="Times New Roman" w:hAnsi="Times New Roman"/>
          <w:i/>
          <w:sz w:val="21"/>
        </w:rPr>
      </w:pPr>
      <w:r>
        <w:rPr>
          <w:rFonts w:ascii="Times New Roman" w:hAnsi="Times New Roman"/>
          <w:i/>
          <w:sz w:val="21"/>
        </w:rPr>
        <w:t>Note:</w:t>
      </w:r>
      <w:r>
        <w:rPr>
          <w:rFonts w:hint="eastAsia" w:ascii="Times New Roman" w:hAnsi="Times New Roman"/>
          <w:i/>
          <w:sz w:val="21"/>
          <w:lang w:val="en-US" w:eastAsia="zh-CN"/>
        </w:rPr>
        <w:t xml:space="preserve"> </w:t>
      </w:r>
      <w:r>
        <w:rPr>
          <w:rFonts w:ascii="Times New Roman" w:hAnsi="Times New Roman" w:eastAsiaTheme="minorEastAsia" w:cstheme="minorBidi"/>
          <w:i/>
          <w:sz w:val="21"/>
          <w:szCs w:val="22"/>
        </w:rPr>
        <w:t>Tumor-grade information was available for 135 of the 205 patients with urothelial carcinoma. The remaining 70 patients were excluded from the grade-stratified analysis because grade information was unavailable.</w:t>
      </w:r>
    </w:p>
    <w:p w14:paraId="0989C67E">
      <w:pPr>
        <w:spacing w:line="240" w:lineRule="auto"/>
        <w:rPr>
          <w:rFonts w:ascii="Times New Roman" w:hAnsi="Times New Roman"/>
          <w:i/>
          <w:sz w:val="21"/>
        </w:rPr>
      </w:pPr>
    </w:p>
    <w:p w14:paraId="143A9AE2">
      <w:pPr>
        <w:spacing w:after="120" w:line="240" w:lineRule="auto"/>
      </w:pPr>
      <w:r>
        <w:rPr>
          <w:rFonts w:ascii="Times New Roman" w:hAnsi="Times New Roman"/>
          <w:b/>
          <w:sz w:val="21"/>
        </w:rPr>
        <w:t>Table S</w:t>
      </w:r>
      <w:r>
        <w:rPr>
          <w:rFonts w:hint="eastAsia" w:ascii="Times New Roman" w:hAnsi="Times New Roman"/>
          <w:b/>
          <w:sz w:val="21"/>
          <w:lang w:val="en-US" w:eastAsia="zh-CN"/>
        </w:rPr>
        <w:t>13</w:t>
      </w:r>
      <w:r>
        <w:rPr>
          <w:rFonts w:ascii="Times New Roman" w:hAnsi="Times New Roman"/>
          <w:b/>
          <w:sz w:val="21"/>
        </w:rPr>
        <w:t>. Diagnostic Performance of the PUCD Assay Within Urinalysis Subgroups</w:t>
      </w:r>
    </w:p>
    <w:p w14:paraId="7E34C596">
      <w:pPr>
        <w:spacing w:after="120" w:line="240" w:lineRule="auto"/>
      </w:pPr>
      <w:r>
        <w:rPr>
          <w:rFonts w:ascii="Times New Roman" w:hAnsi="Times New Roman"/>
          <w:b w:val="0"/>
          <w:sz w:val="21"/>
        </w:rPr>
        <w:t>Diagnostic performance metrics were calculated using the predefined PUCD &gt;= 2 cutoff. 95% confidence intervals for sensitivity, specificity, PPV, and NPV were computed using the Wilson score method. LR+, positive likelihood ratio; LR-, negative likelihood ratio. OB, urine occult blood; PRO, urine protein.</w:t>
      </w:r>
    </w:p>
    <w:tbl>
      <w:tblPr>
        <w:tblStyle w:val="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6"/>
        <w:gridCol w:w="412"/>
        <w:gridCol w:w="623"/>
        <w:gridCol w:w="650"/>
        <w:gridCol w:w="1022"/>
        <w:gridCol w:w="1087"/>
        <w:gridCol w:w="935"/>
        <w:gridCol w:w="1087"/>
        <w:gridCol w:w="1022"/>
        <w:gridCol w:w="472"/>
        <w:gridCol w:w="446"/>
      </w:tblGrid>
      <w:tr w14:paraId="55091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49" w:type="pct"/>
            <w:tcBorders>
              <w:top w:val="single" w:color="000000" w:sz="12" w:space="0"/>
              <w:left w:val="nil"/>
              <w:bottom w:val="single" w:color="000000" w:sz="6" w:space="0"/>
              <w:right w:val="nil"/>
              <w:insideH w:val="nil"/>
              <w:insideV w:val="nil"/>
            </w:tcBorders>
            <w:vAlign w:val="center"/>
          </w:tcPr>
          <w:p w14:paraId="3293DDB0">
            <w:pPr>
              <w:keepNext/>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Subgroup</w:t>
            </w:r>
          </w:p>
        </w:tc>
        <w:tc>
          <w:tcPr>
            <w:tcW w:w="241" w:type="pct"/>
            <w:tcBorders>
              <w:top w:val="single" w:color="000000" w:sz="12" w:space="0"/>
              <w:left w:val="nil"/>
              <w:bottom w:val="single" w:color="000000" w:sz="6" w:space="0"/>
              <w:right w:val="nil"/>
              <w:insideH w:val="nil"/>
              <w:insideV w:val="nil"/>
            </w:tcBorders>
            <w:vAlign w:val="center"/>
          </w:tcPr>
          <w:p w14:paraId="04F56FF5">
            <w:pPr>
              <w:keepNext/>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N</w:t>
            </w:r>
          </w:p>
        </w:tc>
        <w:tc>
          <w:tcPr>
            <w:tcW w:w="365" w:type="pct"/>
            <w:tcBorders>
              <w:top w:val="single" w:color="000000" w:sz="12" w:space="0"/>
              <w:left w:val="nil"/>
              <w:bottom w:val="single" w:color="000000" w:sz="6" w:space="0"/>
              <w:right w:val="nil"/>
              <w:insideH w:val="nil"/>
              <w:insideV w:val="nil"/>
            </w:tcBorders>
            <w:vAlign w:val="center"/>
          </w:tcPr>
          <w:p w14:paraId="24920EF9">
            <w:pPr>
              <w:keepNext/>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Cancer (n)</w:t>
            </w:r>
          </w:p>
        </w:tc>
        <w:tc>
          <w:tcPr>
            <w:tcW w:w="381" w:type="pct"/>
            <w:tcBorders>
              <w:top w:val="single" w:color="000000" w:sz="12" w:space="0"/>
              <w:left w:val="nil"/>
              <w:bottom w:val="single" w:color="000000" w:sz="6" w:space="0"/>
              <w:right w:val="nil"/>
              <w:insideH w:val="nil"/>
              <w:insideV w:val="nil"/>
            </w:tcBorders>
            <w:vAlign w:val="center"/>
          </w:tcPr>
          <w:p w14:paraId="6C86E2A3">
            <w:pPr>
              <w:keepNext/>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Control (n)</w:t>
            </w:r>
          </w:p>
        </w:tc>
        <w:tc>
          <w:tcPr>
            <w:tcW w:w="599" w:type="pct"/>
            <w:tcBorders>
              <w:top w:val="single" w:color="000000" w:sz="12" w:space="0"/>
              <w:left w:val="nil"/>
              <w:bottom w:val="single" w:color="000000" w:sz="6" w:space="0"/>
              <w:right w:val="nil"/>
              <w:insideH w:val="nil"/>
              <w:insideV w:val="nil"/>
            </w:tcBorders>
            <w:vAlign w:val="center"/>
          </w:tcPr>
          <w:p w14:paraId="4AE247BB">
            <w:pPr>
              <w:keepNext/>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Sensitivity (95% CI)</w:t>
            </w:r>
          </w:p>
        </w:tc>
        <w:tc>
          <w:tcPr>
            <w:tcW w:w="637" w:type="pct"/>
            <w:tcBorders>
              <w:top w:val="single" w:color="000000" w:sz="12" w:space="0"/>
              <w:left w:val="nil"/>
              <w:bottom w:val="single" w:color="000000" w:sz="6" w:space="0"/>
              <w:right w:val="nil"/>
              <w:insideH w:val="nil"/>
              <w:insideV w:val="nil"/>
            </w:tcBorders>
            <w:vAlign w:val="center"/>
          </w:tcPr>
          <w:p w14:paraId="6954B3C9">
            <w:pPr>
              <w:keepNext/>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Specificity (95% CI)</w:t>
            </w:r>
          </w:p>
        </w:tc>
        <w:tc>
          <w:tcPr>
            <w:tcW w:w="548" w:type="pct"/>
            <w:tcBorders>
              <w:top w:val="single" w:color="000000" w:sz="12" w:space="0"/>
              <w:left w:val="nil"/>
              <w:bottom w:val="single" w:color="000000" w:sz="6" w:space="0"/>
              <w:right w:val="nil"/>
              <w:insideH w:val="nil"/>
              <w:insideV w:val="nil"/>
            </w:tcBorders>
            <w:vAlign w:val="center"/>
          </w:tcPr>
          <w:p w14:paraId="7EB52A8A">
            <w:pPr>
              <w:keepNext/>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AUC (95% CI)</w:t>
            </w:r>
          </w:p>
        </w:tc>
        <w:tc>
          <w:tcPr>
            <w:tcW w:w="637" w:type="pct"/>
            <w:tcBorders>
              <w:top w:val="single" w:color="000000" w:sz="12" w:space="0"/>
              <w:left w:val="nil"/>
              <w:bottom w:val="single" w:color="000000" w:sz="6" w:space="0"/>
              <w:right w:val="nil"/>
              <w:insideH w:val="nil"/>
              <w:insideV w:val="nil"/>
            </w:tcBorders>
            <w:vAlign w:val="center"/>
          </w:tcPr>
          <w:p w14:paraId="54538C31">
            <w:pPr>
              <w:keepNext/>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PPV (95% CI)</w:t>
            </w:r>
          </w:p>
        </w:tc>
        <w:tc>
          <w:tcPr>
            <w:tcW w:w="599" w:type="pct"/>
            <w:tcBorders>
              <w:top w:val="single" w:color="000000" w:sz="12" w:space="0"/>
              <w:left w:val="nil"/>
              <w:bottom w:val="single" w:color="000000" w:sz="6" w:space="0"/>
              <w:right w:val="nil"/>
              <w:insideH w:val="nil"/>
              <w:insideV w:val="nil"/>
            </w:tcBorders>
            <w:vAlign w:val="center"/>
          </w:tcPr>
          <w:p w14:paraId="40A1EEB4">
            <w:pPr>
              <w:keepNext/>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NPV (95% CI)</w:t>
            </w:r>
          </w:p>
        </w:tc>
        <w:tc>
          <w:tcPr>
            <w:tcW w:w="276" w:type="pct"/>
            <w:tcBorders>
              <w:top w:val="single" w:color="000000" w:sz="12" w:space="0"/>
              <w:left w:val="nil"/>
              <w:bottom w:val="single" w:color="000000" w:sz="6" w:space="0"/>
              <w:right w:val="nil"/>
              <w:insideH w:val="nil"/>
              <w:insideV w:val="nil"/>
            </w:tcBorders>
            <w:vAlign w:val="center"/>
          </w:tcPr>
          <w:p w14:paraId="34D73F8C">
            <w:pPr>
              <w:keepNext/>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LR+</w:t>
            </w:r>
          </w:p>
        </w:tc>
        <w:tc>
          <w:tcPr>
            <w:tcW w:w="261" w:type="pct"/>
            <w:tcBorders>
              <w:top w:val="single" w:color="000000" w:sz="12" w:space="0"/>
              <w:left w:val="nil"/>
              <w:bottom w:val="single" w:color="000000" w:sz="6" w:space="0"/>
              <w:right w:val="nil"/>
              <w:insideH w:val="nil"/>
              <w:insideV w:val="nil"/>
            </w:tcBorders>
            <w:vAlign w:val="center"/>
          </w:tcPr>
          <w:p w14:paraId="2038AD43">
            <w:pPr>
              <w:keepNext/>
              <w:snapToGrid w:val="0"/>
              <w:spacing w:line="240" w:lineRule="auto"/>
              <w:ind w:left="0" w:leftChars="0" w:right="0" w:rightChars="0" w:firstLine="0" w:firstLineChars="0"/>
              <w:jc w:val="center"/>
              <w:rPr>
                <w:rFonts w:ascii="Times New Roman" w:eastAsia="宋体"/>
                <w:b/>
                <w:sz w:val="18"/>
              </w:rPr>
            </w:pPr>
            <w:r>
              <w:rPr>
                <w:rFonts w:ascii="Times New Roman" w:hAnsi="Times New Roman" w:eastAsia="宋体"/>
                <w:b/>
                <w:sz w:val="18"/>
              </w:rPr>
              <w:t>LR-</w:t>
            </w:r>
          </w:p>
        </w:tc>
      </w:tr>
      <w:tr w14:paraId="00F09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9" w:type="pct"/>
            <w:tcBorders>
              <w:top w:val="nil"/>
              <w:left w:val="nil"/>
              <w:bottom w:val="nil"/>
              <w:right w:val="nil"/>
              <w:insideH w:val="nil"/>
              <w:insideV w:val="nil"/>
            </w:tcBorders>
            <w:vAlign w:val="center"/>
          </w:tcPr>
          <w:p w14:paraId="2F6E6733">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Overall</w:t>
            </w:r>
          </w:p>
        </w:tc>
        <w:tc>
          <w:tcPr>
            <w:tcW w:w="241" w:type="pct"/>
            <w:tcBorders>
              <w:top w:val="nil"/>
              <w:left w:val="nil"/>
              <w:bottom w:val="nil"/>
              <w:right w:val="nil"/>
              <w:insideH w:val="nil"/>
              <w:insideV w:val="nil"/>
            </w:tcBorders>
            <w:vAlign w:val="center"/>
          </w:tcPr>
          <w:p w14:paraId="6809D921">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596</w:t>
            </w:r>
          </w:p>
        </w:tc>
        <w:tc>
          <w:tcPr>
            <w:tcW w:w="365" w:type="pct"/>
            <w:tcBorders>
              <w:top w:val="nil"/>
              <w:left w:val="nil"/>
              <w:bottom w:val="nil"/>
              <w:right w:val="nil"/>
              <w:insideH w:val="nil"/>
              <w:insideV w:val="nil"/>
            </w:tcBorders>
            <w:vAlign w:val="center"/>
          </w:tcPr>
          <w:p w14:paraId="64555772">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271</w:t>
            </w:r>
          </w:p>
        </w:tc>
        <w:tc>
          <w:tcPr>
            <w:tcW w:w="381" w:type="pct"/>
            <w:tcBorders>
              <w:top w:val="nil"/>
              <w:left w:val="nil"/>
              <w:bottom w:val="nil"/>
              <w:right w:val="nil"/>
              <w:insideH w:val="nil"/>
              <w:insideV w:val="nil"/>
            </w:tcBorders>
            <w:vAlign w:val="center"/>
          </w:tcPr>
          <w:p w14:paraId="7F8DED91">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325</w:t>
            </w:r>
          </w:p>
        </w:tc>
        <w:tc>
          <w:tcPr>
            <w:tcW w:w="599" w:type="pct"/>
            <w:tcBorders>
              <w:top w:val="nil"/>
              <w:left w:val="nil"/>
              <w:bottom w:val="nil"/>
              <w:right w:val="nil"/>
              <w:insideH w:val="nil"/>
              <w:insideV w:val="nil"/>
            </w:tcBorders>
            <w:vAlign w:val="center"/>
          </w:tcPr>
          <w:p w14:paraId="37DC18C5">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87.8% (83.4%-91.2%)</w:t>
            </w:r>
          </w:p>
        </w:tc>
        <w:tc>
          <w:tcPr>
            <w:tcW w:w="637" w:type="pct"/>
            <w:tcBorders>
              <w:top w:val="nil"/>
              <w:left w:val="nil"/>
              <w:bottom w:val="nil"/>
              <w:right w:val="nil"/>
              <w:insideH w:val="nil"/>
              <w:insideV w:val="nil"/>
            </w:tcBorders>
            <w:vAlign w:val="center"/>
          </w:tcPr>
          <w:p w14:paraId="4686FB77">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90.2% (86.4%-92.9%)</w:t>
            </w:r>
          </w:p>
        </w:tc>
        <w:tc>
          <w:tcPr>
            <w:tcW w:w="548" w:type="pct"/>
            <w:tcBorders>
              <w:top w:val="nil"/>
              <w:left w:val="nil"/>
              <w:bottom w:val="nil"/>
              <w:right w:val="nil"/>
              <w:insideH w:val="nil"/>
              <w:insideV w:val="nil"/>
            </w:tcBorders>
            <w:vAlign w:val="center"/>
          </w:tcPr>
          <w:p w14:paraId="12EFCAA4">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0.949 (0.930-0.96</w:t>
            </w:r>
            <w:r>
              <w:rPr>
                <w:rFonts w:hint="eastAsia" w:ascii="Times New Roman" w:hAnsi="Times New Roman" w:eastAsia="宋体"/>
                <w:b w:val="0"/>
                <w:sz w:val="18"/>
                <w:lang w:val="en-US" w:eastAsia="zh-CN"/>
              </w:rPr>
              <w:t>7</w:t>
            </w:r>
            <w:r>
              <w:rPr>
                <w:rFonts w:ascii="Times New Roman" w:hAnsi="Times New Roman" w:eastAsia="宋体"/>
                <w:b w:val="0"/>
                <w:sz w:val="18"/>
              </w:rPr>
              <w:t>)</w:t>
            </w:r>
          </w:p>
        </w:tc>
        <w:tc>
          <w:tcPr>
            <w:tcW w:w="637" w:type="pct"/>
            <w:tcBorders>
              <w:top w:val="nil"/>
              <w:left w:val="nil"/>
              <w:bottom w:val="nil"/>
              <w:right w:val="nil"/>
              <w:insideH w:val="nil"/>
              <w:insideV w:val="nil"/>
            </w:tcBorders>
            <w:vAlign w:val="center"/>
          </w:tcPr>
          <w:p w14:paraId="0452B8DD">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88.1% (83.7%-91.5%)</w:t>
            </w:r>
          </w:p>
        </w:tc>
        <w:tc>
          <w:tcPr>
            <w:tcW w:w="599" w:type="pct"/>
            <w:tcBorders>
              <w:top w:val="nil"/>
              <w:left w:val="nil"/>
              <w:bottom w:val="nil"/>
              <w:right w:val="nil"/>
              <w:insideH w:val="nil"/>
              <w:insideV w:val="nil"/>
            </w:tcBorders>
            <w:vAlign w:val="center"/>
          </w:tcPr>
          <w:p w14:paraId="5FFC0F24">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89.9% (86.1%-92.7%)</w:t>
            </w:r>
          </w:p>
        </w:tc>
        <w:tc>
          <w:tcPr>
            <w:tcW w:w="276" w:type="pct"/>
            <w:tcBorders>
              <w:top w:val="nil"/>
              <w:left w:val="nil"/>
              <w:bottom w:val="nil"/>
              <w:right w:val="nil"/>
              <w:insideH w:val="nil"/>
              <w:insideV w:val="nil"/>
            </w:tcBorders>
            <w:vAlign w:val="center"/>
          </w:tcPr>
          <w:p w14:paraId="0D52DE1D">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8.92</w:t>
            </w:r>
          </w:p>
        </w:tc>
        <w:tc>
          <w:tcPr>
            <w:tcW w:w="261" w:type="pct"/>
            <w:tcBorders>
              <w:top w:val="nil"/>
              <w:left w:val="nil"/>
              <w:bottom w:val="nil"/>
              <w:right w:val="nil"/>
              <w:insideH w:val="nil"/>
              <w:insideV w:val="nil"/>
            </w:tcBorders>
            <w:vAlign w:val="center"/>
          </w:tcPr>
          <w:p w14:paraId="06B8350E">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0.14</w:t>
            </w:r>
          </w:p>
        </w:tc>
      </w:tr>
      <w:tr w14:paraId="037C3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9" w:type="pct"/>
            <w:tcBorders>
              <w:top w:val="nil"/>
              <w:left w:val="nil"/>
              <w:bottom w:val="nil"/>
              <w:right w:val="nil"/>
              <w:insideH w:val="nil"/>
              <w:insideV w:val="nil"/>
            </w:tcBorders>
            <w:vAlign w:val="center"/>
          </w:tcPr>
          <w:p w14:paraId="29771C42">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OB Positive</w:t>
            </w:r>
          </w:p>
        </w:tc>
        <w:tc>
          <w:tcPr>
            <w:tcW w:w="241" w:type="pct"/>
            <w:tcBorders>
              <w:top w:val="nil"/>
              <w:left w:val="nil"/>
              <w:bottom w:val="nil"/>
              <w:right w:val="nil"/>
              <w:insideH w:val="nil"/>
              <w:insideV w:val="nil"/>
            </w:tcBorders>
            <w:vAlign w:val="center"/>
          </w:tcPr>
          <w:p w14:paraId="51AE7F07">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212</w:t>
            </w:r>
          </w:p>
        </w:tc>
        <w:tc>
          <w:tcPr>
            <w:tcW w:w="365" w:type="pct"/>
            <w:tcBorders>
              <w:top w:val="nil"/>
              <w:left w:val="nil"/>
              <w:bottom w:val="nil"/>
              <w:right w:val="nil"/>
              <w:insideH w:val="nil"/>
              <w:insideV w:val="nil"/>
            </w:tcBorders>
            <w:vAlign w:val="center"/>
          </w:tcPr>
          <w:p w14:paraId="77614ECC">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187</w:t>
            </w:r>
          </w:p>
        </w:tc>
        <w:tc>
          <w:tcPr>
            <w:tcW w:w="381" w:type="pct"/>
            <w:tcBorders>
              <w:top w:val="nil"/>
              <w:left w:val="nil"/>
              <w:bottom w:val="nil"/>
              <w:right w:val="nil"/>
              <w:insideH w:val="nil"/>
              <w:insideV w:val="nil"/>
            </w:tcBorders>
            <w:vAlign w:val="center"/>
          </w:tcPr>
          <w:p w14:paraId="68071F11">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25</w:t>
            </w:r>
          </w:p>
        </w:tc>
        <w:tc>
          <w:tcPr>
            <w:tcW w:w="599" w:type="pct"/>
            <w:tcBorders>
              <w:top w:val="nil"/>
              <w:left w:val="nil"/>
              <w:bottom w:val="nil"/>
              <w:right w:val="nil"/>
              <w:insideH w:val="nil"/>
              <w:insideV w:val="nil"/>
            </w:tcBorders>
            <w:vAlign w:val="center"/>
          </w:tcPr>
          <w:p w14:paraId="70793139">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94.1% (89.8%-96.7%)</w:t>
            </w:r>
          </w:p>
        </w:tc>
        <w:tc>
          <w:tcPr>
            <w:tcW w:w="637" w:type="pct"/>
            <w:tcBorders>
              <w:top w:val="nil"/>
              <w:left w:val="nil"/>
              <w:bottom w:val="nil"/>
              <w:right w:val="nil"/>
              <w:insideH w:val="nil"/>
              <w:insideV w:val="nil"/>
            </w:tcBorders>
            <w:vAlign w:val="center"/>
          </w:tcPr>
          <w:p w14:paraId="27C9221D">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84.0% (65.3%-93.6%)</w:t>
            </w:r>
          </w:p>
        </w:tc>
        <w:tc>
          <w:tcPr>
            <w:tcW w:w="548" w:type="pct"/>
            <w:tcBorders>
              <w:top w:val="nil"/>
              <w:left w:val="nil"/>
              <w:bottom w:val="nil"/>
              <w:right w:val="nil"/>
              <w:insideH w:val="nil"/>
              <w:insideV w:val="nil"/>
            </w:tcBorders>
            <w:vAlign w:val="center"/>
          </w:tcPr>
          <w:p w14:paraId="4918E076">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0.975 (0.95</w:t>
            </w:r>
            <w:r>
              <w:rPr>
                <w:rFonts w:hint="eastAsia" w:ascii="Times New Roman" w:hAnsi="Times New Roman" w:eastAsia="宋体"/>
                <w:b w:val="0"/>
                <w:sz w:val="18"/>
                <w:lang w:val="en-US" w:eastAsia="zh-CN"/>
              </w:rPr>
              <w:t>4</w:t>
            </w:r>
            <w:r>
              <w:rPr>
                <w:rFonts w:ascii="Times New Roman" w:hAnsi="Times New Roman" w:eastAsia="宋体"/>
                <w:b w:val="0"/>
                <w:sz w:val="18"/>
              </w:rPr>
              <w:t>-0.99</w:t>
            </w:r>
            <w:r>
              <w:rPr>
                <w:rFonts w:hint="eastAsia" w:ascii="Times New Roman" w:hAnsi="Times New Roman" w:eastAsia="宋体"/>
                <w:b w:val="0"/>
                <w:sz w:val="18"/>
                <w:lang w:val="en-US" w:eastAsia="zh-CN"/>
              </w:rPr>
              <w:t>6</w:t>
            </w:r>
            <w:r>
              <w:rPr>
                <w:rFonts w:ascii="Times New Roman" w:hAnsi="Times New Roman" w:eastAsia="宋体"/>
                <w:b w:val="0"/>
                <w:sz w:val="18"/>
              </w:rPr>
              <w:t>)</w:t>
            </w:r>
          </w:p>
        </w:tc>
        <w:tc>
          <w:tcPr>
            <w:tcW w:w="637" w:type="pct"/>
            <w:tcBorders>
              <w:top w:val="nil"/>
              <w:left w:val="nil"/>
              <w:bottom w:val="nil"/>
              <w:right w:val="nil"/>
              <w:insideH w:val="nil"/>
              <w:insideV w:val="nil"/>
            </w:tcBorders>
            <w:vAlign w:val="center"/>
          </w:tcPr>
          <w:p w14:paraId="4EA3596A">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97.8% (94.4%-99.1%)</w:t>
            </w:r>
          </w:p>
        </w:tc>
        <w:tc>
          <w:tcPr>
            <w:tcW w:w="599" w:type="pct"/>
            <w:tcBorders>
              <w:top w:val="nil"/>
              <w:left w:val="nil"/>
              <w:bottom w:val="nil"/>
              <w:right w:val="nil"/>
              <w:insideH w:val="nil"/>
              <w:insideV w:val="nil"/>
            </w:tcBorders>
            <w:vAlign w:val="center"/>
          </w:tcPr>
          <w:p w14:paraId="7367C982">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65.6% (48.3%-79.6%)</w:t>
            </w:r>
          </w:p>
        </w:tc>
        <w:tc>
          <w:tcPr>
            <w:tcW w:w="276" w:type="pct"/>
            <w:tcBorders>
              <w:top w:val="nil"/>
              <w:left w:val="nil"/>
              <w:bottom w:val="nil"/>
              <w:right w:val="nil"/>
              <w:insideH w:val="nil"/>
              <w:insideV w:val="nil"/>
            </w:tcBorders>
            <w:vAlign w:val="center"/>
          </w:tcPr>
          <w:p w14:paraId="36FB42AF">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5.88</w:t>
            </w:r>
          </w:p>
        </w:tc>
        <w:tc>
          <w:tcPr>
            <w:tcW w:w="261" w:type="pct"/>
            <w:tcBorders>
              <w:top w:val="nil"/>
              <w:left w:val="nil"/>
              <w:bottom w:val="nil"/>
              <w:right w:val="nil"/>
              <w:insideH w:val="nil"/>
              <w:insideV w:val="nil"/>
            </w:tcBorders>
            <w:vAlign w:val="center"/>
          </w:tcPr>
          <w:p w14:paraId="367F5135">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0.07</w:t>
            </w:r>
          </w:p>
        </w:tc>
      </w:tr>
      <w:tr w14:paraId="76C02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9" w:type="pct"/>
            <w:tcBorders>
              <w:top w:val="nil"/>
              <w:left w:val="nil"/>
              <w:bottom w:val="nil"/>
              <w:right w:val="nil"/>
              <w:insideH w:val="nil"/>
              <w:insideV w:val="nil"/>
            </w:tcBorders>
            <w:vAlign w:val="center"/>
          </w:tcPr>
          <w:p w14:paraId="6608D9D3">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OB Negative</w:t>
            </w:r>
          </w:p>
        </w:tc>
        <w:tc>
          <w:tcPr>
            <w:tcW w:w="241" w:type="pct"/>
            <w:tcBorders>
              <w:top w:val="nil"/>
              <w:left w:val="nil"/>
              <w:bottom w:val="nil"/>
              <w:right w:val="nil"/>
              <w:insideH w:val="nil"/>
              <w:insideV w:val="nil"/>
            </w:tcBorders>
            <w:vAlign w:val="center"/>
          </w:tcPr>
          <w:p w14:paraId="671DF32D">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384</w:t>
            </w:r>
          </w:p>
        </w:tc>
        <w:tc>
          <w:tcPr>
            <w:tcW w:w="365" w:type="pct"/>
            <w:tcBorders>
              <w:top w:val="nil"/>
              <w:left w:val="nil"/>
              <w:bottom w:val="nil"/>
              <w:right w:val="nil"/>
              <w:insideH w:val="nil"/>
              <w:insideV w:val="nil"/>
            </w:tcBorders>
            <w:vAlign w:val="center"/>
          </w:tcPr>
          <w:p w14:paraId="1E53B763">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84</w:t>
            </w:r>
          </w:p>
        </w:tc>
        <w:tc>
          <w:tcPr>
            <w:tcW w:w="381" w:type="pct"/>
            <w:tcBorders>
              <w:top w:val="nil"/>
              <w:left w:val="nil"/>
              <w:bottom w:val="nil"/>
              <w:right w:val="nil"/>
              <w:insideH w:val="nil"/>
              <w:insideV w:val="nil"/>
            </w:tcBorders>
            <w:vAlign w:val="center"/>
          </w:tcPr>
          <w:p w14:paraId="1FC6896B">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300</w:t>
            </w:r>
          </w:p>
        </w:tc>
        <w:tc>
          <w:tcPr>
            <w:tcW w:w="599" w:type="pct"/>
            <w:tcBorders>
              <w:top w:val="nil"/>
              <w:left w:val="nil"/>
              <w:bottom w:val="nil"/>
              <w:right w:val="nil"/>
              <w:insideH w:val="nil"/>
              <w:insideV w:val="nil"/>
            </w:tcBorders>
            <w:vAlign w:val="center"/>
          </w:tcPr>
          <w:p w14:paraId="624EF509">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73.8% (63.5%-82.0%)</w:t>
            </w:r>
          </w:p>
        </w:tc>
        <w:tc>
          <w:tcPr>
            <w:tcW w:w="637" w:type="pct"/>
            <w:tcBorders>
              <w:top w:val="nil"/>
              <w:left w:val="nil"/>
              <w:bottom w:val="nil"/>
              <w:right w:val="nil"/>
              <w:insideH w:val="nil"/>
              <w:insideV w:val="nil"/>
            </w:tcBorders>
            <w:vAlign w:val="center"/>
          </w:tcPr>
          <w:p w14:paraId="7D5A6095">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90.7% (86.8%-93.5%)</w:t>
            </w:r>
          </w:p>
        </w:tc>
        <w:tc>
          <w:tcPr>
            <w:tcW w:w="548" w:type="pct"/>
            <w:tcBorders>
              <w:top w:val="nil"/>
              <w:left w:val="nil"/>
              <w:bottom w:val="nil"/>
              <w:right w:val="nil"/>
              <w:insideH w:val="nil"/>
              <w:insideV w:val="nil"/>
            </w:tcBorders>
            <w:vAlign w:val="center"/>
          </w:tcPr>
          <w:p w14:paraId="0B6B5F27">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0.881 (0.832-0.930)</w:t>
            </w:r>
          </w:p>
        </w:tc>
        <w:tc>
          <w:tcPr>
            <w:tcW w:w="637" w:type="pct"/>
            <w:tcBorders>
              <w:top w:val="nil"/>
              <w:left w:val="nil"/>
              <w:bottom w:val="nil"/>
              <w:right w:val="nil"/>
              <w:insideH w:val="nil"/>
              <w:insideV w:val="nil"/>
            </w:tcBorders>
            <w:vAlign w:val="center"/>
          </w:tcPr>
          <w:p w14:paraId="64D93AFB">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68.9% (58.7%-77.5%)</w:t>
            </w:r>
          </w:p>
        </w:tc>
        <w:tc>
          <w:tcPr>
            <w:tcW w:w="599" w:type="pct"/>
            <w:tcBorders>
              <w:top w:val="nil"/>
              <w:left w:val="nil"/>
              <w:bottom w:val="nil"/>
              <w:right w:val="nil"/>
              <w:insideH w:val="nil"/>
              <w:insideV w:val="nil"/>
            </w:tcBorders>
            <w:vAlign w:val="center"/>
          </w:tcPr>
          <w:p w14:paraId="79C4AE78">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92.5% (88.9%-95.0%)</w:t>
            </w:r>
          </w:p>
        </w:tc>
        <w:tc>
          <w:tcPr>
            <w:tcW w:w="276" w:type="pct"/>
            <w:tcBorders>
              <w:top w:val="nil"/>
              <w:left w:val="nil"/>
              <w:bottom w:val="nil"/>
              <w:right w:val="nil"/>
              <w:insideH w:val="nil"/>
              <w:insideV w:val="nil"/>
            </w:tcBorders>
            <w:vAlign w:val="center"/>
          </w:tcPr>
          <w:p w14:paraId="7D6E3437">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7.91</w:t>
            </w:r>
          </w:p>
        </w:tc>
        <w:tc>
          <w:tcPr>
            <w:tcW w:w="261" w:type="pct"/>
            <w:tcBorders>
              <w:top w:val="nil"/>
              <w:left w:val="nil"/>
              <w:bottom w:val="nil"/>
              <w:right w:val="nil"/>
              <w:insideH w:val="nil"/>
              <w:insideV w:val="nil"/>
            </w:tcBorders>
            <w:vAlign w:val="center"/>
          </w:tcPr>
          <w:p w14:paraId="120EF2FF">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0.29</w:t>
            </w:r>
          </w:p>
        </w:tc>
      </w:tr>
      <w:tr w14:paraId="3B34C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9" w:type="pct"/>
            <w:tcBorders>
              <w:top w:val="nil"/>
              <w:left w:val="nil"/>
              <w:bottom w:val="nil"/>
              <w:right w:val="nil"/>
              <w:insideH w:val="nil"/>
              <w:insideV w:val="nil"/>
            </w:tcBorders>
            <w:vAlign w:val="center"/>
          </w:tcPr>
          <w:p w14:paraId="30F2EDF2">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PRO Positive</w:t>
            </w:r>
          </w:p>
        </w:tc>
        <w:tc>
          <w:tcPr>
            <w:tcW w:w="241" w:type="pct"/>
            <w:tcBorders>
              <w:top w:val="nil"/>
              <w:left w:val="nil"/>
              <w:bottom w:val="nil"/>
              <w:right w:val="nil"/>
              <w:insideH w:val="nil"/>
              <w:insideV w:val="nil"/>
            </w:tcBorders>
            <w:vAlign w:val="center"/>
          </w:tcPr>
          <w:p w14:paraId="0E00F74F">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156</w:t>
            </w:r>
          </w:p>
        </w:tc>
        <w:tc>
          <w:tcPr>
            <w:tcW w:w="365" w:type="pct"/>
            <w:tcBorders>
              <w:top w:val="nil"/>
              <w:left w:val="nil"/>
              <w:bottom w:val="nil"/>
              <w:right w:val="nil"/>
              <w:insideH w:val="nil"/>
              <w:insideV w:val="nil"/>
            </w:tcBorders>
            <w:vAlign w:val="center"/>
          </w:tcPr>
          <w:p w14:paraId="4B21E32F">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139</w:t>
            </w:r>
          </w:p>
        </w:tc>
        <w:tc>
          <w:tcPr>
            <w:tcW w:w="381" w:type="pct"/>
            <w:tcBorders>
              <w:top w:val="nil"/>
              <w:left w:val="nil"/>
              <w:bottom w:val="nil"/>
              <w:right w:val="nil"/>
              <w:insideH w:val="nil"/>
              <w:insideV w:val="nil"/>
            </w:tcBorders>
            <w:vAlign w:val="center"/>
          </w:tcPr>
          <w:p w14:paraId="463ACAD8">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17</w:t>
            </w:r>
          </w:p>
        </w:tc>
        <w:tc>
          <w:tcPr>
            <w:tcW w:w="599" w:type="pct"/>
            <w:tcBorders>
              <w:top w:val="nil"/>
              <w:left w:val="nil"/>
              <w:bottom w:val="nil"/>
              <w:right w:val="nil"/>
              <w:insideH w:val="nil"/>
              <w:insideV w:val="nil"/>
            </w:tcBorders>
            <w:vAlign w:val="center"/>
          </w:tcPr>
          <w:p w14:paraId="700D1794">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96.4% (91.9%-98.5%)</w:t>
            </w:r>
          </w:p>
        </w:tc>
        <w:tc>
          <w:tcPr>
            <w:tcW w:w="637" w:type="pct"/>
            <w:tcBorders>
              <w:top w:val="nil"/>
              <w:left w:val="nil"/>
              <w:bottom w:val="nil"/>
              <w:right w:val="nil"/>
              <w:insideH w:val="nil"/>
              <w:insideV w:val="nil"/>
            </w:tcBorders>
            <w:vAlign w:val="center"/>
          </w:tcPr>
          <w:p w14:paraId="49936237">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100.0% (81.6%-100.0%)</w:t>
            </w:r>
          </w:p>
        </w:tc>
        <w:tc>
          <w:tcPr>
            <w:tcW w:w="548" w:type="pct"/>
            <w:tcBorders>
              <w:top w:val="nil"/>
              <w:left w:val="nil"/>
              <w:bottom w:val="nil"/>
              <w:right w:val="nil"/>
              <w:insideH w:val="nil"/>
              <w:insideV w:val="nil"/>
            </w:tcBorders>
            <w:vAlign w:val="center"/>
          </w:tcPr>
          <w:p w14:paraId="37E760F6">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0.991 (0.97</w:t>
            </w:r>
            <w:r>
              <w:rPr>
                <w:rFonts w:hint="eastAsia" w:ascii="Times New Roman" w:hAnsi="Times New Roman" w:eastAsia="宋体"/>
                <w:b w:val="0"/>
                <w:sz w:val="18"/>
                <w:lang w:val="en-US" w:eastAsia="zh-CN"/>
              </w:rPr>
              <w:t>7</w:t>
            </w:r>
            <w:r>
              <w:rPr>
                <w:rFonts w:ascii="Times New Roman" w:hAnsi="Times New Roman" w:eastAsia="宋体"/>
                <w:b w:val="0"/>
                <w:sz w:val="18"/>
              </w:rPr>
              <w:t>-1.000)</w:t>
            </w:r>
          </w:p>
        </w:tc>
        <w:tc>
          <w:tcPr>
            <w:tcW w:w="637" w:type="pct"/>
            <w:tcBorders>
              <w:top w:val="nil"/>
              <w:left w:val="nil"/>
              <w:bottom w:val="nil"/>
              <w:right w:val="nil"/>
              <w:insideH w:val="nil"/>
              <w:insideV w:val="nil"/>
            </w:tcBorders>
            <w:vAlign w:val="center"/>
          </w:tcPr>
          <w:p w14:paraId="404E6D70">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100.0% (97.2%-100.0%)</w:t>
            </w:r>
          </w:p>
        </w:tc>
        <w:tc>
          <w:tcPr>
            <w:tcW w:w="599" w:type="pct"/>
            <w:tcBorders>
              <w:top w:val="nil"/>
              <w:left w:val="nil"/>
              <w:bottom w:val="nil"/>
              <w:right w:val="nil"/>
              <w:insideH w:val="nil"/>
              <w:insideV w:val="nil"/>
            </w:tcBorders>
            <w:vAlign w:val="center"/>
          </w:tcPr>
          <w:p w14:paraId="086C42ED">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77.3% (56.6%-89.9%)</w:t>
            </w:r>
          </w:p>
        </w:tc>
        <w:tc>
          <w:tcPr>
            <w:tcW w:w="276" w:type="pct"/>
            <w:tcBorders>
              <w:top w:val="nil"/>
              <w:left w:val="nil"/>
              <w:bottom w:val="nil"/>
              <w:right w:val="nil"/>
              <w:insideH w:val="nil"/>
              <w:insideV w:val="nil"/>
            </w:tcBorders>
            <w:vAlign w:val="center"/>
          </w:tcPr>
          <w:p w14:paraId="4E95D8B6">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Inf</w:t>
            </w:r>
          </w:p>
        </w:tc>
        <w:tc>
          <w:tcPr>
            <w:tcW w:w="261" w:type="pct"/>
            <w:tcBorders>
              <w:top w:val="nil"/>
              <w:left w:val="nil"/>
              <w:bottom w:val="nil"/>
              <w:right w:val="nil"/>
              <w:insideH w:val="nil"/>
              <w:insideV w:val="nil"/>
            </w:tcBorders>
            <w:vAlign w:val="center"/>
          </w:tcPr>
          <w:p w14:paraId="3FED8609">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0.04</w:t>
            </w:r>
          </w:p>
        </w:tc>
      </w:tr>
      <w:tr w14:paraId="4D8E6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9" w:type="pct"/>
            <w:tcBorders>
              <w:top w:val="nil"/>
              <w:left w:val="nil"/>
              <w:bottom w:val="nil"/>
              <w:right w:val="nil"/>
              <w:insideH w:val="nil"/>
              <w:insideV w:val="nil"/>
            </w:tcBorders>
            <w:vAlign w:val="center"/>
          </w:tcPr>
          <w:p w14:paraId="2D4563B7">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PRO Negative</w:t>
            </w:r>
          </w:p>
        </w:tc>
        <w:tc>
          <w:tcPr>
            <w:tcW w:w="241" w:type="pct"/>
            <w:tcBorders>
              <w:top w:val="nil"/>
              <w:left w:val="nil"/>
              <w:bottom w:val="nil"/>
              <w:right w:val="nil"/>
              <w:insideH w:val="nil"/>
              <w:insideV w:val="nil"/>
            </w:tcBorders>
            <w:vAlign w:val="center"/>
          </w:tcPr>
          <w:p w14:paraId="6CABD255">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440</w:t>
            </w:r>
          </w:p>
        </w:tc>
        <w:tc>
          <w:tcPr>
            <w:tcW w:w="365" w:type="pct"/>
            <w:tcBorders>
              <w:top w:val="nil"/>
              <w:left w:val="nil"/>
              <w:bottom w:val="nil"/>
              <w:right w:val="nil"/>
              <w:insideH w:val="nil"/>
              <w:insideV w:val="nil"/>
            </w:tcBorders>
            <w:vAlign w:val="center"/>
          </w:tcPr>
          <w:p w14:paraId="04704528">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132</w:t>
            </w:r>
          </w:p>
        </w:tc>
        <w:tc>
          <w:tcPr>
            <w:tcW w:w="381" w:type="pct"/>
            <w:tcBorders>
              <w:top w:val="nil"/>
              <w:left w:val="nil"/>
              <w:bottom w:val="nil"/>
              <w:right w:val="nil"/>
              <w:insideH w:val="nil"/>
              <w:insideV w:val="nil"/>
            </w:tcBorders>
            <w:vAlign w:val="center"/>
          </w:tcPr>
          <w:p w14:paraId="6E6C2668">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308</w:t>
            </w:r>
          </w:p>
        </w:tc>
        <w:tc>
          <w:tcPr>
            <w:tcW w:w="599" w:type="pct"/>
            <w:tcBorders>
              <w:top w:val="nil"/>
              <w:left w:val="nil"/>
              <w:bottom w:val="nil"/>
              <w:right w:val="nil"/>
              <w:insideH w:val="nil"/>
              <w:insideV w:val="nil"/>
            </w:tcBorders>
            <w:vAlign w:val="center"/>
          </w:tcPr>
          <w:p w14:paraId="51FCD7F5">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78.8% (71.1%-84.9%)</w:t>
            </w:r>
          </w:p>
        </w:tc>
        <w:tc>
          <w:tcPr>
            <w:tcW w:w="637" w:type="pct"/>
            <w:tcBorders>
              <w:top w:val="nil"/>
              <w:left w:val="nil"/>
              <w:bottom w:val="nil"/>
              <w:right w:val="nil"/>
              <w:insideH w:val="nil"/>
              <w:insideV w:val="nil"/>
            </w:tcBorders>
            <w:vAlign w:val="center"/>
          </w:tcPr>
          <w:p w14:paraId="36BBE0D5">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89.6% (85.7%-92.5%)</w:t>
            </w:r>
          </w:p>
        </w:tc>
        <w:tc>
          <w:tcPr>
            <w:tcW w:w="548" w:type="pct"/>
            <w:tcBorders>
              <w:top w:val="nil"/>
              <w:left w:val="nil"/>
              <w:bottom w:val="nil"/>
              <w:right w:val="nil"/>
              <w:insideH w:val="nil"/>
              <w:insideV w:val="nil"/>
            </w:tcBorders>
            <w:vAlign w:val="center"/>
          </w:tcPr>
          <w:p w14:paraId="4266B265">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0.913 (0.8</w:t>
            </w:r>
            <w:r>
              <w:rPr>
                <w:rFonts w:hint="eastAsia" w:ascii="Times New Roman" w:hAnsi="Times New Roman" w:eastAsia="宋体"/>
                <w:b w:val="0"/>
                <w:sz w:val="18"/>
                <w:lang w:val="en-US" w:eastAsia="zh-CN"/>
              </w:rPr>
              <w:t>80</w:t>
            </w:r>
            <w:r>
              <w:rPr>
                <w:rFonts w:ascii="Times New Roman" w:hAnsi="Times New Roman" w:eastAsia="宋体"/>
                <w:b w:val="0"/>
                <w:sz w:val="18"/>
              </w:rPr>
              <w:t>-0.94</w:t>
            </w:r>
            <w:r>
              <w:rPr>
                <w:rFonts w:hint="eastAsia" w:ascii="Times New Roman" w:hAnsi="Times New Roman" w:eastAsia="宋体"/>
                <w:b w:val="0"/>
                <w:sz w:val="18"/>
                <w:lang w:val="en-US" w:eastAsia="zh-CN"/>
              </w:rPr>
              <w:t>6</w:t>
            </w:r>
            <w:r>
              <w:rPr>
                <w:rFonts w:ascii="Times New Roman" w:hAnsi="Times New Roman" w:eastAsia="宋体"/>
                <w:b w:val="0"/>
                <w:sz w:val="18"/>
              </w:rPr>
              <w:t>)</w:t>
            </w:r>
          </w:p>
        </w:tc>
        <w:tc>
          <w:tcPr>
            <w:tcW w:w="637" w:type="pct"/>
            <w:tcBorders>
              <w:top w:val="nil"/>
              <w:left w:val="nil"/>
              <w:bottom w:val="nil"/>
              <w:right w:val="nil"/>
              <w:insideH w:val="nil"/>
              <w:insideV w:val="nil"/>
            </w:tcBorders>
            <w:vAlign w:val="center"/>
          </w:tcPr>
          <w:p w14:paraId="3E01831F">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76.5% (68.7%-82.8%)</w:t>
            </w:r>
          </w:p>
        </w:tc>
        <w:tc>
          <w:tcPr>
            <w:tcW w:w="599" w:type="pct"/>
            <w:tcBorders>
              <w:top w:val="nil"/>
              <w:left w:val="nil"/>
              <w:bottom w:val="nil"/>
              <w:right w:val="nil"/>
              <w:insideH w:val="nil"/>
              <w:insideV w:val="nil"/>
            </w:tcBorders>
            <w:vAlign w:val="center"/>
          </w:tcPr>
          <w:p w14:paraId="6A62D5C6">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90.8% (87.0%-93.6%)</w:t>
            </w:r>
          </w:p>
        </w:tc>
        <w:tc>
          <w:tcPr>
            <w:tcW w:w="276" w:type="pct"/>
            <w:tcBorders>
              <w:top w:val="nil"/>
              <w:left w:val="nil"/>
              <w:bottom w:val="nil"/>
              <w:right w:val="nil"/>
              <w:insideH w:val="nil"/>
              <w:insideV w:val="nil"/>
            </w:tcBorders>
            <w:vAlign w:val="center"/>
          </w:tcPr>
          <w:p w14:paraId="585A09CB">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7.58</w:t>
            </w:r>
          </w:p>
        </w:tc>
        <w:tc>
          <w:tcPr>
            <w:tcW w:w="261" w:type="pct"/>
            <w:tcBorders>
              <w:top w:val="nil"/>
              <w:left w:val="nil"/>
              <w:bottom w:val="nil"/>
              <w:right w:val="nil"/>
              <w:insideH w:val="nil"/>
              <w:insideV w:val="nil"/>
            </w:tcBorders>
            <w:vAlign w:val="center"/>
          </w:tcPr>
          <w:p w14:paraId="096925F7">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0.24</w:t>
            </w:r>
          </w:p>
        </w:tc>
      </w:tr>
      <w:tr w14:paraId="0AC59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9" w:type="pct"/>
            <w:tcBorders>
              <w:top w:val="nil"/>
              <w:left w:val="nil"/>
              <w:bottom w:val="nil"/>
              <w:right w:val="nil"/>
              <w:insideH w:val="nil"/>
              <w:insideV w:val="nil"/>
            </w:tcBorders>
            <w:vAlign w:val="center"/>
          </w:tcPr>
          <w:p w14:paraId="747BA150">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Both Positive</w:t>
            </w:r>
          </w:p>
        </w:tc>
        <w:tc>
          <w:tcPr>
            <w:tcW w:w="241" w:type="pct"/>
            <w:tcBorders>
              <w:top w:val="nil"/>
              <w:left w:val="nil"/>
              <w:bottom w:val="nil"/>
              <w:right w:val="nil"/>
              <w:insideH w:val="nil"/>
              <w:insideV w:val="nil"/>
            </w:tcBorders>
            <w:vAlign w:val="center"/>
          </w:tcPr>
          <w:p w14:paraId="4A8E7652">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123</w:t>
            </w:r>
          </w:p>
        </w:tc>
        <w:tc>
          <w:tcPr>
            <w:tcW w:w="365" w:type="pct"/>
            <w:tcBorders>
              <w:top w:val="nil"/>
              <w:left w:val="nil"/>
              <w:bottom w:val="nil"/>
              <w:right w:val="nil"/>
              <w:insideH w:val="nil"/>
              <w:insideV w:val="nil"/>
            </w:tcBorders>
            <w:vAlign w:val="center"/>
          </w:tcPr>
          <w:p w14:paraId="5583FD84">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120</w:t>
            </w:r>
          </w:p>
        </w:tc>
        <w:tc>
          <w:tcPr>
            <w:tcW w:w="381" w:type="pct"/>
            <w:tcBorders>
              <w:top w:val="nil"/>
              <w:left w:val="nil"/>
              <w:bottom w:val="nil"/>
              <w:right w:val="nil"/>
              <w:insideH w:val="nil"/>
              <w:insideV w:val="nil"/>
            </w:tcBorders>
            <w:vAlign w:val="center"/>
          </w:tcPr>
          <w:p w14:paraId="2D11977A">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3</w:t>
            </w:r>
          </w:p>
        </w:tc>
        <w:tc>
          <w:tcPr>
            <w:tcW w:w="599" w:type="pct"/>
            <w:tcBorders>
              <w:top w:val="nil"/>
              <w:left w:val="nil"/>
              <w:bottom w:val="nil"/>
              <w:right w:val="nil"/>
              <w:insideH w:val="nil"/>
              <w:insideV w:val="nil"/>
            </w:tcBorders>
            <w:vAlign w:val="center"/>
          </w:tcPr>
          <w:p w14:paraId="28EA1855">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96.7% (91.7%-98.7%)</w:t>
            </w:r>
          </w:p>
        </w:tc>
        <w:tc>
          <w:tcPr>
            <w:tcW w:w="637" w:type="pct"/>
            <w:tcBorders>
              <w:top w:val="nil"/>
              <w:left w:val="nil"/>
              <w:bottom w:val="nil"/>
              <w:right w:val="nil"/>
              <w:insideH w:val="nil"/>
              <w:insideV w:val="nil"/>
            </w:tcBorders>
            <w:vAlign w:val="center"/>
          </w:tcPr>
          <w:p w14:paraId="173D4503">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100.0% (43.9%-100.0%)</w:t>
            </w:r>
          </w:p>
        </w:tc>
        <w:tc>
          <w:tcPr>
            <w:tcW w:w="548" w:type="pct"/>
            <w:tcBorders>
              <w:top w:val="nil"/>
              <w:left w:val="nil"/>
              <w:bottom w:val="nil"/>
              <w:right w:val="nil"/>
              <w:insideH w:val="nil"/>
              <w:insideV w:val="nil"/>
            </w:tcBorders>
            <w:vAlign w:val="center"/>
          </w:tcPr>
          <w:p w14:paraId="43CE6675">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0.986 (0.96</w:t>
            </w:r>
            <w:r>
              <w:rPr>
                <w:rFonts w:hint="eastAsia" w:ascii="Times New Roman" w:hAnsi="Times New Roman" w:eastAsia="宋体"/>
                <w:b w:val="0"/>
                <w:sz w:val="18"/>
                <w:lang w:val="en-US" w:eastAsia="zh-CN"/>
              </w:rPr>
              <w:t>5</w:t>
            </w:r>
            <w:r>
              <w:rPr>
                <w:rFonts w:ascii="Times New Roman" w:hAnsi="Times New Roman" w:eastAsia="宋体"/>
                <w:b w:val="0"/>
                <w:sz w:val="18"/>
              </w:rPr>
              <w:t>-1.000)</w:t>
            </w:r>
          </w:p>
        </w:tc>
        <w:tc>
          <w:tcPr>
            <w:tcW w:w="637" w:type="pct"/>
            <w:tcBorders>
              <w:top w:val="nil"/>
              <w:left w:val="nil"/>
              <w:bottom w:val="nil"/>
              <w:right w:val="nil"/>
              <w:insideH w:val="nil"/>
              <w:insideV w:val="nil"/>
            </w:tcBorders>
            <w:vAlign w:val="center"/>
          </w:tcPr>
          <w:p w14:paraId="1E215617">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100.0% (96.8%-100.0%)</w:t>
            </w:r>
          </w:p>
        </w:tc>
        <w:tc>
          <w:tcPr>
            <w:tcW w:w="599" w:type="pct"/>
            <w:tcBorders>
              <w:top w:val="nil"/>
              <w:left w:val="nil"/>
              <w:bottom w:val="nil"/>
              <w:right w:val="nil"/>
              <w:insideH w:val="nil"/>
              <w:insideV w:val="nil"/>
            </w:tcBorders>
            <w:vAlign w:val="center"/>
          </w:tcPr>
          <w:p w14:paraId="06D25917">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42.9% (15.8%-75.0%)</w:t>
            </w:r>
          </w:p>
        </w:tc>
        <w:tc>
          <w:tcPr>
            <w:tcW w:w="276" w:type="pct"/>
            <w:tcBorders>
              <w:top w:val="nil"/>
              <w:left w:val="nil"/>
              <w:bottom w:val="nil"/>
              <w:right w:val="nil"/>
              <w:insideH w:val="nil"/>
              <w:insideV w:val="nil"/>
            </w:tcBorders>
            <w:vAlign w:val="center"/>
          </w:tcPr>
          <w:p w14:paraId="7F12A84E">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Inf</w:t>
            </w:r>
          </w:p>
        </w:tc>
        <w:tc>
          <w:tcPr>
            <w:tcW w:w="261" w:type="pct"/>
            <w:tcBorders>
              <w:top w:val="nil"/>
              <w:left w:val="nil"/>
              <w:bottom w:val="nil"/>
              <w:right w:val="nil"/>
              <w:insideH w:val="nil"/>
              <w:insideV w:val="nil"/>
            </w:tcBorders>
            <w:vAlign w:val="center"/>
          </w:tcPr>
          <w:p w14:paraId="3C894844">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0.03</w:t>
            </w:r>
          </w:p>
        </w:tc>
      </w:tr>
      <w:tr w14:paraId="6319C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9" w:type="pct"/>
            <w:tcBorders>
              <w:top w:val="nil"/>
              <w:left w:val="nil"/>
              <w:bottom w:val="nil"/>
              <w:right w:val="nil"/>
              <w:insideH w:val="nil"/>
              <w:insideV w:val="nil"/>
            </w:tcBorders>
            <w:vAlign w:val="center"/>
          </w:tcPr>
          <w:p w14:paraId="0D4A035B">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Both Negative</w:t>
            </w:r>
          </w:p>
        </w:tc>
        <w:tc>
          <w:tcPr>
            <w:tcW w:w="241" w:type="pct"/>
            <w:tcBorders>
              <w:top w:val="nil"/>
              <w:left w:val="nil"/>
              <w:bottom w:val="nil"/>
              <w:right w:val="nil"/>
              <w:insideH w:val="nil"/>
              <w:insideV w:val="nil"/>
            </w:tcBorders>
            <w:vAlign w:val="center"/>
          </w:tcPr>
          <w:p w14:paraId="1C45C88E">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351</w:t>
            </w:r>
          </w:p>
        </w:tc>
        <w:tc>
          <w:tcPr>
            <w:tcW w:w="365" w:type="pct"/>
            <w:tcBorders>
              <w:top w:val="nil"/>
              <w:left w:val="nil"/>
              <w:bottom w:val="nil"/>
              <w:right w:val="nil"/>
              <w:insideH w:val="nil"/>
              <w:insideV w:val="nil"/>
            </w:tcBorders>
            <w:vAlign w:val="center"/>
          </w:tcPr>
          <w:p w14:paraId="5DD76AB1">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65</w:t>
            </w:r>
          </w:p>
        </w:tc>
        <w:tc>
          <w:tcPr>
            <w:tcW w:w="381" w:type="pct"/>
            <w:tcBorders>
              <w:top w:val="nil"/>
              <w:left w:val="nil"/>
              <w:bottom w:val="nil"/>
              <w:right w:val="nil"/>
              <w:insideH w:val="nil"/>
              <w:insideV w:val="nil"/>
            </w:tcBorders>
            <w:vAlign w:val="center"/>
          </w:tcPr>
          <w:p w14:paraId="38EABF1C">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286</w:t>
            </w:r>
          </w:p>
        </w:tc>
        <w:tc>
          <w:tcPr>
            <w:tcW w:w="599" w:type="pct"/>
            <w:tcBorders>
              <w:top w:val="nil"/>
              <w:left w:val="nil"/>
              <w:bottom w:val="nil"/>
              <w:right w:val="nil"/>
              <w:insideH w:val="nil"/>
              <w:insideV w:val="nil"/>
            </w:tcBorders>
            <w:vAlign w:val="center"/>
          </w:tcPr>
          <w:p w14:paraId="2F1FAF89">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67.7% (55.6%-77.8%)</w:t>
            </w:r>
          </w:p>
        </w:tc>
        <w:tc>
          <w:tcPr>
            <w:tcW w:w="637" w:type="pct"/>
            <w:tcBorders>
              <w:top w:val="nil"/>
              <w:left w:val="nil"/>
              <w:bottom w:val="nil"/>
              <w:right w:val="nil"/>
              <w:insideH w:val="nil"/>
              <w:insideV w:val="nil"/>
            </w:tcBorders>
            <w:vAlign w:val="center"/>
          </w:tcPr>
          <w:p w14:paraId="66272D27">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90.2% (86.2%-93.1%)</w:t>
            </w:r>
          </w:p>
        </w:tc>
        <w:tc>
          <w:tcPr>
            <w:tcW w:w="548" w:type="pct"/>
            <w:tcBorders>
              <w:top w:val="nil"/>
              <w:left w:val="nil"/>
              <w:bottom w:val="nil"/>
              <w:right w:val="nil"/>
              <w:insideH w:val="nil"/>
              <w:insideV w:val="nil"/>
            </w:tcBorders>
            <w:vAlign w:val="center"/>
          </w:tcPr>
          <w:p w14:paraId="2CD9AD99">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0.850 (0.789-0.91</w:t>
            </w:r>
            <w:r>
              <w:rPr>
                <w:rFonts w:hint="eastAsia" w:ascii="Times New Roman" w:hAnsi="Times New Roman" w:eastAsia="宋体"/>
                <w:b w:val="0"/>
                <w:sz w:val="18"/>
                <w:lang w:val="en-US" w:eastAsia="zh-CN"/>
              </w:rPr>
              <w:t>0</w:t>
            </w:r>
            <w:r>
              <w:rPr>
                <w:rFonts w:ascii="Times New Roman" w:hAnsi="Times New Roman" w:eastAsia="宋体"/>
                <w:b w:val="0"/>
                <w:sz w:val="18"/>
              </w:rPr>
              <w:t>)</w:t>
            </w:r>
          </w:p>
        </w:tc>
        <w:tc>
          <w:tcPr>
            <w:tcW w:w="637" w:type="pct"/>
            <w:tcBorders>
              <w:top w:val="nil"/>
              <w:left w:val="nil"/>
              <w:bottom w:val="nil"/>
              <w:right w:val="nil"/>
              <w:insideH w:val="nil"/>
              <w:insideV w:val="nil"/>
            </w:tcBorders>
            <w:vAlign w:val="center"/>
          </w:tcPr>
          <w:p w14:paraId="3683E989">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61.1% (49.6%-71.5%)</w:t>
            </w:r>
          </w:p>
        </w:tc>
        <w:tc>
          <w:tcPr>
            <w:tcW w:w="599" w:type="pct"/>
            <w:tcBorders>
              <w:top w:val="nil"/>
              <w:left w:val="nil"/>
              <w:bottom w:val="nil"/>
              <w:right w:val="nil"/>
              <w:insideH w:val="nil"/>
              <w:insideV w:val="nil"/>
            </w:tcBorders>
            <w:vAlign w:val="center"/>
          </w:tcPr>
          <w:p w14:paraId="784A23C5">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92.5% (88.8%-95.0%)</w:t>
            </w:r>
          </w:p>
        </w:tc>
        <w:tc>
          <w:tcPr>
            <w:tcW w:w="276" w:type="pct"/>
            <w:tcBorders>
              <w:top w:val="nil"/>
              <w:left w:val="nil"/>
              <w:bottom w:val="nil"/>
              <w:right w:val="nil"/>
              <w:insideH w:val="nil"/>
              <w:insideV w:val="nil"/>
            </w:tcBorders>
            <w:vAlign w:val="center"/>
          </w:tcPr>
          <w:p w14:paraId="018152F9">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6.91</w:t>
            </w:r>
          </w:p>
        </w:tc>
        <w:tc>
          <w:tcPr>
            <w:tcW w:w="261" w:type="pct"/>
            <w:tcBorders>
              <w:top w:val="nil"/>
              <w:left w:val="nil"/>
              <w:bottom w:val="nil"/>
              <w:right w:val="nil"/>
              <w:insideH w:val="nil"/>
              <w:insideV w:val="nil"/>
            </w:tcBorders>
            <w:vAlign w:val="center"/>
          </w:tcPr>
          <w:p w14:paraId="5DE840C0">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0.36</w:t>
            </w:r>
          </w:p>
        </w:tc>
      </w:tr>
      <w:tr w14:paraId="4EA8C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9" w:type="pct"/>
            <w:tcBorders>
              <w:top w:val="nil"/>
              <w:left w:val="nil"/>
              <w:bottom w:val="nil"/>
              <w:right w:val="nil"/>
              <w:insideH w:val="nil"/>
              <w:insideV w:val="nil"/>
            </w:tcBorders>
            <w:vAlign w:val="center"/>
          </w:tcPr>
          <w:p w14:paraId="435ACFEE">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OB+ / PRO-</w:t>
            </w:r>
          </w:p>
        </w:tc>
        <w:tc>
          <w:tcPr>
            <w:tcW w:w="241" w:type="pct"/>
            <w:tcBorders>
              <w:top w:val="nil"/>
              <w:left w:val="nil"/>
              <w:bottom w:val="nil"/>
              <w:right w:val="nil"/>
              <w:insideH w:val="nil"/>
              <w:insideV w:val="nil"/>
            </w:tcBorders>
            <w:vAlign w:val="center"/>
          </w:tcPr>
          <w:p w14:paraId="09E53A40">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89</w:t>
            </w:r>
          </w:p>
        </w:tc>
        <w:tc>
          <w:tcPr>
            <w:tcW w:w="365" w:type="pct"/>
            <w:tcBorders>
              <w:top w:val="nil"/>
              <w:left w:val="nil"/>
              <w:bottom w:val="nil"/>
              <w:right w:val="nil"/>
              <w:insideH w:val="nil"/>
              <w:insideV w:val="nil"/>
            </w:tcBorders>
            <w:vAlign w:val="center"/>
          </w:tcPr>
          <w:p w14:paraId="2CD87647">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67</w:t>
            </w:r>
          </w:p>
        </w:tc>
        <w:tc>
          <w:tcPr>
            <w:tcW w:w="381" w:type="pct"/>
            <w:tcBorders>
              <w:top w:val="nil"/>
              <w:left w:val="nil"/>
              <w:bottom w:val="nil"/>
              <w:right w:val="nil"/>
              <w:insideH w:val="nil"/>
              <w:insideV w:val="nil"/>
            </w:tcBorders>
            <w:vAlign w:val="center"/>
          </w:tcPr>
          <w:p w14:paraId="316B2B87">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22</w:t>
            </w:r>
          </w:p>
        </w:tc>
        <w:tc>
          <w:tcPr>
            <w:tcW w:w="599" w:type="pct"/>
            <w:tcBorders>
              <w:top w:val="nil"/>
              <w:left w:val="nil"/>
              <w:bottom w:val="nil"/>
              <w:right w:val="nil"/>
              <w:insideH w:val="nil"/>
              <w:insideV w:val="nil"/>
            </w:tcBorders>
            <w:vAlign w:val="center"/>
          </w:tcPr>
          <w:p w14:paraId="527060E6">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89.6% (80.0%-94.8%)</w:t>
            </w:r>
          </w:p>
        </w:tc>
        <w:tc>
          <w:tcPr>
            <w:tcW w:w="637" w:type="pct"/>
            <w:tcBorders>
              <w:top w:val="nil"/>
              <w:left w:val="nil"/>
              <w:bottom w:val="nil"/>
              <w:right w:val="nil"/>
              <w:insideH w:val="nil"/>
              <w:insideV w:val="nil"/>
            </w:tcBorders>
            <w:vAlign w:val="center"/>
          </w:tcPr>
          <w:p w14:paraId="71B40DC6">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81.8% (61.5%-92.7%)</w:t>
            </w:r>
          </w:p>
        </w:tc>
        <w:tc>
          <w:tcPr>
            <w:tcW w:w="548" w:type="pct"/>
            <w:tcBorders>
              <w:top w:val="nil"/>
              <w:left w:val="nil"/>
              <w:bottom w:val="nil"/>
              <w:right w:val="nil"/>
              <w:insideH w:val="nil"/>
              <w:insideV w:val="nil"/>
            </w:tcBorders>
            <w:vAlign w:val="center"/>
          </w:tcPr>
          <w:p w14:paraId="3A9DBCCE">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0.968 (0.93</w:t>
            </w:r>
            <w:r>
              <w:rPr>
                <w:rFonts w:hint="eastAsia" w:ascii="Times New Roman" w:hAnsi="Times New Roman" w:eastAsia="宋体"/>
                <w:b w:val="0"/>
                <w:sz w:val="18"/>
                <w:lang w:val="en-US" w:eastAsia="zh-CN"/>
              </w:rPr>
              <w:t>7</w:t>
            </w:r>
            <w:r>
              <w:rPr>
                <w:rFonts w:ascii="Times New Roman" w:hAnsi="Times New Roman" w:eastAsia="宋体"/>
                <w:b w:val="0"/>
                <w:sz w:val="18"/>
              </w:rPr>
              <w:t>-1.000)</w:t>
            </w:r>
          </w:p>
        </w:tc>
        <w:tc>
          <w:tcPr>
            <w:tcW w:w="637" w:type="pct"/>
            <w:tcBorders>
              <w:top w:val="nil"/>
              <w:left w:val="nil"/>
              <w:bottom w:val="nil"/>
              <w:right w:val="nil"/>
              <w:insideH w:val="nil"/>
              <w:insideV w:val="nil"/>
            </w:tcBorders>
            <w:vAlign w:val="center"/>
          </w:tcPr>
          <w:p w14:paraId="5883389F">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93.8% (85.0%-97.5%)</w:t>
            </w:r>
          </w:p>
        </w:tc>
        <w:tc>
          <w:tcPr>
            <w:tcW w:w="599" w:type="pct"/>
            <w:tcBorders>
              <w:top w:val="nil"/>
              <w:left w:val="nil"/>
              <w:bottom w:val="nil"/>
              <w:right w:val="nil"/>
              <w:insideH w:val="nil"/>
              <w:insideV w:val="nil"/>
            </w:tcBorders>
            <w:vAlign w:val="center"/>
          </w:tcPr>
          <w:p w14:paraId="43B34C51">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72.0% (52.4%-85.7%)</w:t>
            </w:r>
          </w:p>
        </w:tc>
        <w:tc>
          <w:tcPr>
            <w:tcW w:w="276" w:type="pct"/>
            <w:tcBorders>
              <w:top w:val="nil"/>
              <w:left w:val="nil"/>
              <w:bottom w:val="nil"/>
              <w:right w:val="nil"/>
              <w:insideH w:val="nil"/>
              <w:insideV w:val="nil"/>
            </w:tcBorders>
            <w:vAlign w:val="center"/>
          </w:tcPr>
          <w:p w14:paraId="36FE3235">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4.93</w:t>
            </w:r>
          </w:p>
        </w:tc>
        <w:tc>
          <w:tcPr>
            <w:tcW w:w="261" w:type="pct"/>
            <w:tcBorders>
              <w:top w:val="nil"/>
              <w:left w:val="nil"/>
              <w:bottom w:val="nil"/>
              <w:right w:val="nil"/>
              <w:insideH w:val="nil"/>
              <w:insideV w:val="nil"/>
            </w:tcBorders>
            <w:vAlign w:val="center"/>
          </w:tcPr>
          <w:p w14:paraId="0CAC5305">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0.13</w:t>
            </w:r>
          </w:p>
        </w:tc>
      </w:tr>
      <w:tr w14:paraId="2D664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9" w:type="pct"/>
            <w:tcBorders>
              <w:top w:val="nil"/>
              <w:left w:val="nil"/>
              <w:bottom w:val="single" w:color="000000" w:sz="12" w:space="0"/>
              <w:right w:val="nil"/>
              <w:insideH w:val="nil"/>
              <w:insideV w:val="nil"/>
            </w:tcBorders>
            <w:vAlign w:val="center"/>
          </w:tcPr>
          <w:p w14:paraId="4182132F">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OB- / PRO+</w:t>
            </w:r>
          </w:p>
        </w:tc>
        <w:tc>
          <w:tcPr>
            <w:tcW w:w="241" w:type="pct"/>
            <w:tcBorders>
              <w:top w:val="nil"/>
              <w:left w:val="nil"/>
              <w:bottom w:val="single" w:color="000000" w:sz="12" w:space="0"/>
              <w:right w:val="nil"/>
              <w:insideH w:val="nil"/>
              <w:insideV w:val="nil"/>
            </w:tcBorders>
            <w:vAlign w:val="center"/>
          </w:tcPr>
          <w:p w14:paraId="25E407C2">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33</w:t>
            </w:r>
          </w:p>
        </w:tc>
        <w:tc>
          <w:tcPr>
            <w:tcW w:w="365" w:type="pct"/>
            <w:tcBorders>
              <w:top w:val="nil"/>
              <w:left w:val="nil"/>
              <w:bottom w:val="single" w:color="000000" w:sz="12" w:space="0"/>
              <w:right w:val="nil"/>
              <w:insideH w:val="nil"/>
              <w:insideV w:val="nil"/>
            </w:tcBorders>
            <w:vAlign w:val="center"/>
          </w:tcPr>
          <w:p w14:paraId="57A0B059">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19</w:t>
            </w:r>
          </w:p>
        </w:tc>
        <w:tc>
          <w:tcPr>
            <w:tcW w:w="381" w:type="pct"/>
            <w:tcBorders>
              <w:top w:val="nil"/>
              <w:left w:val="nil"/>
              <w:bottom w:val="single" w:color="000000" w:sz="12" w:space="0"/>
              <w:right w:val="nil"/>
              <w:insideH w:val="nil"/>
              <w:insideV w:val="nil"/>
            </w:tcBorders>
            <w:vAlign w:val="center"/>
          </w:tcPr>
          <w:p w14:paraId="3153073D">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14</w:t>
            </w:r>
          </w:p>
        </w:tc>
        <w:tc>
          <w:tcPr>
            <w:tcW w:w="599" w:type="pct"/>
            <w:tcBorders>
              <w:top w:val="nil"/>
              <w:left w:val="nil"/>
              <w:bottom w:val="single" w:color="000000" w:sz="12" w:space="0"/>
              <w:right w:val="nil"/>
              <w:insideH w:val="nil"/>
              <w:insideV w:val="nil"/>
            </w:tcBorders>
            <w:vAlign w:val="center"/>
          </w:tcPr>
          <w:p w14:paraId="5A15322E">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94.7% (75.4%-99.1%)</w:t>
            </w:r>
          </w:p>
        </w:tc>
        <w:tc>
          <w:tcPr>
            <w:tcW w:w="637" w:type="pct"/>
            <w:tcBorders>
              <w:top w:val="nil"/>
              <w:left w:val="nil"/>
              <w:bottom w:val="single" w:color="000000" w:sz="12" w:space="0"/>
              <w:right w:val="nil"/>
              <w:insideH w:val="nil"/>
              <w:insideV w:val="nil"/>
            </w:tcBorders>
            <w:vAlign w:val="center"/>
          </w:tcPr>
          <w:p w14:paraId="41273622">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100.0% (78.5%-100.0%)</w:t>
            </w:r>
          </w:p>
        </w:tc>
        <w:tc>
          <w:tcPr>
            <w:tcW w:w="548" w:type="pct"/>
            <w:tcBorders>
              <w:top w:val="nil"/>
              <w:left w:val="nil"/>
              <w:bottom w:val="single" w:color="000000" w:sz="12" w:space="0"/>
              <w:right w:val="nil"/>
              <w:insideH w:val="nil"/>
              <w:insideV w:val="nil"/>
            </w:tcBorders>
            <w:vAlign w:val="center"/>
          </w:tcPr>
          <w:p w14:paraId="664402AE">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1.000 (1.000-1.000)</w:t>
            </w:r>
          </w:p>
        </w:tc>
        <w:tc>
          <w:tcPr>
            <w:tcW w:w="637" w:type="pct"/>
            <w:tcBorders>
              <w:top w:val="nil"/>
              <w:left w:val="nil"/>
              <w:bottom w:val="single" w:color="000000" w:sz="12" w:space="0"/>
              <w:right w:val="nil"/>
              <w:insideH w:val="nil"/>
              <w:insideV w:val="nil"/>
            </w:tcBorders>
            <w:vAlign w:val="center"/>
          </w:tcPr>
          <w:p w14:paraId="4F99D0C6">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100.0% (82.4%-100.0%)</w:t>
            </w:r>
          </w:p>
        </w:tc>
        <w:tc>
          <w:tcPr>
            <w:tcW w:w="599" w:type="pct"/>
            <w:tcBorders>
              <w:top w:val="nil"/>
              <w:left w:val="nil"/>
              <w:bottom w:val="single" w:color="000000" w:sz="12" w:space="0"/>
              <w:right w:val="nil"/>
              <w:insideH w:val="nil"/>
              <w:insideV w:val="nil"/>
            </w:tcBorders>
            <w:vAlign w:val="center"/>
          </w:tcPr>
          <w:p w14:paraId="285F379A">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93.3% (70.2%-98.8%)</w:t>
            </w:r>
          </w:p>
        </w:tc>
        <w:tc>
          <w:tcPr>
            <w:tcW w:w="276" w:type="pct"/>
            <w:tcBorders>
              <w:top w:val="nil"/>
              <w:left w:val="nil"/>
              <w:bottom w:val="single" w:color="000000" w:sz="12" w:space="0"/>
              <w:right w:val="nil"/>
              <w:insideH w:val="nil"/>
              <w:insideV w:val="nil"/>
            </w:tcBorders>
            <w:vAlign w:val="center"/>
          </w:tcPr>
          <w:p w14:paraId="25709755">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Inf</w:t>
            </w:r>
          </w:p>
        </w:tc>
        <w:tc>
          <w:tcPr>
            <w:tcW w:w="261" w:type="pct"/>
            <w:tcBorders>
              <w:top w:val="nil"/>
              <w:left w:val="nil"/>
              <w:bottom w:val="single" w:color="000000" w:sz="12" w:space="0"/>
              <w:right w:val="nil"/>
              <w:insideH w:val="nil"/>
              <w:insideV w:val="nil"/>
            </w:tcBorders>
            <w:vAlign w:val="center"/>
          </w:tcPr>
          <w:p w14:paraId="6FF94BBE">
            <w:pPr>
              <w:keepNext/>
              <w:snapToGrid w:val="0"/>
              <w:spacing w:line="240" w:lineRule="auto"/>
              <w:ind w:left="0" w:leftChars="0" w:right="0" w:rightChars="0" w:firstLine="0" w:firstLineChars="0"/>
              <w:jc w:val="center"/>
              <w:rPr>
                <w:rFonts w:ascii="Times New Roman" w:eastAsia="宋体"/>
                <w:sz w:val="18"/>
              </w:rPr>
            </w:pPr>
            <w:r>
              <w:rPr>
                <w:rFonts w:ascii="Times New Roman" w:hAnsi="Times New Roman" w:eastAsia="宋体"/>
                <w:b w:val="0"/>
                <w:sz w:val="18"/>
              </w:rPr>
              <w:t>0.05</w:t>
            </w:r>
          </w:p>
        </w:tc>
      </w:tr>
    </w:tbl>
    <w:p w14:paraId="0C28FE34">
      <w:pPr>
        <w:spacing w:after="120" w:line="240" w:lineRule="auto"/>
        <w:rPr>
          <w:rFonts w:ascii="Times New Roman" w:hAnsi="Times New Roman"/>
          <w:b w:val="0"/>
          <w:i/>
          <w:iCs w:val="0"/>
          <w:sz w:val="21"/>
        </w:rPr>
      </w:pPr>
      <w:r>
        <w:rPr>
          <w:rFonts w:ascii="Times New Roman" w:hAnsi="Times New Roman"/>
          <w:b w:val="0"/>
          <w:i/>
          <w:iCs/>
          <w:sz w:val="21"/>
        </w:rPr>
        <w:t>Interaction tests: Occult blood status, chi-squared = 4.38, p = 0.037; Urine protein status, chi-squared = 11.85, p &lt; 0.001.</w:t>
      </w:r>
      <w:r>
        <w:rPr>
          <w:rFonts w:hint="eastAsia" w:ascii="Times New Roman" w:hAnsi="Times New Roman"/>
          <w:b w:val="0"/>
          <w:i/>
          <w:iCs/>
          <w:sz w:val="21"/>
          <w:lang w:val="en-US" w:eastAsia="zh-CN"/>
        </w:rPr>
        <w:t xml:space="preserve"> </w:t>
      </w:r>
      <w:r>
        <w:rPr>
          <w:rFonts w:ascii="Times New Roman" w:hAnsi="Times New Roman"/>
          <w:i/>
          <w:sz w:val="21"/>
        </w:rPr>
        <w:t>Note:</w:t>
      </w:r>
      <w:r>
        <w:rPr>
          <w:rFonts w:ascii="Times New Roman" w:hAnsi="Times New Roman" w:eastAsiaTheme="minorEastAsia" w:cstheme="minorBidi"/>
          <w:i/>
          <w:iCs w:val="0"/>
          <w:caps w:val="0"/>
          <w:color w:val="auto"/>
          <w:spacing w:val="0"/>
          <w:sz w:val="21"/>
          <w:szCs w:val="22"/>
          <w:shd w:val="clear" w:fill="auto"/>
        </w:rPr>
        <w:t>PPV and NPV in this table reflect the sampled case-control composition of each subgroup and are not directly transferable to screening, referral, or other intended-use populations.</w:t>
      </w:r>
    </w:p>
    <w:p w14:paraId="52B71908">
      <w:pPr>
        <w:spacing w:after="40" w:line="240" w:lineRule="auto"/>
      </w:pPr>
    </w:p>
    <w:p w14:paraId="6C31160D">
      <w:pPr>
        <w:rPr>
          <w:rFonts w:ascii="Times New Roman" w:hAnsi="Times New Roman" w:cs="Times New Roman"/>
          <w:sz w:val="21"/>
          <w:szCs w:val="21"/>
        </w:rPr>
      </w:pPr>
      <w:r>
        <w:rPr>
          <w:rFonts w:ascii="Times New Roman" w:hAnsi="Times New Roman" w:cs="Times New Roman"/>
          <w:b/>
          <w:sz w:val="21"/>
          <w:szCs w:val="21"/>
        </w:rPr>
        <w:t>Table S</w:t>
      </w:r>
      <w:r>
        <w:rPr>
          <w:rFonts w:hint="eastAsia" w:ascii="Times New Roman" w:hAnsi="Times New Roman" w:cs="Times New Roman"/>
          <w:b/>
          <w:sz w:val="21"/>
          <w:szCs w:val="21"/>
          <w:lang w:eastAsia="zh-CN"/>
        </w:rPr>
        <w:t>1</w:t>
      </w:r>
      <w:r>
        <w:rPr>
          <w:rFonts w:hint="eastAsia" w:ascii="Times New Roman" w:hAnsi="Times New Roman" w:cs="Times New Roman"/>
          <w:b/>
          <w:sz w:val="21"/>
          <w:szCs w:val="21"/>
          <w:lang w:val="en-US" w:eastAsia="zh-CN"/>
        </w:rPr>
        <w:t>4</w:t>
      </w:r>
      <w:r>
        <w:rPr>
          <w:rFonts w:ascii="Times New Roman" w:hAnsi="Times New Roman" w:cs="Times New Roman"/>
          <w:b/>
          <w:sz w:val="21"/>
          <w:szCs w:val="21"/>
        </w:rPr>
        <w:t>. Comparison of published urine-based methylation / urinary assays with the PUCD panel</w:t>
      </w:r>
    </w:p>
    <w:tbl>
      <w:tblPr>
        <w:tblStyle w:val="4"/>
        <w:tblW w:w="5131" w:type="pct"/>
        <w:jc w:val="center"/>
        <w:tblLayout w:type="autofit"/>
        <w:tblCellMar>
          <w:top w:w="0" w:type="dxa"/>
          <w:left w:w="108" w:type="dxa"/>
          <w:bottom w:w="0" w:type="dxa"/>
          <w:right w:w="108" w:type="dxa"/>
        </w:tblCellMar>
      </w:tblPr>
      <w:tblGrid>
        <w:gridCol w:w="2005"/>
        <w:gridCol w:w="1769"/>
        <w:gridCol w:w="1809"/>
        <w:gridCol w:w="920"/>
        <w:gridCol w:w="2242"/>
      </w:tblGrid>
      <w:tr w14:paraId="74387CDB">
        <w:tblPrEx>
          <w:tblCellMar>
            <w:top w:w="0" w:type="dxa"/>
            <w:left w:w="108" w:type="dxa"/>
            <w:bottom w:w="0" w:type="dxa"/>
            <w:right w:w="108" w:type="dxa"/>
          </w:tblCellMar>
        </w:tblPrEx>
        <w:trPr>
          <w:tblHeader/>
          <w:jc w:val="center"/>
        </w:trPr>
        <w:tc>
          <w:tcPr>
            <w:tcW w:w="1146" w:type="pct"/>
            <w:tcBorders>
              <w:top w:val="single" w:color="auto" w:sz="12" w:space="0"/>
              <w:left w:val="nil"/>
              <w:bottom w:val="nil"/>
              <w:right w:val="nil"/>
            </w:tcBorders>
            <w:noWrap w:val="0"/>
            <w:tcMar>
              <w:top w:w="-1" w:type="dxa"/>
              <w:left w:w="-1" w:type="dxa"/>
              <w:bottom w:w="-1" w:type="dxa"/>
              <w:right w:w="-1" w:type="dxa"/>
            </w:tcMar>
            <w:vAlign w:val="center"/>
          </w:tcPr>
          <w:p w14:paraId="3F908E89">
            <w:pPr>
              <w:snapToGrid w:val="0"/>
              <w:ind w:left="0" w:leftChars="0" w:right="0" w:rightChars="0" w:firstLine="0" w:firstLineChars="0"/>
              <w:jc w:val="center"/>
              <w:rPr>
                <w:rFonts w:ascii="Times New Roman" w:hAnsi="Times New Roman" w:cs="Times New Roman"/>
                <w:b/>
                <w:sz w:val="18"/>
                <w:szCs w:val="18"/>
              </w:rPr>
            </w:pPr>
            <w:r>
              <w:rPr>
                <w:rFonts w:ascii="Times New Roman" w:hAnsi="Times New Roman" w:cs="Times New Roman"/>
                <w:b/>
                <w:sz w:val="18"/>
                <w:szCs w:val="18"/>
              </w:rPr>
              <w:t>Assay (reference)</w:t>
            </w:r>
          </w:p>
        </w:tc>
        <w:tc>
          <w:tcPr>
            <w:tcW w:w="1011" w:type="pct"/>
            <w:tcBorders>
              <w:top w:val="single" w:color="auto" w:sz="12" w:space="0"/>
              <w:left w:val="nil"/>
              <w:bottom w:val="nil"/>
              <w:right w:val="nil"/>
            </w:tcBorders>
            <w:noWrap w:val="0"/>
            <w:tcMar>
              <w:top w:w="-1" w:type="dxa"/>
              <w:left w:w="-1" w:type="dxa"/>
              <w:bottom w:w="-1" w:type="dxa"/>
              <w:right w:w="-1" w:type="dxa"/>
            </w:tcMar>
            <w:vAlign w:val="center"/>
          </w:tcPr>
          <w:p w14:paraId="7C03906A">
            <w:pPr>
              <w:snapToGrid w:val="0"/>
              <w:ind w:left="0" w:leftChars="0" w:right="0" w:rightChars="0" w:firstLine="0" w:firstLineChars="0"/>
              <w:jc w:val="center"/>
              <w:rPr>
                <w:rFonts w:ascii="Times New Roman" w:hAnsi="Times New Roman" w:cs="Times New Roman"/>
                <w:b/>
                <w:sz w:val="18"/>
                <w:szCs w:val="18"/>
              </w:rPr>
            </w:pPr>
            <w:r>
              <w:rPr>
                <w:rFonts w:ascii="Times New Roman" w:hAnsi="Times New Roman" w:cs="Times New Roman"/>
                <w:b/>
                <w:sz w:val="18"/>
                <w:szCs w:val="18"/>
              </w:rPr>
              <w:t>Biomarker(s)</w:t>
            </w:r>
          </w:p>
        </w:tc>
        <w:tc>
          <w:tcPr>
            <w:tcW w:w="1034" w:type="pct"/>
            <w:tcBorders>
              <w:top w:val="single" w:color="auto" w:sz="12" w:space="0"/>
              <w:left w:val="nil"/>
              <w:bottom w:val="nil"/>
              <w:right w:val="nil"/>
            </w:tcBorders>
            <w:noWrap w:val="0"/>
            <w:tcMar>
              <w:top w:w="-1" w:type="dxa"/>
              <w:left w:w="-1" w:type="dxa"/>
              <w:bottom w:w="-1" w:type="dxa"/>
              <w:right w:w="-1" w:type="dxa"/>
            </w:tcMar>
            <w:vAlign w:val="center"/>
          </w:tcPr>
          <w:p w14:paraId="24D21E67">
            <w:pPr>
              <w:snapToGrid w:val="0"/>
              <w:ind w:left="0" w:leftChars="0" w:right="0" w:rightChars="0" w:firstLine="0" w:firstLineChars="0"/>
              <w:jc w:val="center"/>
              <w:rPr>
                <w:rFonts w:ascii="Times New Roman" w:hAnsi="Times New Roman" w:cs="Times New Roman"/>
                <w:b/>
                <w:sz w:val="18"/>
                <w:szCs w:val="18"/>
              </w:rPr>
            </w:pPr>
            <w:r>
              <w:rPr>
                <w:rFonts w:ascii="Times New Roman" w:hAnsi="Times New Roman" w:cs="Times New Roman"/>
                <w:b/>
                <w:sz w:val="18"/>
                <w:szCs w:val="18"/>
              </w:rPr>
              <w:t>Cancer scope</w:t>
            </w:r>
          </w:p>
        </w:tc>
        <w:tc>
          <w:tcPr>
            <w:tcW w:w="526" w:type="pct"/>
            <w:tcBorders>
              <w:top w:val="single" w:color="auto" w:sz="12" w:space="0"/>
              <w:left w:val="nil"/>
              <w:bottom w:val="nil"/>
              <w:right w:val="nil"/>
            </w:tcBorders>
            <w:noWrap w:val="0"/>
            <w:tcMar>
              <w:top w:w="-1" w:type="dxa"/>
              <w:left w:w="-1" w:type="dxa"/>
              <w:bottom w:w="-1" w:type="dxa"/>
              <w:right w:w="-1" w:type="dxa"/>
            </w:tcMar>
            <w:vAlign w:val="center"/>
          </w:tcPr>
          <w:p w14:paraId="642EEC73">
            <w:pPr>
              <w:snapToGrid w:val="0"/>
              <w:ind w:left="0" w:leftChars="0" w:right="0" w:rightChars="0" w:firstLine="0" w:firstLineChars="0"/>
              <w:jc w:val="center"/>
              <w:rPr>
                <w:rFonts w:ascii="Times New Roman" w:hAnsi="Times New Roman" w:cs="Times New Roman"/>
                <w:b/>
                <w:sz w:val="18"/>
                <w:szCs w:val="18"/>
              </w:rPr>
            </w:pPr>
            <w:r>
              <w:rPr>
                <w:rFonts w:ascii="Times New Roman" w:hAnsi="Times New Roman" w:cs="Times New Roman"/>
                <w:b/>
                <w:sz w:val="18"/>
                <w:szCs w:val="18"/>
              </w:rPr>
              <w:t>Sample</w:t>
            </w:r>
          </w:p>
        </w:tc>
        <w:tc>
          <w:tcPr>
            <w:tcW w:w="1281" w:type="pct"/>
            <w:tcBorders>
              <w:top w:val="single" w:color="auto" w:sz="12" w:space="0"/>
              <w:left w:val="nil"/>
              <w:bottom w:val="nil"/>
              <w:right w:val="nil"/>
            </w:tcBorders>
            <w:noWrap w:val="0"/>
            <w:tcMar>
              <w:top w:w="-1" w:type="dxa"/>
              <w:left w:w="-1" w:type="dxa"/>
              <w:bottom w:w="-1" w:type="dxa"/>
              <w:right w:w="-1" w:type="dxa"/>
            </w:tcMar>
            <w:vAlign w:val="center"/>
          </w:tcPr>
          <w:p w14:paraId="6EA5BCA2">
            <w:pPr>
              <w:snapToGrid w:val="0"/>
              <w:ind w:left="0" w:leftChars="0" w:right="0" w:rightChars="0" w:firstLine="0" w:firstLineChars="0"/>
              <w:jc w:val="center"/>
              <w:rPr>
                <w:rFonts w:ascii="Times New Roman" w:hAnsi="Times New Roman" w:cs="Times New Roman"/>
                <w:b/>
                <w:sz w:val="18"/>
                <w:szCs w:val="18"/>
              </w:rPr>
            </w:pPr>
            <w:r>
              <w:rPr>
                <w:rFonts w:ascii="Times New Roman" w:hAnsi="Times New Roman" w:cs="Times New Roman"/>
                <w:b/>
                <w:sz w:val="18"/>
                <w:szCs w:val="18"/>
              </w:rPr>
              <w:t>Reported performance</w:t>
            </w:r>
          </w:p>
        </w:tc>
      </w:tr>
      <w:tr w14:paraId="0C6C54EF">
        <w:tblPrEx>
          <w:tblCellMar>
            <w:top w:w="0" w:type="dxa"/>
            <w:left w:w="108" w:type="dxa"/>
            <w:bottom w:w="0" w:type="dxa"/>
            <w:right w:w="108" w:type="dxa"/>
          </w:tblCellMar>
        </w:tblPrEx>
        <w:trPr>
          <w:jc w:val="center"/>
        </w:trPr>
        <w:tc>
          <w:tcPr>
            <w:tcW w:w="1146" w:type="pct"/>
            <w:tcBorders>
              <w:top w:val="single" w:color="auto" w:sz="4" w:space="0"/>
              <w:left w:val="nil"/>
              <w:bottom w:val="nil"/>
              <w:right w:val="nil"/>
            </w:tcBorders>
            <w:noWrap w:val="0"/>
            <w:tcMar>
              <w:top w:w="-1" w:type="dxa"/>
              <w:left w:w="-1" w:type="dxa"/>
              <w:bottom w:w="-1" w:type="dxa"/>
              <w:right w:w="-1" w:type="dxa"/>
            </w:tcMar>
            <w:vAlign w:val="center"/>
          </w:tcPr>
          <w:p w14:paraId="2F05C080">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This study (PUCD)</w:t>
            </w:r>
          </w:p>
        </w:tc>
        <w:tc>
          <w:tcPr>
            <w:tcW w:w="1011" w:type="pct"/>
            <w:tcBorders>
              <w:top w:val="single" w:color="auto" w:sz="4" w:space="0"/>
              <w:left w:val="nil"/>
              <w:bottom w:val="nil"/>
              <w:right w:val="nil"/>
            </w:tcBorders>
            <w:noWrap w:val="0"/>
            <w:tcMar>
              <w:top w:w="-1" w:type="dxa"/>
              <w:left w:w="-1" w:type="dxa"/>
              <w:bottom w:w="-1" w:type="dxa"/>
              <w:right w:w="-1" w:type="dxa"/>
            </w:tcMar>
            <w:vAlign w:val="center"/>
          </w:tcPr>
          <w:p w14:paraId="5BE60F38">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H4C6, SIX6, SEPTIN9, SHOX2</w:t>
            </w:r>
          </w:p>
        </w:tc>
        <w:tc>
          <w:tcPr>
            <w:tcW w:w="1034" w:type="pct"/>
            <w:tcBorders>
              <w:top w:val="single" w:color="auto" w:sz="4" w:space="0"/>
              <w:left w:val="nil"/>
              <w:bottom w:val="nil"/>
              <w:right w:val="nil"/>
            </w:tcBorders>
            <w:noWrap w:val="0"/>
            <w:tcMar>
              <w:top w:w="-1" w:type="dxa"/>
              <w:left w:w="-1" w:type="dxa"/>
              <w:bottom w:w="-1" w:type="dxa"/>
              <w:right w:w="-1" w:type="dxa"/>
            </w:tcMar>
            <w:vAlign w:val="center"/>
          </w:tcPr>
          <w:p w14:paraId="7A071FE9">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Bladder, ureter, renal pelvis, kidney, prostate</w:t>
            </w:r>
          </w:p>
        </w:tc>
        <w:tc>
          <w:tcPr>
            <w:tcW w:w="526" w:type="pct"/>
            <w:tcBorders>
              <w:top w:val="single" w:color="auto" w:sz="4" w:space="0"/>
              <w:left w:val="nil"/>
              <w:bottom w:val="nil"/>
              <w:right w:val="nil"/>
            </w:tcBorders>
            <w:noWrap w:val="0"/>
            <w:tcMar>
              <w:top w:w="-1" w:type="dxa"/>
              <w:left w:w="-1" w:type="dxa"/>
              <w:bottom w:w="-1" w:type="dxa"/>
              <w:right w:w="-1" w:type="dxa"/>
            </w:tcMar>
            <w:vAlign w:val="center"/>
          </w:tcPr>
          <w:p w14:paraId="37EF6834">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 xml:space="preserve">Urine </w:t>
            </w:r>
          </w:p>
        </w:tc>
        <w:tc>
          <w:tcPr>
            <w:tcW w:w="1281" w:type="pct"/>
            <w:tcBorders>
              <w:top w:val="single" w:color="auto" w:sz="4" w:space="0"/>
              <w:left w:val="nil"/>
              <w:bottom w:val="nil"/>
              <w:right w:val="nil"/>
            </w:tcBorders>
            <w:noWrap w:val="0"/>
            <w:tcMar>
              <w:top w:w="-1" w:type="dxa"/>
              <w:left w:w="-1" w:type="dxa"/>
              <w:bottom w:w="-1" w:type="dxa"/>
              <w:right w:w="-1" w:type="dxa"/>
            </w:tcMar>
            <w:vAlign w:val="center"/>
          </w:tcPr>
          <w:p w14:paraId="7B233893">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AUC 0.95; Sens 88.1%, Spec 90.0% (val.)</w:t>
            </w:r>
          </w:p>
        </w:tc>
      </w:tr>
      <w:tr w14:paraId="37EE8275">
        <w:tblPrEx>
          <w:tblCellMar>
            <w:top w:w="0" w:type="dxa"/>
            <w:left w:w="108" w:type="dxa"/>
            <w:bottom w:w="0" w:type="dxa"/>
            <w:right w:w="108" w:type="dxa"/>
          </w:tblCellMar>
        </w:tblPrEx>
        <w:trPr>
          <w:jc w:val="center"/>
        </w:trPr>
        <w:tc>
          <w:tcPr>
            <w:tcW w:w="1146" w:type="pct"/>
            <w:tcBorders>
              <w:top w:val="nil"/>
              <w:left w:val="nil"/>
              <w:bottom w:val="nil"/>
              <w:right w:val="nil"/>
            </w:tcBorders>
            <w:noWrap w:val="0"/>
            <w:tcMar>
              <w:top w:w="-1" w:type="dxa"/>
              <w:left w:w="-1" w:type="dxa"/>
              <w:bottom w:w="-1" w:type="dxa"/>
              <w:right w:w="-1" w:type="dxa"/>
            </w:tcMar>
            <w:vAlign w:val="center"/>
          </w:tcPr>
          <w:p w14:paraId="79ED9690">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Chen et al., 2020 [</w:t>
            </w:r>
            <w:r>
              <w:rPr>
                <w:rFonts w:hint="eastAsia" w:ascii="Times New Roman" w:hAnsi="Times New Roman" w:cs="Times New Roman"/>
                <w:sz w:val="18"/>
                <w:szCs w:val="18"/>
                <w:lang w:val="en-US" w:eastAsia="zh-CN"/>
              </w:rPr>
              <w:t>18</w:t>
            </w:r>
            <w:r>
              <w:rPr>
                <w:rFonts w:ascii="Times New Roman" w:hAnsi="Times New Roman" w:cs="Times New Roman"/>
                <w:sz w:val="18"/>
                <w:szCs w:val="18"/>
              </w:rPr>
              <w:t>]</w:t>
            </w:r>
          </w:p>
        </w:tc>
        <w:tc>
          <w:tcPr>
            <w:tcW w:w="1011" w:type="pct"/>
            <w:tcBorders>
              <w:top w:val="nil"/>
              <w:left w:val="nil"/>
              <w:bottom w:val="nil"/>
              <w:right w:val="nil"/>
            </w:tcBorders>
            <w:noWrap w:val="0"/>
            <w:tcMar>
              <w:top w:w="-1" w:type="dxa"/>
              <w:left w:w="-1" w:type="dxa"/>
              <w:bottom w:w="-1" w:type="dxa"/>
              <w:right w:w="-1" w:type="dxa"/>
            </w:tcMar>
            <w:vAlign w:val="center"/>
          </w:tcPr>
          <w:p w14:paraId="226CB4A2">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Multiple (bladder)</w:t>
            </w:r>
          </w:p>
        </w:tc>
        <w:tc>
          <w:tcPr>
            <w:tcW w:w="1034" w:type="pct"/>
            <w:tcBorders>
              <w:top w:val="nil"/>
              <w:left w:val="nil"/>
              <w:bottom w:val="nil"/>
              <w:right w:val="nil"/>
            </w:tcBorders>
            <w:noWrap w:val="0"/>
            <w:tcMar>
              <w:top w:w="-1" w:type="dxa"/>
              <w:left w:w="-1" w:type="dxa"/>
              <w:bottom w:w="-1" w:type="dxa"/>
              <w:right w:w="-1" w:type="dxa"/>
            </w:tcMar>
            <w:vAlign w:val="center"/>
          </w:tcPr>
          <w:p w14:paraId="6F712FD2">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Bladder</w:t>
            </w:r>
          </w:p>
        </w:tc>
        <w:tc>
          <w:tcPr>
            <w:tcW w:w="526" w:type="pct"/>
            <w:tcBorders>
              <w:top w:val="nil"/>
              <w:left w:val="nil"/>
              <w:bottom w:val="nil"/>
              <w:right w:val="nil"/>
            </w:tcBorders>
            <w:noWrap w:val="0"/>
            <w:tcMar>
              <w:top w:w="-1" w:type="dxa"/>
              <w:left w:w="-1" w:type="dxa"/>
              <w:bottom w:w="-1" w:type="dxa"/>
              <w:right w:w="-1" w:type="dxa"/>
            </w:tcMar>
            <w:vAlign w:val="center"/>
          </w:tcPr>
          <w:p w14:paraId="2AA7756A">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Urine</w:t>
            </w:r>
          </w:p>
        </w:tc>
        <w:tc>
          <w:tcPr>
            <w:tcW w:w="1281" w:type="pct"/>
            <w:tcBorders>
              <w:top w:val="nil"/>
              <w:left w:val="nil"/>
              <w:bottom w:val="nil"/>
              <w:right w:val="nil"/>
            </w:tcBorders>
            <w:noWrap w:val="0"/>
            <w:tcMar>
              <w:top w:w="-1" w:type="dxa"/>
              <w:left w:w="-1" w:type="dxa"/>
              <w:bottom w:w="-1" w:type="dxa"/>
              <w:right w:w="-1" w:type="dxa"/>
            </w:tcMar>
            <w:vAlign w:val="center"/>
          </w:tcPr>
          <w:p w14:paraId="200F3B1A">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High sensitivity for bladder cancer</w:t>
            </w:r>
          </w:p>
        </w:tc>
      </w:tr>
      <w:tr w14:paraId="7C730F2A">
        <w:tblPrEx>
          <w:tblCellMar>
            <w:top w:w="0" w:type="dxa"/>
            <w:left w:w="108" w:type="dxa"/>
            <w:bottom w:w="0" w:type="dxa"/>
            <w:right w:w="108" w:type="dxa"/>
          </w:tblCellMar>
        </w:tblPrEx>
        <w:trPr>
          <w:trHeight w:val="0" w:hRule="atLeast"/>
          <w:jc w:val="center"/>
        </w:trPr>
        <w:tc>
          <w:tcPr>
            <w:tcW w:w="1146" w:type="pct"/>
            <w:tcBorders>
              <w:top w:val="nil"/>
              <w:left w:val="nil"/>
              <w:bottom w:val="nil"/>
              <w:right w:val="nil"/>
            </w:tcBorders>
            <w:noWrap w:val="0"/>
            <w:tcMar>
              <w:top w:w="-1" w:type="dxa"/>
              <w:left w:w="-1" w:type="dxa"/>
              <w:bottom w:w="-1" w:type="dxa"/>
              <w:right w:w="-1" w:type="dxa"/>
            </w:tcMar>
            <w:vAlign w:val="center"/>
          </w:tcPr>
          <w:p w14:paraId="10C937CA">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Beijert et al., 2024 (GHSR/MAL) [2</w:t>
            </w:r>
            <w:r>
              <w:rPr>
                <w:rFonts w:hint="eastAsia" w:ascii="Times New Roman" w:hAnsi="Times New Roman" w:cs="Times New Roman"/>
                <w:sz w:val="18"/>
                <w:szCs w:val="18"/>
                <w:lang w:val="en-US" w:eastAsia="zh-CN"/>
              </w:rPr>
              <w:t>0</w:t>
            </w:r>
            <w:r>
              <w:rPr>
                <w:rFonts w:ascii="Times New Roman" w:hAnsi="Times New Roman" w:cs="Times New Roman"/>
                <w:sz w:val="18"/>
                <w:szCs w:val="18"/>
              </w:rPr>
              <w:t>]</w:t>
            </w:r>
          </w:p>
        </w:tc>
        <w:tc>
          <w:tcPr>
            <w:tcW w:w="1011" w:type="pct"/>
            <w:tcBorders>
              <w:top w:val="nil"/>
              <w:left w:val="nil"/>
              <w:bottom w:val="nil"/>
              <w:right w:val="nil"/>
            </w:tcBorders>
            <w:noWrap w:val="0"/>
            <w:tcMar>
              <w:top w:w="-1" w:type="dxa"/>
              <w:left w:w="-1" w:type="dxa"/>
              <w:bottom w:w="-1" w:type="dxa"/>
              <w:right w:w="-1" w:type="dxa"/>
            </w:tcMar>
            <w:vAlign w:val="center"/>
          </w:tcPr>
          <w:p w14:paraId="77E73106">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GHSR/MAL</w:t>
            </w:r>
          </w:p>
        </w:tc>
        <w:tc>
          <w:tcPr>
            <w:tcW w:w="1034" w:type="pct"/>
            <w:tcBorders>
              <w:top w:val="nil"/>
              <w:left w:val="nil"/>
              <w:bottom w:val="nil"/>
              <w:right w:val="nil"/>
            </w:tcBorders>
            <w:noWrap w:val="0"/>
            <w:tcMar>
              <w:top w:w="-1" w:type="dxa"/>
              <w:left w:w="-1" w:type="dxa"/>
              <w:bottom w:w="-1" w:type="dxa"/>
              <w:right w:w="-1" w:type="dxa"/>
            </w:tcMar>
            <w:vAlign w:val="center"/>
          </w:tcPr>
          <w:p w14:paraId="5C0AC9D0">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Bladder</w:t>
            </w:r>
          </w:p>
        </w:tc>
        <w:tc>
          <w:tcPr>
            <w:tcW w:w="526" w:type="pct"/>
            <w:tcBorders>
              <w:top w:val="nil"/>
              <w:left w:val="nil"/>
              <w:bottom w:val="nil"/>
              <w:right w:val="nil"/>
            </w:tcBorders>
            <w:noWrap w:val="0"/>
            <w:tcMar>
              <w:top w:w="-1" w:type="dxa"/>
              <w:left w:w="-1" w:type="dxa"/>
              <w:bottom w:w="-1" w:type="dxa"/>
              <w:right w:w="-1" w:type="dxa"/>
            </w:tcMar>
            <w:vAlign w:val="center"/>
          </w:tcPr>
          <w:p w14:paraId="4E200ADA">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Urine</w:t>
            </w:r>
          </w:p>
        </w:tc>
        <w:tc>
          <w:tcPr>
            <w:tcW w:w="1281" w:type="pct"/>
            <w:tcBorders>
              <w:top w:val="nil"/>
              <w:left w:val="nil"/>
              <w:bottom w:val="nil"/>
              <w:right w:val="nil"/>
            </w:tcBorders>
            <w:noWrap w:val="0"/>
            <w:tcMar>
              <w:top w:w="-1" w:type="dxa"/>
              <w:left w:w="-1" w:type="dxa"/>
              <w:bottom w:w="-1" w:type="dxa"/>
              <w:right w:w="-1" w:type="dxa"/>
            </w:tcMar>
            <w:vAlign w:val="center"/>
          </w:tcPr>
          <w:p w14:paraId="0C8FFFA0">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Bladder-cancer detection/validation</w:t>
            </w:r>
          </w:p>
        </w:tc>
      </w:tr>
      <w:tr w14:paraId="3F6FD2C7">
        <w:tblPrEx>
          <w:tblCellMar>
            <w:top w:w="0" w:type="dxa"/>
            <w:left w:w="108" w:type="dxa"/>
            <w:bottom w:w="0" w:type="dxa"/>
            <w:right w:w="108" w:type="dxa"/>
          </w:tblCellMar>
        </w:tblPrEx>
        <w:trPr>
          <w:jc w:val="center"/>
        </w:trPr>
        <w:tc>
          <w:tcPr>
            <w:tcW w:w="1146" w:type="pct"/>
            <w:tcBorders>
              <w:top w:val="nil"/>
              <w:left w:val="nil"/>
              <w:bottom w:val="nil"/>
              <w:right w:val="nil"/>
            </w:tcBorders>
            <w:noWrap w:val="0"/>
            <w:tcMar>
              <w:top w:w="-1" w:type="dxa"/>
              <w:left w:w="-1" w:type="dxa"/>
              <w:bottom w:w="-1" w:type="dxa"/>
              <w:right w:w="-1" w:type="dxa"/>
            </w:tcMar>
            <w:vAlign w:val="center"/>
          </w:tcPr>
          <w:p w14:paraId="67A55D5A">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TAGMe (Yang et al., 2024) [</w:t>
            </w:r>
            <w:r>
              <w:rPr>
                <w:rFonts w:hint="eastAsia" w:ascii="Times New Roman" w:hAnsi="Times New Roman" w:cs="Times New Roman"/>
                <w:sz w:val="18"/>
                <w:szCs w:val="18"/>
                <w:lang w:val="en-US" w:eastAsia="zh-CN"/>
              </w:rPr>
              <w:t>17</w:t>
            </w:r>
            <w:r>
              <w:rPr>
                <w:rFonts w:ascii="Times New Roman" w:hAnsi="Times New Roman" w:cs="Times New Roman"/>
                <w:sz w:val="18"/>
                <w:szCs w:val="18"/>
              </w:rPr>
              <w:t>]</w:t>
            </w:r>
          </w:p>
        </w:tc>
        <w:tc>
          <w:tcPr>
            <w:tcW w:w="1011" w:type="pct"/>
            <w:tcBorders>
              <w:top w:val="nil"/>
              <w:left w:val="nil"/>
              <w:bottom w:val="nil"/>
              <w:right w:val="nil"/>
            </w:tcBorders>
            <w:noWrap w:val="0"/>
            <w:tcMar>
              <w:top w:w="-1" w:type="dxa"/>
              <w:left w:w="-1" w:type="dxa"/>
              <w:bottom w:w="-1" w:type="dxa"/>
              <w:right w:w="-1" w:type="dxa"/>
            </w:tcMar>
            <w:vAlign w:val="center"/>
          </w:tcPr>
          <w:p w14:paraId="3C58002D">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TAGMe</w:t>
            </w:r>
          </w:p>
        </w:tc>
        <w:tc>
          <w:tcPr>
            <w:tcW w:w="1034" w:type="pct"/>
            <w:tcBorders>
              <w:top w:val="nil"/>
              <w:left w:val="nil"/>
              <w:bottom w:val="nil"/>
              <w:right w:val="nil"/>
            </w:tcBorders>
            <w:noWrap w:val="0"/>
            <w:tcMar>
              <w:top w:w="-1" w:type="dxa"/>
              <w:left w:w="-1" w:type="dxa"/>
              <w:bottom w:w="-1" w:type="dxa"/>
              <w:right w:w="-1" w:type="dxa"/>
            </w:tcMar>
            <w:vAlign w:val="center"/>
          </w:tcPr>
          <w:p w14:paraId="54C7C463">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Universal / urothelial</w:t>
            </w:r>
          </w:p>
        </w:tc>
        <w:tc>
          <w:tcPr>
            <w:tcW w:w="526" w:type="pct"/>
            <w:tcBorders>
              <w:top w:val="nil"/>
              <w:left w:val="nil"/>
              <w:bottom w:val="nil"/>
              <w:right w:val="nil"/>
            </w:tcBorders>
            <w:noWrap w:val="0"/>
            <w:tcMar>
              <w:top w:w="-1" w:type="dxa"/>
              <w:left w:w="-1" w:type="dxa"/>
              <w:bottom w:w="-1" w:type="dxa"/>
              <w:right w:w="-1" w:type="dxa"/>
            </w:tcMar>
            <w:vAlign w:val="center"/>
          </w:tcPr>
          <w:p w14:paraId="5831FCC6">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Urine</w:t>
            </w:r>
          </w:p>
        </w:tc>
        <w:tc>
          <w:tcPr>
            <w:tcW w:w="1281" w:type="pct"/>
            <w:tcBorders>
              <w:top w:val="nil"/>
              <w:left w:val="nil"/>
              <w:bottom w:val="nil"/>
              <w:right w:val="nil"/>
            </w:tcBorders>
            <w:noWrap w:val="0"/>
            <w:tcMar>
              <w:top w:w="-1" w:type="dxa"/>
              <w:left w:w="-1" w:type="dxa"/>
              <w:bottom w:w="-1" w:type="dxa"/>
              <w:right w:w="-1" w:type="dxa"/>
            </w:tcMar>
            <w:vAlign w:val="center"/>
          </w:tcPr>
          <w:p w14:paraId="49956237">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Universal-cancer methylation marker</w:t>
            </w:r>
          </w:p>
        </w:tc>
      </w:tr>
      <w:tr w14:paraId="4E6FF80A">
        <w:tblPrEx>
          <w:tblCellMar>
            <w:top w:w="0" w:type="dxa"/>
            <w:left w:w="108" w:type="dxa"/>
            <w:bottom w:w="0" w:type="dxa"/>
            <w:right w:w="108" w:type="dxa"/>
          </w:tblCellMar>
        </w:tblPrEx>
        <w:trPr>
          <w:jc w:val="center"/>
        </w:trPr>
        <w:tc>
          <w:tcPr>
            <w:tcW w:w="1146" w:type="pct"/>
            <w:tcBorders>
              <w:top w:val="nil"/>
              <w:left w:val="nil"/>
              <w:bottom w:val="nil"/>
              <w:right w:val="nil"/>
            </w:tcBorders>
            <w:noWrap w:val="0"/>
            <w:tcMar>
              <w:top w:w="-1" w:type="dxa"/>
              <w:left w:w="-1" w:type="dxa"/>
              <w:bottom w:w="-1" w:type="dxa"/>
              <w:right w:w="-1" w:type="dxa"/>
            </w:tcMar>
            <w:vAlign w:val="center"/>
          </w:tcPr>
          <w:p w14:paraId="551F7CD4">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TWIST1 (Wan et al., 2024) [1</w:t>
            </w:r>
            <w:r>
              <w:rPr>
                <w:rFonts w:hint="eastAsia" w:ascii="Times New Roman" w:hAnsi="Times New Roman" w:cs="Times New Roman"/>
                <w:sz w:val="18"/>
                <w:szCs w:val="18"/>
                <w:lang w:val="en-US" w:eastAsia="zh-CN"/>
              </w:rPr>
              <w:t>2</w:t>
            </w:r>
            <w:r>
              <w:rPr>
                <w:rFonts w:ascii="Times New Roman" w:hAnsi="Times New Roman" w:cs="Times New Roman"/>
                <w:sz w:val="18"/>
                <w:szCs w:val="18"/>
              </w:rPr>
              <w:t>]</w:t>
            </w:r>
          </w:p>
        </w:tc>
        <w:tc>
          <w:tcPr>
            <w:tcW w:w="1011" w:type="pct"/>
            <w:tcBorders>
              <w:top w:val="nil"/>
              <w:left w:val="nil"/>
              <w:bottom w:val="nil"/>
              <w:right w:val="nil"/>
            </w:tcBorders>
            <w:noWrap w:val="0"/>
            <w:tcMar>
              <w:top w:w="-1" w:type="dxa"/>
              <w:left w:w="-1" w:type="dxa"/>
              <w:bottom w:w="-1" w:type="dxa"/>
              <w:right w:w="-1" w:type="dxa"/>
            </w:tcMar>
            <w:vAlign w:val="center"/>
          </w:tcPr>
          <w:p w14:paraId="43760F79">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TWIST1</w:t>
            </w:r>
          </w:p>
        </w:tc>
        <w:tc>
          <w:tcPr>
            <w:tcW w:w="1034" w:type="pct"/>
            <w:tcBorders>
              <w:top w:val="nil"/>
              <w:left w:val="nil"/>
              <w:bottom w:val="nil"/>
              <w:right w:val="nil"/>
            </w:tcBorders>
            <w:noWrap w:val="0"/>
            <w:tcMar>
              <w:top w:w="-1" w:type="dxa"/>
              <w:left w:w="-1" w:type="dxa"/>
              <w:bottom w:w="-1" w:type="dxa"/>
              <w:right w:w="-1" w:type="dxa"/>
            </w:tcMar>
            <w:vAlign w:val="center"/>
          </w:tcPr>
          <w:p w14:paraId="45BDA905">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Bladder</w:t>
            </w:r>
          </w:p>
        </w:tc>
        <w:tc>
          <w:tcPr>
            <w:tcW w:w="526" w:type="pct"/>
            <w:tcBorders>
              <w:top w:val="nil"/>
              <w:left w:val="nil"/>
              <w:bottom w:val="nil"/>
              <w:right w:val="nil"/>
            </w:tcBorders>
            <w:noWrap w:val="0"/>
            <w:tcMar>
              <w:top w:w="-1" w:type="dxa"/>
              <w:left w:w="-1" w:type="dxa"/>
              <w:bottom w:w="-1" w:type="dxa"/>
              <w:right w:w="-1" w:type="dxa"/>
            </w:tcMar>
            <w:vAlign w:val="center"/>
          </w:tcPr>
          <w:p w14:paraId="626C392C">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Urine</w:t>
            </w:r>
          </w:p>
        </w:tc>
        <w:tc>
          <w:tcPr>
            <w:tcW w:w="1281" w:type="pct"/>
            <w:tcBorders>
              <w:top w:val="nil"/>
              <w:left w:val="nil"/>
              <w:bottom w:val="nil"/>
              <w:right w:val="nil"/>
            </w:tcBorders>
            <w:noWrap w:val="0"/>
            <w:tcMar>
              <w:top w:w="-1" w:type="dxa"/>
              <w:left w:w="-1" w:type="dxa"/>
              <w:bottom w:w="-1" w:type="dxa"/>
              <w:right w:w="-1" w:type="dxa"/>
            </w:tcMar>
            <w:vAlign w:val="center"/>
          </w:tcPr>
          <w:p w14:paraId="53D43635">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Bladder urothelial carcinoma</w:t>
            </w:r>
          </w:p>
        </w:tc>
      </w:tr>
      <w:tr w14:paraId="52A566D9">
        <w:tblPrEx>
          <w:tblCellMar>
            <w:top w:w="0" w:type="dxa"/>
            <w:left w:w="108" w:type="dxa"/>
            <w:bottom w:w="0" w:type="dxa"/>
            <w:right w:w="108" w:type="dxa"/>
          </w:tblCellMar>
        </w:tblPrEx>
        <w:trPr>
          <w:jc w:val="center"/>
        </w:trPr>
        <w:tc>
          <w:tcPr>
            <w:tcW w:w="1146" w:type="pct"/>
            <w:tcBorders>
              <w:top w:val="nil"/>
              <w:left w:val="nil"/>
              <w:bottom w:val="nil"/>
              <w:right w:val="nil"/>
            </w:tcBorders>
            <w:noWrap w:val="0"/>
            <w:tcMar>
              <w:top w:w="-1" w:type="dxa"/>
              <w:left w:w="-1" w:type="dxa"/>
              <w:bottom w:w="-1" w:type="dxa"/>
              <w:right w:w="-1" w:type="dxa"/>
            </w:tcMar>
            <w:vAlign w:val="center"/>
          </w:tcPr>
          <w:p w14:paraId="5C5AB108">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Cxbladder (Lotan et al., 2023) [29]</w:t>
            </w:r>
          </w:p>
        </w:tc>
        <w:tc>
          <w:tcPr>
            <w:tcW w:w="1011" w:type="pct"/>
            <w:tcBorders>
              <w:top w:val="nil"/>
              <w:left w:val="nil"/>
              <w:bottom w:val="nil"/>
              <w:right w:val="nil"/>
            </w:tcBorders>
            <w:noWrap w:val="0"/>
            <w:tcMar>
              <w:top w:w="-1" w:type="dxa"/>
              <w:left w:w="-1" w:type="dxa"/>
              <w:bottom w:w="-1" w:type="dxa"/>
              <w:right w:w="-1" w:type="dxa"/>
            </w:tcMar>
            <w:vAlign w:val="center"/>
          </w:tcPr>
          <w:p w14:paraId="42818B26">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RNA (FGFR3/TERT + others)</w:t>
            </w:r>
          </w:p>
        </w:tc>
        <w:tc>
          <w:tcPr>
            <w:tcW w:w="1034" w:type="pct"/>
            <w:tcBorders>
              <w:top w:val="nil"/>
              <w:left w:val="nil"/>
              <w:bottom w:val="nil"/>
              <w:right w:val="nil"/>
            </w:tcBorders>
            <w:noWrap w:val="0"/>
            <w:tcMar>
              <w:top w:w="-1" w:type="dxa"/>
              <w:left w:w="-1" w:type="dxa"/>
              <w:bottom w:w="-1" w:type="dxa"/>
              <w:right w:w="-1" w:type="dxa"/>
            </w:tcMar>
            <w:vAlign w:val="center"/>
          </w:tcPr>
          <w:p w14:paraId="4943F978">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Urothelial</w:t>
            </w:r>
          </w:p>
        </w:tc>
        <w:tc>
          <w:tcPr>
            <w:tcW w:w="526" w:type="pct"/>
            <w:tcBorders>
              <w:top w:val="nil"/>
              <w:left w:val="nil"/>
              <w:bottom w:val="nil"/>
              <w:right w:val="nil"/>
            </w:tcBorders>
            <w:noWrap w:val="0"/>
            <w:tcMar>
              <w:top w:w="-1" w:type="dxa"/>
              <w:left w:w="-1" w:type="dxa"/>
              <w:bottom w:w="-1" w:type="dxa"/>
              <w:right w:w="-1" w:type="dxa"/>
            </w:tcMar>
            <w:vAlign w:val="center"/>
          </w:tcPr>
          <w:p w14:paraId="144DE716">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Urine</w:t>
            </w:r>
          </w:p>
        </w:tc>
        <w:tc>
          <w:tcPr>
            <w:tcW w:w="1281" w:type="pct"/>
            <w:tcBorders>
              <w:top w:val="nil"/>
              <w:left w:val="nil"/>
              <w:bottom w:val="nil"/>
              <w:right w:val="nil"/>
            </w:tcBorders>
            <w:noWrap w:val="0"/>
            <w:tcMar>
              <w:top w:w="-1" w:type="dxa"/>
              <w:left w:w="-1" w:type="dxa"/>
              <w:bottom w:w="-1" w:type="dxa"/>
              <w:right w:w="-1" w:type="dxa"/>
            </w:tcMar>
            <w:vAlign w:val="center"/>
          </w:tcPr>
          <w:p w14:paraId="04A2E415">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Sens 97%, Spec 90% (urothelial)</w:t>
            </w:r>
          </w:p>
        </w:tc>
      </w:tr>
      <w:tr w14:paraId="380B2D5C">
        <w:tblPrEx>
          <w:tblCellMar>
            <w:top w:w="0" w:type="dxa"/>
            <w:left w:w="108" w:type="dxa"/>
            <w:bottom w:w="0" w:type="dxa"/>
            <w:right w:w="108" w:type="dxa"/>
          </w:tblCellMar>
        </w:tblPrEx>
        <w:trPr>
          <w:jc w:val="center"/>
        </w:trPr>
        <w:tc>
          <w:tcPr>
            <w:tcW w:w="1146" w:type="pct"/>
            <w:tcBorders>
              <w:top w:val="nil"/>
              <w:left w:val="nil"/>
              <w:bottom w:val="nil"/>
              <w:right w:val="nil"/>
            </w:tcBorders>
            <w:noWrap w:val="0"/>
            <w:tcMar>
              <w:top w:w="-1" w:type="dxa"/>
              <w:left w:w="-1" w:type="dxa"/>
              <w:bottom w:w="-1" w:type="dxa"/>
              <w:right w:w="-1" w:type="dxa"/>
            </w:tcMar>
            <w:vAlign w:val="center"/>
          </w:tcPr>
          <w:p w14:paraId="38036467">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Bladder EpiCheck (Witjes et al., 2018) [30]</w:t>
            </w:r>
          </w:p>
        </w:tc>
        <w:tc>
          <w:tcPr>
            <w:tcW w:w="1011" w:type="pct"/>
            <w:tcBorders>
              <w:top w:val="nil"/>
              <w:left w:val="nil"/>
              <w:bottom w:val="nil"/>
              <w:right w:val="nil"/>
            </w:tcBorders>
            <w:noWrap w:val="0"/>
            <w:tcMar>
              <w:top w:w="-1" w:type="dxa"/>
              <w:left w:w="-1" w:type="dxa"/>
              <w:bottom w:w="-1" w:type="dxa"/>
              <w:right w:w="-1" w:type="dxa"/>
            </w:tcMar>
            <w:vAlign w:val="center"/>
          </w:tcPr>
          <w:p w14:paraId="7A040B50">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Methylation</w:t>
            </w:r>
          </w:p>
        </w:tc>
        <w:tc>
          <w:tcPr>
            <w:tcW w:w="1034" w:type="pct"/>
            <w:tcBorders>
              <w:top w:val="nil"/>
              <w:left w:val="nil"/>
              <w:bottom w:val="nil"/>
              <w:right w:val="nil"/>
            </w:tcBorders>
            <w:noWrap w:val="0"/>
            <w:tcMar>
              <w:top w:w="-1" w:type="dxa"/>
              <w:left w:w="-1" w:type="dxa"/>
              <w:bottom w:w="-1" w:type="dxa"/>
              <w:right w:w="-1" w:type="dxa"/>
            </w:tcMar>
            <w:vAlign w:val="center"/>
          </w:tcPr>
          <w:p w14:paraId="297C5ADD">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Bladder</w:t>
            </w:r>
          </w:p>
        </w:tc>
        <w:tc>
          <w:tcPr>
            <w:tcW w:w="526" w:type="pct"/>
            <w:tcBorders>
              <w:top w:val="nil"/>
              <w:left w:val="nil"/>
              <w:bottom w:val="nil"/>
              <w:right w:val="nil"/>
            </w:tcBorders>
            <w:noWrap w:val="0"/>
            <w:tcMar>
              <w:top w:w="-1" w:type="dxa"/>
              <w:left w:w="-1" w:type="dxa"/>
              <w:bottom w:w="-1" w:type="dxa"/>
              <w:right w:w="-1" w:type="dxa"/>
            </w:tcMar>
            <w:vAlign w:val="center"/>
          </w:tcPr>
          <w:p w14:paraId="690AB196">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Urine</w:t>
            </w:r>
          </w:p>
        </w:tc>
        <w:tc>
          <w:tcPr>
            <w:tcW w:w="1281" w:type="pct"/>
            <w:tcBorders>
              <w:top w:val="nil"/>
              <w:left w:val="nil"/>
              <w:bottom w:val="nil"/>
              <w:right w:val="nil"/>
            </w:tcBorders>
            <w:noWrap w:val="0"/>
            <w:tcMar>
              <w:top w:w="-1" w:type="dxa"/>
              <w:left w:w="-1" w:type="dxa"/>
              <w:bottom w:w="-1" w:type="dxa"/>
              <w:right w:w="-1" w:type="dxa"/>
            </w:tcMar>
            <w:vAlign w:val="center"/>
          </w:tcPr>
          <w:p w14:paraId="62CE2D5E">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Sens 68.2%, Spec 88.0%</w:t>
            </w:r>
          </w:p>
        </w:tc>
      </w:tr>
      <w:tr w14:paraId="3E66127A">
        <w:tblPrEx>
          <w:tblCellMar>
            <w:top w:w="0" w:type="dxa"/>
            <w:left w:w="108" w:type="dxa"/>
            <w:bottom w:w="0" w:type="dxa"/>
            <w:right w:w="108" w:type="dxa"/>
          </w:tblCellMar>
        </w:tblPrEx>
        <w:trPr>
          <w:jc w:val="center"/>
        </w:trPr>
        <w:tc>
          <w:tcPr>
            <w:tcW w:w="1146" w:type="pct"/>
            <w:tcBorders>
              <w:top w:val="nil"/>
              <w:left w:val="nil"/>
              <w:bottom w:val="nil"/>
              <w:right w:val="nil"/>
            </w:tcBorders>
            <w:noWrap w:val="0"/>
            <w:tcMar>
              <w:top w:w="-1" w:type="dxa"/>
              <w:left w:w="-1" w:type="dxa"/>
              <w:bottom w:w="-1" w:type="dxa"/>
              <w:right w:w="-1" w:type="dxa"/>
            </w:tcMar>
            <w:vAlign w:val="center"/>
          </w:tcPr>
          <w:p w14:paraId="14024232">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UroVysion (FISH) [28]</w:t>
            </w:r>
          </w:p>
        </w:tc>
        <w:tc>
          <w:tcPr>
            <w:tcW w:w="1011" w:type="pct"/>
            <w:tcBorders>
              <w:top w:val="nil"/>
              <w:left w:val="nil"/>
              <w:bottom w:val="nil"/>
              <w:right w:val="nil"/>
            </w:tcBorders>
            <w:noWrap w:val="0"/>
            <w:tcMar>
              <w:top w:w="-1" w:type="dxa"/>
              <w:left w:w="-1" w:type="dxa"/>
              <w:bottom w:w="-1" w:type="dxa"/>
              <w:right w:w="-1" w:type="dxa"/>
            </w:tcMar>
            <w:vAlign w:val="center"/>
          </w:tcPr>
          <w:p w14:paraId="78A296D8">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Chromosomal probes</w:t>
            </w:r>
          </w:p>
        </w:tc>
        <w:tc>
          <w:tcPr>
            <w:tcW w:w="1034" w:type="pct"/>
            <w:tcBorders>
              <w:top w:val="nil"/>
              <w:left w:val="nil"/>
              <w:bottom w:val="nil"/>
              <w:right w:val="nil"/>
            </w:tcBorders>
            <w:noWrap w:val="0"/>
            <w:tcMar>
              <w:top w:w="-1" w:type="dxa"/>
              <w:left w:w="-1" w:type="dxa"/>
              <w:bottom w:w="-1" w:type="dxa"/>
              <w:right w:w="-1" w:type="dxa"/>
            </w:tcMar>
            <w:vAlign w:val="center"/>
          </w:tcPr>
          <w:p w14:paraId="11D98282">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Urothelial</w:t>
            </w:r>
          </w:p>
        </w:tc>
        <w:tc>
          <w:tcPr>
            <w:tcW w:w="526" w:type="pct"/>
            <w:tcBorders>
              <w:top w:val="nil"/>
              <w:left w:val="nil"/>
              <w:bottom w:val="nil"/>
              <w:right w:val="nil"/>
            </w:tcBorders>
            <w:noWrap w:val="0"/>
            <w:tcMar>
              <w:top w:w="-1" w:type="dxa"/>
              <w:left w:w="-1" w:type="dxa"/>
              <w:bottom w:w="-1" w:type="dxa"/>
              <w:right w:w="-1" w:type="dxa"/>
            </w:tcMar>
            <w:vAlign w:val="center"/>
          </w:tcPr>
          <w:p w14:paraId="110CD521">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Urine (cells)</w:t>
            </w:r>
          </w:p>
        </w:tc>
        <w:tc>
          <w:tcPr>
            <w:tcW w:w="1281" w:type="pct"/>
            <w:tcBorders>
              <w:top w:val="nil"/>
              <w:left w:val="nil"/>
              <w:bottom w:val="nil"/>
              <w:right w:val="nil"/>
            </w:tcBorders>
            <w:noWrap w:val="0"/>
            <w:tcMar>
              <w:top w:w="-1" w:type="dxa"/>
              <w:left w:w="-1" w:type="dxa"/>
              <w:bottom w:w="-1" w:type="dxa"/>
              <w:right w:w="-1" w:type="dxa"/>
            </w:tcMar>
            <w:vAlign w:val="center"/>
          </w:tcPr>
          <w:p w14:paraId="6FF077A1">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Sens 72%, Spec 83%</w:t>
            </w:r>
          </w:p>
        </w:tc>
      </w:tr>
      <w:tr w14:paraId="29DFD5DF">
        <w:tblPrEx>
          <w:tblCellMar>
            <w:top w:w="0" w:type="dxa"/>
            <w:left w:w="108" w:type="dxa"/>
            <w:bottom w:w="0" w:type="dxa"/>
            <w:right w:w="108" w:type="dxa"/>
          </w:tblCellMar>
        </w:tblPrEx>
        <w:trPr>
          <w:jc w:val="center"/>
        </w:trPr>
        <w:tc>
          <w:tcPr>
            <w:tcW w:w="1146" w:type="pct"/>
            <w:tcBorders>
              <w:top w:val="nil"/>
              <w:left w:val="nil"/>
              <w:bottom w:val="single" w:color="auto" w:sz="12" w:space="0"/>
              <w:right w:val="nil"/>
            </w:tcBorders>
            <w:noWrap w:val="0"/>
            <w:tcMar>
              <w:top w:w="-1" w:type="dxa"/>
              <w:left w:w="-1" w:type="dxa"/>
              <w:bottom w:w="-1" w:type="dxa"/>
              <w:right w:w="-1" w:type="dxa"/>
            </w:tcMar>
            <w:vAlign w:val="center"/>
          </w:tcPr>
          <w:p w14:paraId="418CACA3">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NMP22 BladderChek [31]</w:t>
            </w:r>
          </w:p>
        </w:tc>
        <w:tc>
          <w:tcPr>
            <w:tcW w:w="1011" w:type="pct"/>
            <w:tcBorders>
              <w:top w:val="nil"/>
              <w:left w:val="nil"/>
              <w:bottom w:val="single" w:color="auto" w:sz="12" w:space="0"/>
              <w:right w:val="nil"/>
            </w:tcBorders>
            <w:noWrap w:val="0"/>
            <w:tcMar>
              <w:top w:w="-1" w:type="dxa"/>
              <w:left w:w="-1" w:type="dxa"/>
              <w:bottom w:w="-1" w:type="dxa"/>
              <w:right w:w="-1" w:type="dxa"/>
            </w:tcMar>
            <w:vAlign w:val="center"/>
          </w:tcPr>
          <w:p w14:paraId="14DFC587">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Protein</w:t>
            </w:r>
          </w:p>
        </w:tc>
        <w:tc>
          <w:tcPr>
            <w:tcW w:w="1034" w:type="pct"/>
            <w:tcBorders>
              <w:top w:val="nil"/>
              <w:left w:val="nil"/>
              <w:bottom w:val="single" w:color="auto" w:sz="12" w:space="0"/>
              <w:right w:val="nil"/>
            </w:tcBorders>
            <w:noWrap w:val="0"/>
            <w:tcMar>
              <w:top w:w="-1" w:type="dxa"/>
              <w:left w:w="-1" w:type="dxa"/>
              <w:bottom w:w="-1" w:type="dxa"/>
              <w:right w:w="-1" w:type="dxa"/>
            </w:tcMar>
            <w:vAlign w:val="center"/>
          </w:tcPr>
          <w:p w14:paraId="02E9711E">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Bladder</w:t>
            </w:r>
          </w:p>
        </w:tc>
        <w:tc>
          <w:tcPr>
            <w:tcW w:w="526" w:type="pct"/>
            <w:tcBorders>
              <w:top w:val="nil"/>
              <w:left w:val="nil"/>
              <w:bottom w:val="single" w:color="auto" w:sz="12" w:space="0"/>
              <w:right w:val="nil"/>
            </w:tcBorders>
            <w:noWrap w:val="0"/>
            <w:tcMar>
              <w:top w:w="-1" w:type="dxa"/>
              <w:left w:w="-1" w:type="dxa"/>
              <w:bottom w:w="-1" w:type="dxa"/>
              <w:right w:w="-1" w:type="dxa"/>
            </w:tcMar>
            <w:vAlign w:val="center"/>
          </w:tcPr>
          <w:p w14:paraId="04A93443">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Urine</w:t>
            </w:r>
          </w:p>
        </w:tc>
        <w:tc>
          <w:tcPr>
            <w:tcW w:w="1281" w:type="pct"/>
            <w:tcBorders>
              <w:top w:val="nil"/>
              <w:left w:val="nil"/>
              <w:bottom w:val="single" w:color="auto" w:sz="12" w:space="0"/>
              <w:right w:val="nil"/>
            </w:tcBorders>
            <w:noWrap w:val="0"/>
            <w:tcMar>
              <w:top w:w="-1" w:type="dxa"/>
              <w:left w:w="-1" w:type="dxa"/>
              <w:bottom w:w="-1" w:type="dxa"/>
              <w:right w:w="-1" w:type="dxa"/>
            </w:tcMar>
            <w:vAlign w:val="center"/>
          </w:tcPr>
          <w:p w14:paraId="474CD4BF">
            <w:pPr>
              <w:snapToGrid w:val="0"/>
              <w:ind w:left="0" w:leftChars="0" w:right="0" w:rightChars="0" w:firstLine="0" w:firstLineChars="0"/>
              <w:jc w:val="center"/>
              <w:rPr>
                <w:rFonts w:ascii="Times New Roman" w:hAnsi="Times New Roman" w:cs="Times New Roman"/>
                <w:sz w:val="18"/>
                <w:szCs w:val="18"/>
              </w:rPr>
            </w:pPr>
            <w:r>
              <w:rPr>
                <w:rFonts w:ascii="Times New Roman" w:hAnsi="Times New Roman" w:cs="Times New Roman"/>
                <w:sz w:val="18"/>
                <w:szCs w:val="18"/>
              </w:rPr>
              <w:t>Pooled Sens 56%, Spec 88%</w:t>
            </w:r>
          </w:p>
        </w:tc>
      </w:tr>
    </w:tbl>
    <w:p w14:paraId="42D5B415">
      <w:r>
        <w:rPr>
          <w:rFonts w:ascii="Times New Roman" w:hAnsi="Times New Roman" w:cs="Times New Roman"/>
          <w:i/>
          <w:iCs/>
          <w:sz w:val="21"/>
          <w:szCs w:val="21"/>
        </w:rPr>
        <w:t>The distinguishing feature of PUCD is simultaneous coverage of five urinary-tract malignancies rather than bladder-centric scope. Cross-study comparison is limited by differing populations and designs; a head-to-head comparison in the same cohort is a stated priority for future validation.</w:t>
      </w:r>
    </w:p>
    <w:p w14:paraId="05DC4EB0">
      <w:pPr>
        <w:spacing w:before="120"/>
      </w:pPr>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1"/>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287291"/>
    <w:rsid w:val="004C0647"/>
    <w:rsid w:val="015064FA"/>
    <w:rsid w:val="01F5606E"/>
    <w:rsid w:val="02CD73A2"/>
    <w:rsid w:val="03AC5B1A"/>
    <w:rsid w:val="04110D19"/>
    <w:rsid w:val="049D3B67"/>
    <w:rsid w:val="05891021"/>
    <w:rsid w:val="05EE4029"/>
    <w:rsid w:val="06AC4EB8"/>
    <w:rsid w:val="077E558A"/>
    <w:rsid w:val="094A6EFE"/>
    <w:rsid w:val="0A204BBD"/>
    <w:rsid w:val="0A4724C2"/>
    <w:rsid w:val="0A7964DD"/>
    <w:rsid w:val="0A7B2440"/>
    <w:rsid w:val="0A825391"/>
    <w:rsid w:val="0B613E31"/>
    <w:rsid w:val="0BD404DD"/>
    <w:rsid w:val="0C702816"/>
    <w:rsid w:val="0F1727CE"/>
    <w:rsid w:val="0F5613B9"/>
    <w:rsid w:val="0FA75F06"/>
    <w:rsid w:val="0FCD079E"/>
    <w:rsid w:val="1054157E"/>
    <w:rsid w:val="10F02121"/>
    <w:rsid w:val="116E041E"/>
    <w:rsid w:val="1170002D"/>
    <w:rsid w:val="12C1125D"/>
    <w:rsid w:val="13EE1938"/>
    <w:rsid w:val="140C50F1"/>
    <w:rsid w:val="141B2342"/>
    <w:rsid w:val="166C5148"/>
    <w:rsid w:val="171E505C"/>
    <w:rsid w:val="17322ACF"/>
    <w:rsid w:val="17547300"/>
    <w:rsid w:val="18252C07"/>
    <w:rsid w:val="1886194E"/>
    <w:rsid w:val="19287291"/>
    <w:rsid w:val="19B231FF"/>
    <w:rsid w:val="19C97F90"/>
    <w:rsid w:val="19FE3461"/>
    <w:rsid w:val="1B045C7E"/>
    <w:rsid w:val="1B241DDA"/>
    <w:rsid w:val="1B395F40"/>
    <w:rsid w:val="1C64757C"/>
    <w:rsid w:val="1CCF065D"/>
    <w:rsid w:val="1D715E5C"/>
    <w:rsid w:val="1E7A7BD3"/>
    <w:rsid w:val="1F8D21E7"/>
    <w:rsid w:val="20841ABC"/>
    <w:rsid w:val="225455D2"/>
    <w:rsid w:val="2447371F"/>
    <w:rsid w:val="26E64D9A"/>
    <w:rsid w:val="276227C9"/>
    <w:rsid w:val="276F6846"/>
    <w:rsid w:val="27D01F50"/>
    <w:rsid w:val="28012324"/>
    <w:rsid w:val="283E1E92"/>
    <w:rsid w:val="28C23773"/>
    <w:rsid w:val="28C450BA"/>
    <w:rsid w:val="2ADE440E"/>
    <w:rsid w:val="2BBF75F6"/>
    <w:rsid w:val="2BF55582"/>
    <w:rsid w:val="2C0E6875"/>
    <w:rsid w:val="2D7146C7"/>
    <w:rsid w:val="2D8C0151"/>
    <w:rsid w:val="2DCE076A"/>
    <w:rsid w:val="2E085F4A"/>
    <w:rsid w:val="2E4C52B5"/>
    <w:rsid w:val="2F267D35"/>
    <w:rsid w:val="2F905FEA"/>
    <w:rsid w:val="2FD1036F"/>
    <w:rsid w:val="314108D2"/>
    <w:rsid w:val="32C85FDD"/>
    <w:rsid w:val="33925D96"/>
    <w:rsid w:val="34542D5E"/>
    <w:rsid w:val="34B24500"/>
    <w:rsid w:val="352E5F92"/>
    <w:rsid w:val="363B1E59"/>
    <w:rsid w:val="36A306E2"/>
    <w:rsid w:val="37651210"/>
    <w:rsid w:val="37DA7D0B"/>
    <w:rsid w:val="37E41DF4"/>
    <w:rsid w:val="38044B88"/>
    <w:rsid w:val="3933799F"/>
    <w:rsid w:val="39443580"/>
    <w:rsid w:val="396F1653"/>
    <w:rsid w:val="39855B1C"/>
    <w:rsid w:val="3A3744FF"/>
    <w:rsid w:val="3B11613A"/>
    <w:rsid w:val="3B3D2A8B"/>
    <w:rsid w:val="3B9F7F16"/>
    <w:rsid w:val="3BC91BD6"/>
    <w:rsid w:val="3C261162"/>
    <w:rsid w:val="3C5324A4"/>
    <w:rsid w:val="3C7A3459"/>
    <w:rsid w:val="3CAE0CB8"/>
    <w:rsid w:val="3D0C4E0B"/>
    <w:rsid w:val="3D856E47"/>
    <w:rsid w:val="3DEC2546"/>
    <w:rsid w:val="3E330A51"/>
    <w:rsid w:val="3FAF1A7E"/>
    <w:rsid w:val="40214B75"/>
    <w:rsid w:val="41FA1D1A"/>
    <w:rsid w:val="42A3673D"/>
    <w:rsid w:val="42CB2783"/>
    <w:rsid w:val="443641A1"/>
    <w:rsid w:val="45F71534"/>
    <w:rsid w:val="46F93BF0"/>
    <w:rsid w:val="490A0962"/>
    <w:rsid w:val="49444C15"/>
    <w:rsid w:val="4BC775BA"/>
    <w:rsid w:val="4C39659B"/>
    <w:rsid w:val="4C89761F"/>
    <w:rsid w:val="4D3306CF"/>
    <w:rsid w:val="4D3D552C"/>
    <w:rsid w:val="4D51163C"/>
    <w:rsid w:val="4E1F5F2A"/>
    <w:rsid w:val="4EFD6C08"/>
    <w:rsid w:val="51597128"/>
    <w:rsid w:val="51BC0B12"/>
    <w:rsid w:val="52251991"/>
    <w:rsid w:val="52E43B5E"/>
    <w:rsid w:val="539D5540"/>
    <w:rsid w:val="545F7ABE"/>
    <w:rsid w:val="54B9117B"/>
    <w:rsid w:val="557B1212"/>
    <w:rsid w:val="55897189"/>
    <w:rsid w:val="56AC3541"/>
    <w:rsid w:val="57EC6C5D"/>
    <w:rsid w:val="58093FC9"/>
    <w:rsid w:val="58500FE3"/>
    <w:rsid w:val="59F65280"/>
    <w:rsid w:val="59FA5928"/>
    <w:rsid w:val="5A5E4E38"/>
    <w:rsid w:val="5C8512A1"/>
    <w:rsid w:val="5D3C0503"/>
    <w:rsid w:val="5DA92EF3"/>
    <w:rsid w:val="5DCA7D57"/>
    <w:rsid w:val="5DDC3F2E"/>
    <w:rsid w:val="5DE33327"/>
    <w:rsid w:val="5EA04F5B"/>
    <w:rsid w:val="5F634CB3"/>
    <w:rsid w:val="60265228"/>
    <w:rsid w:val="60A471D7"/>
    <w:rsid w:val="61980ED3"/>
    <w:rsid w:val="623A1132"/>
    <w:rsid w:val="624870F5"/>
    <w:rsid w:val="62B46BEE"/>
    <w:rsid w:val="64086C57"/>
    <w:rsid w:val="646709F5"/>
    <w:rsid w:val="64C70F64"/>
    <w:rsid w:val="64FB2EEB"/>
    <w:rsid w:val="651C2641"/>
    <w:rsid w:val="65D00B23"/>
    <w:rsid w:val="671F2A97"/>
    <w:rsid w:val="68012F0F"/>
    <w:rsid w:val="69D73EA3"/>
    <w:rsid w:val="6AC30C61"/>
    <w:rsid w:val="6BA52328"/>
    <w:rsid w:val="6C39222C"/>
    <w:rsid w:val="6CE66A13"/>
    <w:rsid w:val="6D1234C8"/>
    <w:rsid w:val="6D395B76"/>
    <w:rsid w:val="6D8919EE"/>
    <w:rsid w:val="6D89797F"/>
    <w:rsid w:val="6FDC0F91"/>
    <w:rsid w:val="6FEB109A"/>
    <w:rsid w:val="70A9243F"/>
    <w:rsid w:val="7193363A"/>
    <w:rsid w:val="727A3305"/>
    <w:rsid w:val="750B670C"/>
    <w:rsid w:val="75BA5FEB"/>
    <w:rsid w:val="760B398A"/>
    <w:rsid w:val="785B7092"/>
    <w:rsid w:val="79155A22"/>
    <w:rsid w:val="7A4A10A2"/>
    <w:rsid w:val="7ADD2196"/>
    <w:rsid w:val="7AF522B9"/>
    <w:rsid w:val="7B060095"/>
    <w:rsid w:val="7B3A4316"/>
    <w:rsid w:val="7B6718DB"/>
    <w:rsid w:val="7BD007D6"/>
    <w:rsid w:val="7C686C61"/>
    <w:rsid w:val="7C99506C"/>
    <w:rsid w:val="7CB2612E"/>
    <w:rsid w:val="7CC82DD2"/>
    <w:rsid w:val="7DBF1A3E"/>
    <w:rsid w:val="7FC74D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0"/>
      <w:szCs w:val="22"/>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Strong"/>
    <w:basedOn w:val="5"/>
    <w:qFormat/>
    <w:uiPriority w:val="0"/>
    <w:rPr>
      <w:b/>
    </w:rPr>
  </w:style>
  <w:style w:type="character" w:styleId="7">
    <w:name w:val="Emphasis"/>
    <w:basedOn w:val="5"/>
    <w:qFormat/>
    <w:uiPriority w:val="0"/>
    <w:rPr>
      <w:i/>
    </w:rPr>
  </w:style>
  <w:style w:type="character" w:customStyle="1" w:styleId="8">
    <w:name w:val="font21"/>
    <w:basedOn w:val="5"/>
    <w:qFormat/>
    <w:uiPriority w:val="0"/>
    <w:rPr>
      <w:rFonts w:hint="default" w:ascii="Times New Roman" w:hAnsi="Times New Roman" w:cs="Times New Roman"/>
      <w:b/>
      <w:bCs/>
      <w:color w:val="000000"/>
      <w:sz w:val="21"/>
      <w:szCs w:val="21"/>
      <w:u w:val="none"/>
    </w:rPr>
  </w:style>
  <w:style w:type="paragraph" w:customStyle="1" w:styleId="9">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0">
    <w:name w:val="Paragraph"/>
    <w:basedOn w:val="1"/>
    <w:qFormat/>
    <w:uiPriority w:val="0"/>
    <w:pPr>
      <w:widowControl/>
      <w:spacing w:before="120"/>
      <w:ind w:firstLine="720"/>
      <w:jc w:val="left"/>
    </w:pPr>
    <w:rPr>
      <w:rFonts w:ascii="Times New Roman" w:hAnsi="Times New Roman" w:cs="Times New Roman"/>
      <w:kern w:val="0"/>
      <w:sz w:val="24"/>
      <w:szCs w:val="24"/>
      <w:lang w:eastAsia="en-US"/>
    </w:rPr>
  </w:style>
  <w:style w:type="paragraph" w:customStyle="1" w:styleId="11">
    <w:name w:val="Acknowledgement"/>
    <w:basedOn w:val="1"/>
    <w:qFormat/>
    <w:uiPriority w:val="0"/>
    <w:pPr>
      <w:widowControl/>
      <w:spacing w:before="120"/>
      <w:ind w:left="720" w:hanging="720"/>
      <w:jc w:val="left"/>
    </w:pPr>
    <w:rPr>
      <w:rFonts w:ascii="Times New Roman" w:hAnsi="Times New Roman" w:cs="Times New Roman"/>
      <w:kern w:val="0"/>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f0b8ffa2-ace3-485c-83bd-9b49b74420eb}">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3308</Words>
  <Characters>19007</Characters>
  <Lines>0</Lines>
  <Paragraphs>0</Paragraphs>
  <TotalTime>0</TotalTime>
  <ScaleCrop>false</ScaleCrop>
  <LinksUpToDate>false</LinksUpToDate>
  <CharactersWithSpaces>21290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2025-12-26T03:11:00Z</dcterms:created>
  <dc:creator>万鲲-18655453250</dc:creator>
  <cp:lastModifiedBy>万鲲-18655453250</cp:lastModifiedBy>
  <dcterms:modified xsi:type="dcterms:W3CDTF">2026-09-24T11:06:45Z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822F5AC24C0C44088A8DE63E0DBB3FBD_13</vt:lpwstr>
  </property>
  <property fmtid="{D5CDD505-2E9C-101B-9397-08002B2CF9AE}" pid="4" name="KSOTemplateDocerSaveRecord">
    <vt:lpwstr>eyJoZGlkIjoiOWYyZGMxMDA3NzFhMzc4YWIzY2Q4YTkxMTdkOTA0M2EiLCJ1c2VySWQiOiI2MDI4MjY1ODkifQ==</vt:lpwstr>
  </property>
</Properties>
</file>