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ACE70">
      <w:pPr>
        <w:pStyle w:val="31"/>
        <w:keepNext w:val="0"/>
        <w:keepLines w:val="0"/>
        <w:widowControl/>
        <w:spacing w:line="276" w:lineRule="auto"/>
        <w:ind w:left="0" w:right="0" w:firstLine="0"/>
        <w:jc w:val="center"/>
        <w:rPr>
          <w:rFonts w:hint="default" w:eastAsia="宋体"/>
          <w:lang w:val="en-US" w:eastAsia="zh-CN"/>
        </w:rPr>
      </w:pPr>
      <w:bookmarkStart w:id="0" w:name="_GoBack"/>
      <w:r>
        <w:rPr>
          <w:rFonts w:ascii="Times New Roman" w:hAnsi="Times New Roman"/>
          <w:color w:val="000000"/>
        </w:rPr>
        <w:t xml:space="preserve">Supplementary </w:t>
      </w:r>
      <w:r>
        <w:rPr>
          <w:rFonts w:hint="eastAsia" w:eastAsia="宋体"/>
          <w:color w:val="000000"/>
          <w:lang w:val="en-US" w:eastAsia="zh-CN"/>
        </w:rPr>
        <w:t>Materials</w:t>
      </w:r>
    </w:p>
    <w:bookmarkEnd w:id="0"/>
    <w:p w14:paraId="315CFB8A">
      <w:pPr>
        <w:pStyle w:val="3"/>
        <w:keepNext/>
        <w:keepLines w:val="0"/>
        <w:pageBreakBefore w:val="0"/>
        <w:widowControl/>
        <w:spacing w:line="276" w:lineRule="auto"/>
        <w:ind w:left="0" w:right="0" w:firstLine="0"/>
        <w:jc w:val="left"/>
      </w:pPr>
      <w:r>
        <w:rPr>
          <w:rFonts w:ascii="Times New Roman" w:hAnsi="Times New Roman"/>
          <w:color w:val="000000"/>
        </w:rPr>
        <w:t>Supplementary Figure S1. Independent synovial expression validation</w:t>
      </w:r>
    </w:p>
    <w:p w14:paraId="0C7086FC">
      <w:pPr>
        <w:keepNext/>
        <w:keepLines w:val="0"/>
        <w:widowControl/>
        <w:spacing w:after="120" w:line="240" w:lineRule="auto"/>
        <w:ind w:left="0" w:right="0" w:firstLine="0"/>
        <w:jc w:val="center"/>
      </w:pPr>
      <w:r>
        <w:rPr>
          <w:rFonts w:ascii="Times New Roman" w:hAnsi="Times New Roman"/>
          <w:color w:val="000000"/>
        </w:rPr>
        <w:drawing>
          <wp:inline distT="0" distB="0" distL="114300" distR="114300">
            <wp:extent cx="4983480" cy="3996055"/>
            <wp:effectExtent l="0" t="0" r="7620" b="4445"/>
            <wp:docPr id="1" name="Picture 1" descr="LIPT1 and MTF1 expression in GSE89408, unchanged validation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IPT1 and MTF1 expression in GSE89408, unchanged validation figure"/>
                    <pic:cNvPicPr>
                      <a:picLocks noChangeAspect="1"/>
                    </pic:cNvPicPr>
                  </pic:nvPicPr>
                  <pic:blipFill>
                    <a:blip r:embed="rId7"/>
                    <a:stretch>
                      <a:fillRect/>
                    </a:stretch>
                  </pic:blipFill>
                  <pic:spPr>
                    <a:xfrm>
                      <a:off x="0" y="0"/>
                      <a:ext cx="4983480" cy="3996474"/>
                    </a:xfrm>
                    <a:prstGeom prst="rect">
                      <a:avLst/>
                    </a:prstGeom>
                  </pic:spPr>
                </pic:pic>
              </a:graphicData>
            </a:graphic>
          </wp:inline>
        </w:drawing>
      </w:r>
    </w:p>
    <w:p w14:paraId="5829AE75">
      <w:pPr>
        <w:keepNext w:val="0"/>
        <w:keepLines w:val="0"/>
        <w:widowControl/>
        <w:spacing w:line="276" w:lineRule="auto"/>
        <w:ind w:left="0" w:right="0" w:firstLine="0"/>
        <w:jc w:val="left"/>
      </w:pPr>
      <w:r>
        <w:t>Expression of (A) LIPT1 and (B) MTF1 in healthy synovial biopsies (n = 28) and rheumatoid arthritis (RA) synovial biopsies (n = 152) from GSE89408. Each point represents one participant. RNA-Seq by Expectation-Maximization (RSEM) feature counts were normalized using median-of-ratios sample size factors and displayed as log2(normalized count + 1). Comparisons used two-sided Mann–Whitney U tests with Benjamini–Hochberg adjustment across the two genes. LIPT1: U = 3140.0, P = 6.55 × 10⁻⁵, adjusted P = 1.31 × 10⁻⁴; MTF1: U = 1833.0, P = 0.245, adjusted P = 0.245. Significance symbols refer to adjusted P values: ***P &lt; 0.001; ns, not significant.</w:t>
      </w:r>
    </w:p>
    <w:p w14:paraId="59416B4A">
      <w:pPr>
        <w:pStyle w:val="3"/>
        <w:keepNext/>
        <w:keepLines w:val="0"/>
        <w:pageBreakBefore/>
        <w:widowControl/>
        <w:spacing w:line="276" w:lineRule="auto"/>
        <w:ind w:left="0" w:right="0" w:firstLine="0"/>
        <w:jc w:val="left"/>
      </w:pPr>
      <w:r>
        <w:rPr>
          <w:rFonts w:ascii="Times New Roman" w:hAnsi="Times New Roman"/>
          <w:color w:val="000000"/>
        </w:rPr>
        <w:t>Supplementary Figure S2. Western blot source images</w:t>
      </w:r>
    </w:p>
    <w:p w14:paraId="2C6184EF">
      <w:pPr>
        <w:keepNext/>
        <w:keepLines w:val="0"/>
        <w:widowControl/>
        <w:spacing w:line="276" w:lineRule="auto"/>
        <w:ind w:left="0" w:right="0" w:firstLine="0"/>
        <w:jc w:val="left"/>
      </w:pPr>
      <w:r>
        <w:t>(A) Source images corresponding to main Figure 5G. Lanes 1–3, healthy controls (HCs); lanes 4–6, rheumatoid arthritis (RA).</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68"/>
        <w:gridCol w:w="3168"/>
        <w:gridCol w:w="3168"/>
      </w:tblGrid>
      <w:tr w14:paraId="02668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168" w:type="dxa"/>
            <w:tcMar>
              <w:top w:w="0" w:type="dxa"/>
              <w:left w:w="0" w:type="dxa"/>
              <w:bottom w:w="0" w:type="dxa"/>
              <w:right w:w="0" w:type="dxa"/>
            </w:tcMar>
            <w:vAlign w:val="top"/>
          </w:tcPr>
          <w:p w14:paraId="2DC19E01">
            <w:pPr>
              <w:keepNext/>
              <w:widowControl/>
              <w:spacing w:before="0" w:after="40" w:line="240" w:lineRule="auto"/>
              <w:jc w:val="center"/>
            </w:pPr>
            <w:r>
              <w:rPr>
                <w:b/>
                <w:sz w:val="21"/>
              </w:rPr>
              <w:t>β-actin</w:t>
            </w:r>
          </w:p>
          <w:p w14:paraId="6285FA28">
            <w:pPr>
              <w:widowControl/>
              <w:spacing w:before="0" w:after="60" w:line="240" w:lineRule="auto"/>
              <w:jc w:val="center"/>
            </w:pPr>
            <w:r>
              <w:drawing>
                <wp:inline distT="0" distB="0" distL="114300" distR="114300">
                  <wp:extent cx="1856105" cy="1485900"/>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8"/>
                          <a:stretch>
                            <a:fillRect/>
                          </a:stretch>
                        </pic:blipFill>
                        <pic:spPr>
                          <a:xfrm>
                            <a:off x="0" y="0"/>
                            <a:ext cx="1856231" cy="1486066"/>
                          </a:xfrm>
                          <a:prstGeom prst="rect">
                            <a:avLst/>
                          </a:prstGeom>
                        </pic:spPr>
                      </pic:pic>
                    </a:graphicData>
                  </a:graphic>
                </wp:inline>
              </w:drawing>
            </w:r>
          </w:p>
        </w:tc>
        <w:tc>
          <w:tcPr>
            <w:tcW w:w="3168" w:type="dxa"/>
            <w:tcMar>
              <w:top w:w="0" w:type="dxa"/>
              <w:left w:w="0" w:type="dxa"/>
              <w:bottom w:w="0" w:type="dxa"/>
              <w:right w:w="0" w:type="dxa"/>
            </w:tcMar>
            <w:vAlign w:val="top"/>
          </w:tcPr>
          <w:p w14:paraId="506ECF3D">
            <w:pPr>
              <w:keepNext/>
              <w:widowControl/>
              <w:spacing w:before="0" w:after="40" w:line="240" w:lineRule="auto"/>
              <w:jc w:val="center"/>
            </w:pPr>
            <w:r>
              <w:rPr>
                <w:b/>
                <w:sz w:val="21"/>
              </w:rPr>
              <w:t>LIPT1</w:t>
            </w:r>
          </w:p>
          <w:p w14:paraId="35F45485">
            <w:pPr>
              <w:widowControl/>
              <w:spacing w:before="0" w:after="60" w:line="240" w:lineRule="auto"/>
              <w:jc w:val="center"/>
            </w:pPr>
            <w:r>
              <w:drawing>
                <wp:inline distT="0" distB="0" distL="114300" distR="114300">
                  <wp:extent cx="1856105" cy="1485900"/>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9"/>
                          <a:stretch>
                            <a:fillRect/>
                          </a:stretch>
                        </pic:blipFill>
                        <pic:spPr>
                          <a:xfrm>
                            <a:off x="0" y="0"/>
                            <a:ext cx="1856231" cy="1486066"/>
                          </a:xfrm>
                          <a:prstGeom prst="rect">
                            <a:avLst/>
                          </a:prstGeom>
                        </pic:spPr>
                      </pic:pic>
                    </a:graphicData>
                  </a:graphic>
                </wp:inline>
              </w:drawing>
            </w:r>
          </w:p>
        </w:tc>
        <w:tc>
          <w:tcPr>
            <w:tcW w:w="3168" w:type="dxa"/>
            <w:tcMar>
              <w:top w:w="0" w:type="dxa"/>
              <w:left w:w="0" w:type="dxa"/>
              <w:bottom w:w="0" w:type="dxa"/>
              <w:right w:w="0" w:type="dxa"/>
            </w:tcMar>
            <w:vAlign w:val="top"/>
          </w:tcPr>
          <w:p w14:paraId="7317227B">
            <w:pPr>
              <w:keepNext/>
              <w:widowControl/>
              <w:spacing w:before="0" w:after="40" w:line="240" w:lineRule="auto"/>
              <w:jc w:val="center"/>
            </w:pPr>
            <w:r>
              <w:rPr>
                <w:b/>
                <w:sz w:val="21"/>
              </w:rPr>
              <w:t>MTF1</w:t>
            </w:r>
          </w:p>
          <w:p w14:paraId="64A9A3AF">
            <w:pPr>
              <w:widowControl/>
              <w:spacing w:before="0" w:after="60" w:line="240" w:lineRule="auto"/>
              <w:jc w:val="center"/>
            </w:pPr>
            <w:r>
              <w:drawing>
                <wp:inline distT="0" distB="0" distL="114300" distR="114300">
                  <wp:extent cx="1856105" cy="1485900"/>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0"/>
                          <a:stretch>
                            <a:fillRect/>
                          </a:stretch>
                        </pic:blipFill>
                        <pic:spPr>
                          <a:xfrm>
                            <a:off x="0" y="0"/>
                            <a:ext cx="1856231" cy="1486066"/>
                          </a:xfrm>
                          <a:prstGeom prst="rect">
                            <a:avLst/>
                          </a:prstGeom>
                        </pic:spPr>
                      </pic:pic>
                    </a:graphicData>
                  </a:graphic>
                </wp:inline>
              </w:drawing>
            </w:r>
          </w:p>
        </w:tc>
      </w:tr>
    </w:tbl>
    <w:p w14:paraId="108052E9">
      <w:pPr>
        <w:keepNext/>
        <w:keepLines w:val="0"/>
        <w:widowControl/>
        <w:spacing w:line="276" w:lineRule="auto"/>
        <w:ind w:left="0" w:right="0" w:firstLine="0"/>
        <w:jc w:val="left"/>
      </w:pPr>
      <w:r>
        <w:t>(B) Source images corresponding to main Figure 6H. Lanes 1–4, FLS, RA-FLS, RA-FLS + si-LIPT1, and RA-FLS + si-NC, respectively.</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52"/>
        <w:gridCol w:w="4752"/>
      </w:tblGrid>
      <w:tr w14:paraId="7BA5A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752" w:type="dxa"/>
            <w:tcMar>
              <w:top w:w="0" w:type="dxa"/>
              <w:left w:w="0" w:type="dxa"/>
              <w:bottom w:w="0" w:type="dxa"/>
              <w:right w:w="0" w:type="dxa"/>
            </w:tcMar>
            <w:vAlign w:val="top"/>
          </w:tcPr>
          <w:p w14:paraId="4BA80085">
            <w:pPr>
              <w:keepNext/>
              <w:widowControl/>
              <w:spacing w:before="0" w:after="40" w:line="240" w:lineRule="auto"/>
              <w:jc w:val="center"/>
            </w:pPr>
            <w:r>
              <w:rPr>
                <w:b/>
                <w:sz w:val="21"/>
              </w:rPr>
              <w:t>β-actin</w:t>
            </w:r>
          </w:p>
          <w:p w14:paraId="22EAB6F2">
            <w:pPr>
              <w:widowControl/>
              <w:spacing w:before="0" w:after="60" w:line="240" w:lineRule="auto"/>
              <w:jc w:val="center"/>
            </w:pPr>
            <w:r>
              <w:drawing>
                <wp:inline distT="0" distB="0" distL="114300" distR="114300">
                  <wp:extent cx="2303780" cy="1844675"/>
                  <wp:effectExtent l="0" t="0" r="127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1"/>
                          <a:stretch>
                            <a:fillRect/>
                          </a:stretch>
                        </pic:blipFill>
                        <pic:spPr>
                          <a:xfrm>
                            <a:off x="0" y="0"/>
                            <a:ext cx="2304288" cy="1844772"/>
                          </a:xfrm>
                          <a:prstGeom prst="rect">
                            <a:avLst/>
                          </a:prstGeom>
                        </pic:spPr>
                      </pic:pic>
                    </a:graphicData>
                  </a:graphic>
                </wp:inline>
              </w:drawing>
            </w:r>
          </w:p>
        </w:tc>
        <w:tc>
          <w:tcPr>
            <w:tcW w:w="4752" w:type="dxa"/>
            <w:tcMar>
              <w:top w:w="0" w:type="dxa"/>
              <w:left w:w="0" w:type="dxa"/>
              <w:bottom w:w="0" w:type="dxa"/>
              <w:right w:w="0" w:type="dxa"/>
            </w:tcMar>
            <w:vAlign w:val="top"/>
          </w:tcPr>
          <w:p w14:paraId="55794922">
            <w:pPr>
              <w:keepNext/>
              <w:widowControl/>
              <w:spacing w:before="0" w:after="40" w:line="240" w:lineRule="auto"/>
              <w:jc w:val="center"/>
            </w:pPr>
            <w:r>
              <w:rPr>
                <w:b/>
                <w:sz w:val="21"/>
              </w:rPr>
              <w:t>LIPT1</w:t>
            </w:r>
          </w:p>
          <w:p w14:paraId="1053F117">
            <w:pPr>
              <w:widowControl/>
              <w:spacing w:before="0" w:after="60" w:line="240" w:lineRule="auto"/>
              <w:jc w:val="center"/>
            </w:pPr>
            <w:r>
              <w:drawing>
                <wp:inline distT="0" distB="0" distL="114300" distR="114300">
                  <wp:extent cx="2303780" cy="1844675"/>
                  <wp:effectExtent l="0" t="0" r="127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2"/>
                          <a:stretch>
                            <a:fillRect/>
                          </a:stretch>
                        </pic:blipFill>
                        <pic:spPr>
                          <a:xfrm>
                            <a:off x="0" y="0"/>
                            <a:ext cx="2304288" cy="1844772"/>
                          </a:xfrm>
                          <a:prstGeom prst="rect">
                            <a:avLst/>
                          </a:prstGeom>
                        </pic:spPr>
                      </pic:pic>
                    </a:graphicData>
                  </a:graphic>
                </wp:inline>
              </w:drawing>
            </w:r>
          </w:p>
        </w:tc>
      </w:tr>
      <w:tr w14:paraId="2D9FD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752" w:type="dxa"/>
            <w:tcMar>
              <w:top w:w="0" w:type="dxa"/>
              <w:left w:w="0" w:type="dxa"/>
              <w:bottom w:w="0" w:type="dxa"/>
              <w:right w:w="0" w:type="dxa"/>
            </w:tcMar>
            <w:vAlign w:val="top"/>
          </w:tcPr>
          <w:p w14:paraId="58976FAD">
            <w:pPr>
              <w:keepNext/>
              <w:widowControl/>
              <w:spacing w:before="0" w:after="40" w:line="240" w:lineRule="auto"/>
              <w:jc w:val="center"/>
            </w:pPr>
            <w:r>
              <w:rPr>
                <w:b/>
                <w:sz w:val="21"/>
              </w:rPr>
              <w:t>Wnt-5</w:t>
            </w:r>
          </w:p>
          <w:p w14:paraId="148D0BEB">
            <w:pPr>
              <w:widowControl/>
              <w:spacing w:before="0" w:after="60" w:line="240" w:lineRule="auto"/>
              <w:jc w:val="center"/>
            </w:pPr>
            <w:r>
              <w:drawing>
                <wp:inline distT="0" distB="0" distL="114300" distR="114300">
                  <wp:extent cx="2303780" cy="1844675"/>
                  <wp:effectExtent l="0" t="0" r="127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13"/>
                          <a:stretch>
                            <a:fillRect/>
                          </a:stretch>
                        </pic:blipFill>
                        <pic:spPr>
                          <a:xfrm>
                            <a:off x="0" y="0"/>
                            <a:ext cx="2304288" cy="1844772"/>
                          </a:xfrm>
                          <a:prstGeom prst="rect">
                            <a:avLst/>
                          </a:prstGeom>
                        </pic:spPr>
                      </pic:pic>
                    </a:graphicData>
                  </a:graphic>
                </wp:inline>
              </w:drawing>
            </w:r>
          </w:p>
        </w:tc>
        <w:tc>
          <w:tcPr>
            <w:tcW w:w="4752" w:type="dxa"/>
            <w:tcMar>
              <w:top w:w="0" w:type="dxa"/>
              <w:left w:w="0" w:type="dxa"/>
              <w:bottom w:w="0" w:type="dxa"/>
              <w:right w:w="0" w:type="dxa"/>
            </w:tcMar>
            <w:vAlign w:val="top"/>
          </w:tcPr>
          <w:p w14:paraId="55ACD32C">
            <w:pPr>
              <w:keepNext/>
              <w:widowControl/>
              <w:spacing w:before="0" w:after="40" w:line="240" w:lineRule="auto"/>
              <w:jc w:val="center"/>
            </w:pPr>
            <w:r>
              <w:rPr>
                <w:b/>
                <w:sz w:val="21"/>
              </w:rPr>
              <w:t>β-catenin</w:t>
            </w:r>
          </w:p>
          <w:p w14:paraId="2CAE99A7">
            <w:pPr>
              <w:widowControl/>
              <w:spacing w:before="0" w:after="60" w:line="240" w:lineRule="auto"/>
              <w:jc w:val="center"/>
            </w:pPr>
            <w:r>
              <w:drawing>
                <wp:inline distT="0" distB="0" distL="114300" distR="114300">
                  <wp:extent cx="2303780" cy="1844675"/>
                  <wp:effectExtent l="0" t="0" r="127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4"/>
                          <a:stretch>
                            <a:fillRect/>
                          </a:stretch>
                        </pic:blipFill>
                        <pic:spPr>
                          <a:xfrm>
                            <a:off x="0" y="0"/>
                            <a:ext cx="2304288" cy="1844772"/>
                          </a:xfrm>
                          <a:prstGeom prst="rect">
                            <a:avLst/>
                          </a:prstGeom>
                        </pic:spPr>
                      </pic:pic>
                    </a:graphicData>
                  </a:graphic>
                </wp:inline>
              </w:drawing>
            </w:r>
          </w:p>
        </w:tc>
      </w:tr>
    </w:tbl>
    <w:p w14:paraId="285B8669">
      <w:pPr>
        <w:keepNext w:val="0"/>
        <w:keepLines w:val="0"/>
        <w:widowControl/>
        <w:spacing w:line="276" w:lineRule="auto"/>
        <w:ind w:left="0" w:right="0" w:firstLine="0"/>
        <w:jc w:val="left"/>
      </w:pPr>
      <w:r>
        <w:t>FLS, fibroblast-like synoviocytes; si-NC, non-targeting scrambled siRNA control. Panel C continues on the following page.</w:t>
      </w:r>
    </w:p>
    <w:p w14:paraId="53B3C62D">
      <w:pPr>
        <w:pStyle w:val="3"/>
        <w:keepNext/>
        <w:keepLines w:val="0"/>
        <w:pageBreakBefore/>
        <w:widowControl/>
        <w:spacing w:line="276" w:lineRule="auto"/>
        <w:ind w:left="0" w:right="0" w:firstLine="0"/>
        <w:jc w:val="left"/>
      </w:pPr>
      <w:r>
        <w:t>Supplementary Figure S2. Western blot source images (continued)</w:t>
      </w:r>
    </w:p>
    <w:p w14:paraId="70A655CC">
      <w:pPr>
        <w:keepNext/>
        <w:keepLines w:val="0"/>
        <w:widowControl/>
        <w:spacing w:line="276" w:lineRule="auto"/>
        <w:ind w:left="0" w:right="0" w:firstLine="0"/>
        <w:jc w:val="left"/>
      </w:pPr>
      <w:r>
        <w:t>(C) Source images corresponding to main Figure 8H. Lanes 1–3, RA-FLS + si-NC; lanes 4–6, RA-FLS + si-LIPT1; lanes 7–9, RA-FLS + si-LIPT1 + SKL2001.</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52"/>
        <w:gridCol w:w="4752"/>
      </w:tblGrid>
      <w:tr w14:paraId="0E0BE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752" w:type="dxa"/>
            <w:tcMar>
              <w:top w:w="0" w:type="dxa"/>
              <w:left w:w="0" w:type="dxa"/>
              <w:bottom w:w="0" w:type="dxa"/>
              <w:right w:w="0" w:type="dxa"/>
            </w:tcMar>
            <w:vAlign w:val="top"/>
          </w:tcPr>
          <w:p w14:paraId="423AFCA7">
            <w:pPr>
              <w:keepNext/>
              <w:widowControl/>
              <w:spacing w:before="0" w:after="40" w:line="240" w:lineRule="auto"/>
              <w:jc w:val="center"/>
            </w:pPr>
            <w:r>
              <w:rPr>
                <w:b/>
                <w:sz w:val="21"/>
              </w:rPr>
              <w:t>β-actin</w:t>
            </w:r>
          </w:p>
          <w:p w14:paraId="671C97E8">
            <w:pPr>
              <w:widowControl/>
              <w:spacing w:before="0" w:after="60" w:line="240" w:lineRule="auto"/>
              <w:jc w:val="center"/>
            </w:pPr>
            <w:r>
              <w:drawing>
                <wp:inline distT="0" distB="0" distL="114300" distR="114300">
                  <wp:extent cx="2606040" cy="2085975"/>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15"/>
                          <a:stretch>
                            <a:fillRect/>
                          </a:stretch>
                        </pic:blipFill>
                        <pic:spPr>
                          <a:xfrm>
                            <a:off x="0" y="0"/>
                            <a:ext cx="2606040" cy="2086349"/>
                          </a:xfrm>
                          <a:prstGeom prst="rect">
                            <a:avLst/>
                          </a:prstGeom>
                        </pic:spPr>
                      </pic:pic>
                    </a:graphicData>
                  </a:graphic>
                </wp:inline>
              </w:drawing>
            </w:r>
          </w:p>
        </w:tc>
        <w:tc>
          <w:tcPr>
            <w:tcW w:w="4752" w:type="dxa"/>
            <w:tcMar>
              <w:top w:w="0" w:type="dxa"/>
              <w:left w:w="0" w:type="dxa"/>
              <w:bottom w:w="0" w:type="dxa"/>
              <w:right w:w="0" w:type="dxa"/>
            </w:tcMar>
            <w:vAlign w:val="top"/>
          </w:tcPr>
          <w:p w14:paraId="77EA34F1">
            <w:pPr>
              <w:keepNext/>
              <w:widowControl/>
              <w:spacing w:before="0" w:after="40" w:line="240" w:lineRule="auto"/>
              <w:jc w:val="center"/>
            </w:pPr>
            <w:r>
              <w:rPr>
                <w:b/>
                <w:sz w:val="21"/>
              </w:rPr>
              <w:t>LIPT1</w:t>
            </w:r>
          </w:p>
          <w:p w14:paraId="17F67E7D">
            <w:pPr>
              <w:widowControl/>
              <w:spacing w:before="0" w:after="60" w:line="240" w:lineRule="auto"/>
              <w:jc w:val="center"/>
            </w:pPr>
            <w:r>
              <w:drawing>
                <wp:inline distT="0" distB="0" distL="114300" distR="114300">
                  <wp:extent cx="2606040" cy="2085975"/>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16"/>
                          <a:stretch>
                            <a:fillRect/>
                          </a:stretch>
                        </pic:blipFill>
                        <pic:spPr>
                          <a:xfrm>
                            <a:off x="0" y="0"/>
                            <a:ext cx="2606040" cy="2086349"/>
                          </a:xfrm>
                          <a:prstGeom prst="rect">
                            <a:avLst/>
                          </a:prstGeom>
                        </pic:spPr>
                      </pic:pic>
                    </a:graphicData>
                  </a:graphic>
                </wp:inline>
              </w:drawing>
            </w:r>
          </w:p>
        </w:tc>
      </w:tr>
      <w:tr w14:paraId="12358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752" w:type="dxa"/>
            <w:tcMar>
              <w:top w:w="0" w:type="dxa"/>
              <w:left w:w="0" w:type="dxa"/>
              <w:bottom w:w="0" w:type="dxa"/>
              <w:right w:w="0" w:type="dxa"/>
            </w:tcMar>
            <w:vAlign w:val="top"/>
          </w:tcPr>
          <w:p w14:paraId="7931C637">
            <w:pPr>
              <w:keepNext/>
              <w:widowControl/>
              <w:spacing w:before="0" w:after="40" w:line="240" w:lineRule="auto"/>
              <w:jc w:val="center"/>
            </w:pPr>
            <w:r>
              <w:rPr>
                <w:b/>
                <w:sz w:val="21"/>
              </w:rPr>
              <w:t>Wnt-5</w:t>
            </w:r>
          </w:p>
          <w:p w14:paraId="0370788A">
            <w:pPr>
              <w:widowControl/>
              <w:spacing w:before="0" w:after="60" w:line="240" w:lineRule="auto"/>
              <w:jc w:val="center"/>
            </w:pPr>
            <w:r>
              <w:drawing>
                <wp:inline distT="0" distB="0" distL="114300" distR="114300">
                  <wp:extent cx="2606040" cy="2085975"/>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17"/>
                          <a:stretch>
                            <a:fillRect/>
                          </a:stretch>
                        </pic:blipFill>
                        <pic:spPr>
                          <a:xfrm>
                            <a:off x="0" y="0"/>
                            <a:ext cx="2606040" cy="2086349"/>
                          </a:xfrm>
                          <a:prstGeom prst="rect">
                            <a:avLst/>
                          </a:prstGeom>
                        </pic:spPr>
                      </pic:pic>
                    </a:graphicData>
                  </a:graphic>
                </wp:inline>
              </w:drawing>
            </w:r>
          </w:p>
        </w:tc>
        <w:tc>
          <w:tcPr>
            <w:tcW w:w="4752" w:type="dxa"/>
            <w:tcMar>
              <w:top w:w="0" w:type="dxa"/>
              <w:left w:w="0" w:type="dxa"/>
              <w:bottom w:w="0" w:type="dxa"/>
              <w:right w:w="0" w:type="dxa"/>
            </w:tcMar>
            <w:vAlign w:val="top"/>
          </w:tcPr>
          <w:p w14:paraId="7F1687D9">
            <w:pPr>
              <w:keepNext/>
              <w:widowControl/>
              <w:spacing w:before="0" w:after="40" w:line="240" w:lineRule="auto"/>
              <w:jc w:val="center"/>
            </w:pPr>
            <w:r>
              <w:rPr>
                <w:b/>
                <w:sz w:val="21"/>
              </w:rPr>
              <w:t>β-catenin</w:t>
            </w:r>
          </w:p>
          <w:p w14:paraId="57C40ED2">
            <w:pPr>
              <w:widowControl/>
              <w:spacing w:before="0" w:after="60" w:line="240" w:lineRule="auto"/>
              <w:jc w:val="center"/>
            </w:pPr>
            <w:r>
              <w:drawing>
                <wp:inline distT="0" distB="0" distL="114300" distR="114300">
                  <wp:extent cx="2606040" cy="2085975"/>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18"/>
                          <a:stretch>
                            <a:fillRect/>
                          </a:stretch>
                        </pic:blipFill>
                        <pic:spPr>
                          <a:xfrm>
                            <a:off x="0" y="0"/>
                            <a:ext cx="2606040" cy="2086349"/>
                          </a:xfrm>
                          <a:prstGeom prst="rect">
                            <a:avLst/>
                          </a:prstGeom>
                        </pic:spPr>
                      </pic:pic>
                    </a:graphicData>
                  </a:graphic>
                </wp:inline>
              </w:drawing>
            </w:r>
          </w:p>
        </w:tc>
      </w:tr>
    </w:tbl>
    <w:p w14:paraId="55296948">
      <w:pPr>
        <w:keepNext w:val="0"/>
        <w:keepLines w:val="0"/>
        <w:widowControl/>
        <w:spacing w:line="276" w:lineRule="auto"/>
        <w:ind w:left="0" w:right="0" w:firstLine="0"/>
        <w:jc w:val="left"/>
      </w:pPr>
      <w:r>
        <w:t>Panels A–C show the complete available image frames corresponding to main Figures 5G, 6H, and 8H. No additional cropping or lane removal was applied. Images were converted uniformly from 16-bit to 8-bit grayscale for presentation. Wnt-5 denotes the immunoblot signal detected by the WNT5A/B-reactive antibody; WNT5A denotes the transcript measured by reverse transcription quantitative polymerase chain reaction (RT-qPCR).</w:t>
      </w:r>
    </w:p>
    <w:p w14:paraId="3B6669BF">
      <w:pPr>
        <w:pStyle w:val="3"/>
        <w:keepNext/>
        <w:pageBreakBefore/>
        <w:widowControl/>
        <w:spacing w:line="276" w:lineRule="auto"/>
        <w:ind w:left="0" w:right="0" w:firstLine="0"/>
        <w:jc w:val="left"/>
      </w:pPr>
      <w:r>
        <w:rPr>
          <w:rFonts w:ascii="Times New Roman" w:hAnsi="Times New Roman"/>
          <w:color w:val="000000"/>
        </w:rPr>
        <w:t>Supplementary Figure S3. Annexin V-FITC/PI staining after LIPT1 depletion</w:t>
      </w:r>
    </w:p>
    <w:p w14:paraId="5C311B13">
      <w:pPr>
        <w:keepNext/>
        <w:keepLines w:val="0"/>
        <w:widowControl/>
        <w:spacing w:before="60" w:after="120" w:line="240" w:lineRule="auto"/>
        <w:ind w:left="0" w:right="0" w:firstLine="0"/>
        <w:jc w:val="center"/>
      </w:pPr>
      <w:r>
        <w:rPr>
          <w:rFonts w:ascii="Times New Roman" w:hAnsi="Times New Roman"/>
          <w:color w:val="000000"/>
        </w:rPr>
        <w:drawing>
          <wp:inline distT="0" distB="0" distL="114300" distR="114300">
            <wp:extent cx="5806440" cy="4187825"/>
            <wp:effectExtent l="0" t="0" r="3810" b="3175"/>
            <wp:docPr id="13" name="Picture 13" descr="Supplementary Figure S3, original author Layout 9: Annexin V FITC and PI plots and corresponding quan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upplementary Figure S3, original author Layout 9: Annexin V FITC and PI plots and corresponding quantification."/>
                    <pic:cNvPicPr>
                      <a:picLocks noChangeAspect="1"/>
                    </pic:cNvPicPr>
                  </pic:nvPicPr>
                  <pic:blipFill>
                    <a:blip r:embed="rId19"/>
                    <a:stretch>
                      <a:fillRect/>
                    </a:stretch>
                  </pic:blipFill>
                  <pic:spPr>
                    <a:xfrm>
                      <a:off x="0" y="0"/>
                      <a:ext cx="5806440" cy="4188011"/>
                    </a:xfrm>
                    <a:prstGeom prst="rect">
                      <a:avLst/>
                    </a:prstGeom>
                  </pic:spPr>
                </pic:pic>
              </a:graphicData>
            </a:graphic>
          </wp:inline>
        </w:drawing>
      </w:r>
    </w:p>
    <w:p w14:paraId="608DE3FA">
      <w:pPr>
        <w:keepNext w:val="0"/>
        <w:keepLines w:val="0"/>
        <w:widowControl/>
        <w:spacing w:line="276" w:lineRule="auto"/>
        <w:ind w:left="0" w:right="0" w:firstLine="0"/>
        <w:jc w:val="left"/>
      </w:pPr>
      <w:r>
        <w:t>(A) Representative Annexin V-FITC/PI plots for FLS, RA-FLS, RA-FLS + si-LIPT1, and RA-FLS + si-NC. Cells were collected 48 h after siRNA transfection. (B) Total Annexin V-positive fractions. Annexin V-FITC and PI fluorescence are displayed on the FITC-H and PerCP-H axes, respectively. The total Annexin V-positive fraction is the sum of the upper-right (Q3-2) and lower-right (Q3-4) populations within the displayed parent gate. Each point represents one independently cultured and treated sample (n = 3 per group). Values are mean ± standard deviation (SD). Comparisons used one-way ANOVA followed by Tukey’s HSD test. ***P &lt; 0.001 for the indicated comparisons. The figure labels siRNA-LIPT1 and si-LIPT1-NC denote si-LIPT1 and the non-targeting control si-NC, respectively. The axis label “Apoptosis rate” denotes the total Annexin V-positive fraction, an apoptosis-associated readout. FLS, fibroblast-like synoviocytes; RA, rheumatoid arthritis; FITC, fluorescein isothiocyanate; PI, propidium iodide. Individual values are provided in Supplementary Table S3.</w:t>
      </w:r>
    </w:p>
    <w:p w14:paraId="70D08C7A">
      <w:pPr>
        <w:pStyle w:val="3"/>
        <w:keepNext/>
        <w:pageBreakBefore/>
        <w:widowControl/>
        <w:spacing w:line="276" w:lineRule="auto"/>
        <w:ind w:left="0" w:right="0" w:firstLine="0"/>
        <w:jc w:val="left"/>
      </w:pPr>
      <w:r>
        <w:rPr>
          <w:rFonts w:ascii="Times New Roman" w:hAnsi="Times New Roman"/>
          <w:color w:val="000000"/>
        </w:rPr>
        <w:t>Supplementary Figure S4. Annexin V-FITC/PI staining after SKL2001 treatment</w:t>
      </w:r>
    </w:p>
    <w:p w14:paraId="54698B76">
      <w:pPr>
        <w:keepNext/>
        <w:keepLines w:val="0"/>
        <w:widowControl/>
        <w:spacing w:before="60" w:after="120" w:line="240" w:lineRule="auto"/>
        <w:ind w:left="0" w:right="0" w:firstLine="0"/>
        <w:jc w:val="center"/>
      </w:pPr>
      <w:r>
        <w:rPr>
          <w:rFonts w:ascii="Times New Roman" w:hAnsi="Times New Roman"/>
          <w:color w:val="000000"/>
        </w:rPr>
        <w:drawing>
          <wp:inline distT="0" distB="0" distL="114300" distR="114300">
            <wp:extent cx="5806440" cy="4185920"/>
            <wp:effectExtent l="0" t="0" r="3810" b="5080"/>
            <wp:docPr id="14" name="Picture 14" descr="Supplementary Figure S4, original author Layout 10: Annexin V FITC and PI plots and corresponding quan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upplementary Figure S4, original author Layout 10: Annexin V FITC and PI plots and corresponding quantification."/>
                    <pic:cNvPicPr>
                      <a:picLocks noChangeAspect="1"/>
                    </pic:cNvPicPr>
                  </pic:nvPicPr>
                  <pic:blipFill>
                    <a:blip r:embed="rId20"/>
                    <a:stretch>
                      <a:fillRect/>
                    </a:stretch>
                  </pic:blipFill>
                  <pic:spPr>
                    <a:xfrm>
                      <a:off x="0" y="0"/>
                      <a:ext cx="5806440" cy="4185998"/>
                    </a:xfrm>
                    <a:prstGeom prst="rect">
                      <a:avLst/>
                    </a:prstGeom>
                  </pic:spPr>
                </pic:pic>
              </a:graphicData>
            </a:graphic>
          </wp:inline>
        </w:drawing>
      </w:r>
    </w:p>
    <w:p w14:paraId="36B3FB33">
      <w:pPr>
        <w:keepNext w:val="0"/>
        <w:keepLines w:val="0"/>
        <w:widowControl/>
        <w:spacing w:line="276" w:lineRule="auto"/>
        <w:ind w:left="0" w:right="0" w:firstLine="0"/>
        <w:jc w:val="left"/>
      </w:pPr>
      <w:r>
        <w:t>(A) Representative Annexin V-FITC/PI plots for RA-FLS + si-NC, RA-FLS + si-LIPT1, and RA-FLS + si-LIPT1 + SKL2001. For the rescue treatment, 20 μM SKL2001 was added after 6 h of siRNA transfection and maintained for a further 48 h. (B) Total Annexin V-positive fractions. Annexin V-FITC and PI fluorescence are displayed on the FITC-H and PerCP-H axes, respectively. The total Annexin V-positive fraction is the sum of the upper-right (Q3-2) and lower-right (Q3-4) populations within the displayed parent gate. Each point represents one independently cultured and treated sample (n = 3 per group). Values are mean ± standard deviation (SD). Comparisons used one-way ANOVA followed by Fisher’s LSD test. ***P &lt; 0.001 for the indicated comparisons. The figure labels siRNA-LIPT1 and si-LIPT1-NC denote si-LIPT1 and the non-targeting control si-NC, respectively. The axis label “Apoptosis rate” denotes the total Annexin V-positive fraction, an apoptosis-associated readout. This experiment was analyzed separately from the knockdown comparison in Supplementary Fig. S3. RA-FLS, rheumatoid arthritis fibroblast-like synoviocytes; FITC, fluorescein isothiocyanate; PI, propidium iodide. Individual values are provided in Supplementary Table S3.</w:t>
      </w:r>
    </w:p>
    <w:p w14:paraId="7F3F3F5A">
      <w:pPr>
        <w:pStyle w:val="3"/>
        <w:keepNext/>
        <w:keepLines w:val="0"/>
        <w:pageBreakBefore/>
        <w:widowControl/>
        <w:spacing w:line="276" w:lineRule="auto"/>
        <w:ind w:left="0" w:right="0" w:firstLine="0"/>
        <w:jc w:val="left"/>
      </w:pPr>
      <w:r>
        <w:rPr>
          <w:rFonts w:ascii="Times New Roman" w:hAnsi="Times New Roman"/>
          <w:color w:val="000000"/>
        </w:rPr>
        <w:t>Supplementary Table S1. Cuproptosis-related candidate genes</w:t>
      </w:r>
    </w:p>
    <w:tbl>
      <w:tblPr>
        <w:tblStyle w:val="32"/>
        <w:tblW w:w="4998" w:type="pct"/>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autofit"/>
        <w:tblCellMar>
          <w:top w:w="0" w:type="dxa"/>
          <w:left w:w="108" w:type="dxa"/>
          <w:bottom w:w="0" w:type="dxa"/>
          <w:right w:w="108" w:type="dxa"/>
        </w:tblCellMar>
      </w:tblPr>
      <w:tblGrid>
        <w:gridCol w:w="1276"/>
        <w:gridCol w:w="8451"/>
      </w:tblGrid>
      <w:tr w14:paraId="03290D6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PrEx>
        <w:trPr>
          <w:trHeight w:val="0" w:hRule="atLeast"/>
          <w:tblHeader/>
          <w:jc w:val="center"/>
        </w:trPr>
        <w:tc>
          <w:tcPr>
            <w:tcW w:w="656" w:type="pct"/>
            <w:tcBorders>
              <w:top w:val="single" w:color="auto" w:sz="12" w:space="0"/>
              <w:left w:val="nil"/>
              <w:bottom w:val="nil"/>
              <w:right w:val="nil"/>
            </w:tcBorders>
            <w:noWrap w:val="0"/>
            <w:tcMar>
              <w:top w:w="65" w:type="dxa"/>
              <w:left w:w="65" w:type="dxa"/>
              <w:bottom w:w="65" w:type="dxa"/>
              <w:right w:w="65" w:type="dxa"/>
            </w:tcMar>
            <w:vAlign w:val="center"/>
          </w:tcPr>
          <w:p w14:paraId="6873DF80">
            <w:pPr>
              <w:keepNext w:val="0"/>
              <w:widowControl/>
              <w:snapToGrid w:val="0"/>
              <w:spacing w:before="60" w:after="60" w:line="240" w:lineRule="auto"/>
              <w:ind w:left="0" w:leftChars="0" w:right="0" w:rightChars="0" w:firstLine="0" w:firstLineChars="0"/>
              <w:jc w:val="center"/>
              <w:rPr>
                <w:rFonts w:ascii="Times New Roman" w:eastAsia="ＭＳ 明朝"/>
                <w:b/>
                <w:sz w:val="22"/>
              </w:rPr>
            </w:pPr>
            <w:r>
              <w:rPr>
                <w:rFonts w:ascii="Times New Roman" w:hAnsi="Times New Roman" w:eastAsia="ＭＳ 明朝"/>
                <w:b/>
                <w:color w:val="000000"/>
                <w:sz w:val="22"/>
              </w:rPr>
              <w:t>Gene</w:t>
            </w:r>
          </w:p>
        </w:tc>
        <w:tc>
          <w:tcPr>
            <w:tcW w:w="4343" w:type="pct"/>
            <w:tcBorders>
              <w:top w:val="single" w:color="auto" w:sz="12" w:space="0"/>
              <w:left w:val="nil"/>
              <w:bottom w:val="nil"/>
              <w:right w:val="nil"/>
            </w:tcBorders>
            <w:noWrap w:val="0"/>
            <w:tcMar>
              <w:top w:w="65" w:type="dxa"/>
              <w:left w:w="65" w:type="dxa"/>
              <w:bottom w:w="65" w:type="dxa"/>
              <w:right w:w="65" w:type="dxa"/>
            </w:tcMar>
            <w:vAlign w:val="center"/>
          </w:tcPr>
          <w:p w14:paraId="68CAF532">
            <w:pPr>
              <w:keepNext w:val="0"/>
              <w:widowControl/>
              <w:snapToGrid w:val="0"/>
              <w:spacing w:before="60" w:after="60" w:line="240" w:lineRule="auto"/>
              <w:ind w:left="0" w:leftChars="0" w:right="0" w:rightChars="0" w:firstLine="0" w:firstLineChars="0"/>
              <w:jc w:val="center"/>
              <w:rPr>
                <w:rFonts w:ascii="Times New Roman" w:eastAsia="ＭＳ 明朝"/>
                <w:b/>
                <w:sz w:val="22"/>
              </w:rPr>
            </w:pPr>
            <w:r>
              <w:rPr>
                <w:rFonts w:ascii="Times New Roman" w:hAnsi="Times New Roman" w:eastAsia="ＭＳ 明朝"/>
                <w:b/>
                <w:color w:val="000000"/>
                <w:sz w:val="22"/>
              </w:rPr>
              <w:t>Role or provenance</w:t>
            </w:r>
          </w:p>
        </w:tc>
      </w:tr>
      <w:tr w14:paraId="16F55D9E">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656" w:type="pct"/>
            <w:tcBorders>
              <w:top w:val="single" w:color="auto" w:sz="4" w:space="0"/>
              <w:left w:val="nil"/>
              <w:bottom w:val="nil"/>
              <w:right w:val="nil"/>
            </w:tcBorders>
            <w:noWrap w:val="0"/>
            <w:tcMar>
              <w:top w:w="65" w:type="dxa"/>
              <w:left w:w="65" w:type="dxa"/>
              <w:bottom w:w="65" w:type="dxa"/>
              <w:right w:w="65" w:type="dxa"/>
            </w:tcMar>
            <w:vAlign w:val="center"/>
          </w:tcPr>
          <w:p w14:paraId="6E0785B9">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FDX1</w:t>
            </w:r>
          </w:p>
        </w:tc>
        <w:tc>
          <w:tcPr>
            <w:tcW w:w="4343" w:type="pct"/>
            <w:tcBorders>
              <w:top w:val="single" w:color="auto" w:sz="4" w:space="0"/>
              <w:left w:val="nil"/>
              <w:bottom w:val="nil"/>
              <w:right w:val="nil"/>
            </w:tcBorders>
            <w:noWrap w:val="0"/>
            <w:tcMar>
              <w:top w:w="65" w:type="dxa"/>
              <w:left w:w="65" w:type="dxa"/>
              <w:bottom w:w="65" w:type="dxa"/>
              <w:right w:w="65" w:type="dxa"/>
            </w:tcMar>
            <w:vAlign w:val="center"/>
          </w:tcPr>
          <w:p w14:paraId="2575DE25">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Positive regulator in foundational mechanistic screen</w:t>
            </w:r>
          </w:p>
        </w:tc>
      </w:tr>
      <w:tr w14:paraId="4721DB3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656" w:type="pct"/>
            <w:tcBorders>
              <w:top w:val="nil"/>
              <w:left w:val="nil"/>
              <w:bottom w:val="nil"/>
              <w:right w:val="nil"/>
            </w:tcBorders>
            <w:noWrap w:val="0"/>
            <w:tcMar>
              <w:top w:w="65" w:type="dxa"/>
              <w:left w:w="65" w:type="dxa"/>
              <w:bottom w:w="65" w:type="dxa"/>
              <w:right w:w="65" w:type="dxa"/>
            </w:tcMar>
            <w:vAlign w:val="center"/>
          </w:tcPr>
          <w:p w14:paraId="52574062">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LIAS</w:t>
            </w:r>
          </w:p>
        </w:tc>
        <w:tc>
          <w:tcPr>
            <w:tcW w:w="4343" w:type="pct"/>
            <w:tcBorders>
              <w:top w:val="nil"/>
              <w:left w:val="nil"/>
              <w:bottom w:val="nil"/>
              <w:right w:val="nil"/>
            </w:tcBorders>
            <w:noWrap w:val="0"/>
            <w:tcMar>
              <w:top w:w="65" w:type="dxa"/>
              <w:left w:w="65" w:type="dxa"/>
              <w:bottom w:w="65" w:type="dxa"/>
              <w:right w:w="65" w:type="dxa"/>
            </w:tcMar>
            <w:vAlign w:val="center"/>
          </w:tcPr>
          <w:p w14:paraId="1763EC70">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Positive regulator in foundational mechanistic screen</w:t>
            </w:r>
          </w:p>
        </w:tc>
      </w:tr>
      <w:tr w14:paraId="55153B5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656" w:type="pct"/>
            <w:tcBorders>
              <w:top w:val="nil"/>
              <w:left w:val="nil"/>
              <w:bottom w:val="nil"/>
              <w:right w:val="nil"/>
            </w:tcBorders>
            <w:noWrap w:val="0"/>
            <w:tcMar>
              <w:top w:w="65" w:type="dxa"/>
              <w:left w:w="65" w:type="dxa"/>
              <w:bottom w:w="65" w:type="dxa"/>
              <w:right w:w="65" w:type="dxa"/>
            </w:tcMar>
            <w:vAlign w:val="center"/>
          </w:tcPr>
          <w:p w14:paraId="3E580B93">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LIPT1</w:t>
            </w:r>
          </w:p>
        </w:tc>
        <w:tc>
          <w:tcPr>
            <w:tcW w:w="4343" w:type="pct"/>
            <w:tcBorders>
              <w:top w:val="nil"/>
              <w:left w:val="nil"/>
              <w:bottom w:val="nil"/>
              <w:right w:val="nil"/>
            </w:tcBorders>
            <w:noWrap w:val="0"/>
            <w:tcMar>
              <w:top w:w="65" w:type="dxa"/>
              <w:left w:w="65" w:type="dxa"/>
              <w:bottom w:w="65" w:type="dxa"/>
              <w:right w:w="65" w:type="dxa"/>
            </w:tcMar>
            <w:vAlign w:val="center"/>
          </w:tcPr>
          <w:p w14:paraId="2DDBFBD5">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Positive regulator in foundational mechanistic screen</w:t>
            </w:r>
          </w:p>
        </w:tc>
      </w:tr>
      <w:tr w14:paraId="4D6E012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656" w:type="pct"/>
            <w:tcBorders>
              <w:top w:val="nil"/>
              <w:left w:val="nil"/>
              <w:bottom w:val="nil"/>
              <w:right w:val="nil"/>
            </w:tcBorders>
            <w:noWrap w:val="0"/>
            <w:tcMar>
              <w:top w:w="65" w:type="dxa"/>
              <w:left w:w="65" w:type="dxa"/>
              <w:bottom w:w="65" w:type="dxa"/>
              <w:right w:w="65" w:type="dxa"/>
            </w:tcMar>
            <w:vAlign w:val="center"/>
          </w:tcPr>
          <w:p w14:paraId="2FE462B9">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DLD</w:t>
            </w:r>
          </w:p>
        </w:tc>
        <w:tc>
          <w:tcPr>
            <w:tcW w:w="4343" w:type="pct"/>
            <w:tcBorders>
              <w:top w:val="nil"/>
              <w:left w:val="nil"/>
              <w:bottom w:val="nil"/>
              <w:right w:val="nil"/>
            </w:tcBorders>
            <w:noWrap w:val="0"/>
            <w:tcMar>
              <w:top w:w="65" w:type="dxa"/>
              <w:left w:w="65" w:type="dxa"/>
              <w:bottom w:w="65" w:type="dxa"/>
              <w:right w:w="65" w:type="dxa"/>
            </w:tcMar>
            <w:vAlign w:val="center"/>
          </w:tcPr>
          <w:p w14:paraId="767B082E">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Positive regulator in foundational mechanistic screen</w:t>
            </w:r>
          </w:p>
        </w:tc>
      </w:tr>
      <w:tr w14:paraId="3A62EF8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656" w:type="pct"/>
            <w:tcBorders>
              <w:top w:val="nil"/>
              <w:left w:val="nil"/>
              <w:bottom w:val="nil"/>
              <w:right w:val="nil"/>
            </w:tcBorders>
            <w:noWrap w:val="0"/>
            <w:tcMar>
              <w:top w:w="65" w:type="dxa"/>
              <w:left w:w="65" w:type="dxa"/>
              <w:bottom w:w="65" w:type="dxa"/>
              <w:right w:w="65" w:type="dxa"/>
            </w:tcMar>
            <w:vAlign w:val="center"/>
          </w:tcPr>
          <w:p w14:paraId="1C11D705">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DLAT</w:t>
            </w:r>
          </w:p>
        </w:tc>
        <w:tc>
          <w:tcPr>
            <w:tcW w:w="4343" w:type="pct"/>
            <w:tcBorders>
              <w:top w:val="nil"/>
              <w:left w:val="nil"/>
              <w:bottom w:val="nil"/>
              <w:right w:val="nil"/>
            </w:tcBorders>
            <w:noWrap w:val="0"/>
            <w:tcMar>
              <w:top w:w="65" w:type="dxa"/>
              <w:left w:w="65" w:type="dxa"/>
              <w:bottom w:w="65" w:type="dxa"/>
              <w:right w:w="65" w:type="dxa"/>
            </w:tcMar>
            <w:vAlign w:val="center"/>
          </w:tcPr>
          <w:p w14:paraId="75E5333E">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Positive regulator in foundational mechanistic screen</w:t>
            </w:r>
          </w:p>
        </w:tc>
      </w:tr>
      <w:tr w14:paraId="290D3F5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656" w:type="pct"/>
            <w:tcBorders>
              <w:top w:val="nil"/>
              <w:left w:val="nil"/>
              <w:bottom w:val="nil"/>
              <w:right w:val="nil"/>
            </w:tcBorders>
            <w:noWrap w:val="0"/>
            <w:tcMar>
              <w:top w:w="65" w:type="dxa"/>
              <w:left w:w="65" w:type="dxa"/>
              <w:bottom w:w="65" w:type="dxa"/>
              <w:right w:w="65" w:type="dxa"/>
            </w:tcMar>
            <w:vAlign w:val="center"/>
          </w:tcPr>
          <w:p w14:paraId="191DA876">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PDHA1</w:t>
            </w:r>
          </w:p>
        </w:tc>
        <w:tc>
          <w:tcPr>
            <w:tcW w:w="4343" w:type="pct"/>
            <w:tcBorders>
              <w:top w:val="nil"/>
              <w:left w:val="nil"/>
              <w:bottom w:val="nil"/>
              <w:right w:val="nil"/>
            </w:tcBorders>
            <w:noWrap w:val="0"/>
            <w:tcMar>
              <w:top w:w="65" w:type="dxa"/>
              <w:left w:w="65" w:type="dxa"/>
              <w:bottom w:w="65" w:type="dxa"/>
              <w:right w:w="65" w:type="dxa"/>
            </w:tcMar>
            <w:vAlign w:val="center"/>
          </w:tcPr>
          <w:p w14:paraId="7BA86D57">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Positive regulator in foundational mechanistic screen</w:t>
            </w:r>
          </w:p>
        </w:tc>
      </w:tr>
      <w:tr w14:paraId="490D7E1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656" w:type="pct"/>
            <w:tcBorders>
              <w:top w:val="nil"/>
              <w:left w:val="nil"/>
              <w:bottom w:val="nil"/>
              <w:right w:val="nil"/>
            </w:tcBorders>
            <w:noWrap w:val="0"/>
            <w:tcMar>
              <w:top w:w="65" w:type="dxa"/>
              <w:left w:w="65" w:type="dxa"/>
              <w:bottom w:w="65" w:type="dxa"/>
              <w:right w:w="65" w:type="dxa"/>
            </w:tcMar>
            <w:vAlign w:val="center"/>
          </w:tcPr>
          <w:p w14:paraId="27355965">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PDHB</w:t>
            </w:r>
          </w:p>
        </w:tc>
        <w:tc>
          <w:tcPr>
            <w:tcW w:w="4343" w:type="pct"/>
            <w:tcBorders>
              <w:top w:val="nil"/>
              <w:left w:val="nil"/>
              <w:bottom w:val="nil"/>
              <w:right w:val="nil"/>
            </w:tcBorders>
            <w:noWrap w:val="0"/>
            <w:tcMar>
              <w:top w:w="65" w:type="dxa"/>
              <w:left w:w="65" w:type="dxa"/>
              <w:bottom w:w="65" w:type="dxa"/>
              <w:right w:w="65" w:type="dxa"/>
            </w:tcMar>
            <w:vAlign w:val="center"/>
          </w:tcPr>
          <w:p w14:paraId="6680C0BE">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Positive regulator in foundational mechanistic screen</w:t>
            </w:r>
          </w:p>
        </w:tc>
      </w:tr>
      <w:tr w14:paraId="2B011A3E">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656" w:type="pct"/>
            <w:tcBorders>
              <w:top w:val="nil"/>
              <w:left w:val="nil"/>
              <w:bottom w:val="nil"/>
              <w:right w:val="nil"/>
            </w:tcBorders>
            <w:noWrap w:val="0"/>
            <w:tcMar>
              <w:top w:w="65" w:type="dxa"/>
              <w:left w:w="65" w:type="dxa"/>
              <w:bottom w:w="65" w:type="dxa"/>
              <w:right w:w="65" w:type="dxa"/>
            </w:tcMar>
            <w:vAlign w:val="center"/>
          </w:tcPr>
          <w:p w14:paraId="5F24FD84">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MTF1</w:t>
            </w:r>
          </w:p>
        </w:tc>
        <w:tc>
          <w:tcPr>
            <w:tcW w:w="4343" w:type="pct"/>
            <w:tcBorders>
              <w:top w:val="nil"/>
              <w:left w:val="nil"/>
              <w:bottom w:val="nil"/>
              <w:right w:val="nil"/>
            </w:tcBorders>
            <w:noWrap w:val="0"/>
            <w:tcMar>
              <w:top w:w="65" w:type="dxa"/>
              <w:left w:w="65" w:type="dxa"/>
              <w:bottom w:w="65" w:type="dxa"/>
              <w:right w:w="65" w:type="dxa"/>
            </w:tcMar>
            <w:vAlign w:val="center"/>
          </w:tcPr>
          <w:p w14:paraId="0D0DF8C1">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Negative regulator in foundational mechanistic screen</w:t>
            </w:r>
          </w:p>
        </w:tc>
      </w:tr>
      <w:tr w14:paraId="06B939FF">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656" w:type="pct"/>
            <w:tcBorders>
              <w:top w:val="nil"/>
              <w:left w:val="nil"/>
              <w:bottom w:val="nil"/>
              <w:right w:val="nil"/>
            </w:tcBorders>
            <w:noWrap w:val="0"/>
            <w:tcMar>
              <w:top w:w="65" w:type="dxa"/>
              <w:left w:w="65" w:type="dxa"/>
              <w:bottom w:w="65" w:type="dxa"/>
              <w:right w:w="65" w:type="dxa"/>
            </w:tcMar>
            <w:vAlign w:val="center"/>
          </w:tcPr>
          <w:p w14:paraId="6D7AA0DD">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GLS</w:t>
            </w:r>
          </w:p>
        </w:tc>
        <w:tc>
          <w:tcPr>
            <w:tcW w:w="4343" w:type="pct"/>
            <w:tcBorders>
              <w:top w:val="nil"/>
              <w:left w:val="nil"/>
              <w:bottom w:val="nil"/>
              <w:right w:val="nil"/>
            </w:tcBorders>
            <w:noWrap w:val="0"/>
            <w:tcMar>
              <w:top w:w="65" w:type="dxa"/>
              <w:left w:w="65" w:type="dxa"/>
              <w:bottom w:w="65" w:type="dxa"/>
              <w:right w:w="65" w:type="dxa"/>
            </w:tcMar>
            <w:vAlign w:val="center"/>
          </w:tcPr>
          <w:p w14:paraId="61355590">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Negative regulator in foundational mechanistic screen</w:t>
            </w:r>
          </w:p>
        </w:tc>
      </w:tr>
      <w:tr w14:paraId="54FF038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656" w:type="pct"/>
            <w:tcBorders>
              <w:top w:val="nil"/>
              <w:left w:val="nil"/>
              <w:bottom w:val="nil"/>
              <w:right w:val="nil"/>
            </w:tcBorders>
            <w:noWrap w:val="0"/>
            <w:tcMar>
              <w:top w:w="65" w:type="dxa"/>
              <w:left w:w="65" w:type="dxa"/>
              <w:bottom w:w="65" w:type="dxa"/>
              <w:right w:w="65" w:type="dxa"/>
            </w:tcMar>
            <w:vAlign w:val="center"/>
          </w:tcPr>
          <w:p w14:paraId="38604938">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CDKN2A</w:t>
            </w:r>
          </w:p>
        </w:tc>
        <w:tc>
          <w:tcPr>
            <w:tcW w:w="4343" w:type="pct"/>
            <w:tcBorders>
              <w:top w:val="nil"/>
              <w:left w:val="nil"/>
              <w:bottom w:val="nil"/>
              <w:right w:val="nil"/>
            </w:tcBorders>
            <w:noWrap w:val="0"/>
            <w:tcMar>
              <w:top w:w="65" w:type="dxa"/>
              <w:left w:w="65" w:type="dxa"/>
              <w:bottom w:w="65" w:type="dxa"/>
              <w:right w:w="65" w:type="dxa"/>
            </w:tcMar>
            <w:vAlign w:val="center"/>
          </w:tcPr>
          <w:p w14:paraId="54681861">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Negative regulator in foundational mechanistic screen</w:t>
            </w:r>
          </w:p>
        </w:tc>
      </w:tr>
      <w:tr w14:paraId="26B3E56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656" w:type="pct"/>
            <w:tcBorders>
              <w:top w:val="nil"/>
              <w:left w:val="nil"/>
              <w:bottom w:val="single" w:color="auto" w:sz="12" w:space="0"/>
              <w:right w:val="nil"/>
            </w:tcBorders>
            <w:noWrap w:val="0"/>
            <w:tcMar>
              <w:top w:w="65" w:type="dxa"/>
              <w:left w:w="65" w:type="dxa"/>
              <w:bottom w:w="65" w:type="dxa"/>
              <w:right w:w="65" w:type="dxa"/>
            </w:tcMar>
            <w:vAlign w:val="center"/>
          </w:tcPr>
          <w:p w14:paraId="24BFCA3C">
            <w:pPr>
              <w:keepNext w:val="0"/>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SLC25A3</w:t>
            </w:r>
          </w:p>
        </w:tc>
        <w:tc>
          <w:tcPr>
            <w:tcW w:w="4343" w:type="pct"/>
            <w:tcBorders>
              <w:top w:val="nil"/>
              <w:left w:val="nil"/>
              <w:bottom w:val="single" w:color="auto" w:sz="12" w:space="0"/>
              <w:right w:val="nil"/>
            </w:tcBorders>
            <w:noWrap w:val="0"/>
            <w:tcMar>
              <w:top w:w="65" w:type="dxa"/>
              <w:left w:w="65" w:type="dxa"/>
              <w:bottom w:w="65" w:type="dxa"/>
              <w:right w:w="65" w:type="dxa"/>
            </w:tcMar>
            <w:vAlign w:val="center"/>
          </w:tcPr>
          <w:p w14:paraId="5D1D905E">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color w:val="000000"/>
                <w:sz w:val="22"/>
              </w:rPr>
              <w:t>GeneCards-derived candidate identified in the module-intersection analysis</w:t>
            </w:r>
          </w:p>
        </w:tc>
      </w:tr>
    </w:tbl>
    <w:p w14:paraId="768AD70C">
      <w:pPr>
        <w:keepNext w:val="0"/>
        <w:keepLines w:val="0"/>
        <w:widowControl/>
        <w:spacing w:line="276" w:lineRule="auto"/>
        <w:ind w:left="0" w:right="0" w:firstLine="0"/>
        <w:jc w:val="left"/>
      </w:pPr>
      <w:r>
        <w:t>The candidate set comprises ten regulators identified in the foundational cuproptosis screen and SLC25A3, a GeneCards-derived candidate included in the module-intersection analysis. LIPT1 and MTF1 overlap the blue weighted gene co-expression network analysis (WGCNA) module, whereas SLC25A3 overlaps the green module.</w:t>
      </w:r>
    </w:p>
    <w:p w14:paraId="59508EE5">
      <w:pPr>
        <w:keepNext w:val="0"/>
        <w:keepLines w:val="0"/>
        <w:widowControl/>
        <w:spacing w:line="276" w:lineRule="auto"/>
        <w:ind w:left="0" w:right="0" w:firstLine="0"/>
        <w:jc w:val="left"/>
      </w:pPr>
      <w:r>
        <w:rPr>
          <w:rFonts w:ascii="Times New Roman" w:hAnsi="Times New Roman"/>
          <w:color w:val="000000"/>
        </w:rPr>
        <w:t>Source: Tsvetkov, P. et al. Copper induces cell death by targeting lipoylated TCA cycle proteins. Science 375, 1254–1261 (2022). https://doi.org/10.1126/science.abf0529</w:t>
      </w:r>
    </w:p>
    <w:p w14:paraId="0002A494">
      <w:pPr>
        <w:pStyle w:val="3"/>
        <w:keepNext/>
        <w:keepLines w:val="0"/>
        <w:pageBreakBefore/>
        <w:widowControl/>
        <w:spacing w:line="276" w:lineRule="auto"/>
        <w:ind w:left="0" w:right="0" w:firstLine="0"/>
        <w:jc w:val="left"/>
      </w:pPr>
      <w:r>
        <w:t>Supplementary Table S2. RT-qPCR primers, targeting siRNAs, and controls</w:t>
      </w:r>
    </w:p>
    <w:p w14:paraId="041540D3">
      <w:pPr>
        <w:keepNext/>
        <w:keepLines w:val="0"/>
        <w:widowControl/>
        <w:spacing w:line="276" w:lineRule="auto"/>
        <w:ind w:left="0" w:right="0" w:firstLine="0"/>
        <w:jc w:val="left"/>
      </w:pPr>
      <w:r>
        <w:rPr>
          <w:rFonts w:ascii="Times New Roman" w:hAnsi="Times New Roman"/>
          <w:b/>
          <w:color w:val="000000"/>
        </w:rPr>
        <w:t>(A) RT-qPCR primers</w:t>
      </w:r>
    </w:p>
    <w:tbl>
      <w:tblPr>
        <w:tblStyle w:val="32"/>
        <w:tblW w:w="4997" w:type="pct"/>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autofit"/>
        <w:tblCellMar>
          <w:top w:w="0" w:type="dxa"/>
          <w:left w:w="108" w:type="dxa"/>
          <w:bottom w:w="0" w:type="dxa"/>
          <w:right w:w="108" w:type="dxa"/>
        </w:tblCellMar>
      </w:tblPr>
      <w:tblGrid>
        <w:gridCol w:w="1097"/>
        <w:gridCol w:w="1209"/>
        <w:gridCol w:w="3682"/>
        <w:gridCol w:w="3737"/>
      </w:tblGrid>
      <w:tr w14:paraId="2EA2E9E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tblHeader/>
          <w:jc w:val="center"/>
        </w:trPr>
        <w:tc>
          <w:tcPr>
            <w:tcW w:w="564" w:type="pct"/>
            <w:tcBorders>
              <w:top w:val="single" w:color="auto" w:sz="12" w:space="0"/>
              <w:left w:val="nil"/>
              <w:bottom w:val="nil"/>
              <w:right w:val="nil"/>
            </w:tcBorders>
            <w:noWrap w:val="0"/>
            <w:tcMar>
              <w:top w:w="65" w:type="dxa"/>
              <w:left w:w="65" w:type="dxa"/>
              <w:bottom w:w="65" w:type="dxa"/>
              <w:right w:w="65" w:type="dxa"/>
            </w:tcMar>
            <w:vAlign w:val="center"/>
          </w:tcPr>
          <w:p w14:paraId="2C1944EA">
            <w:pPr>
              <w:keepNext w:val="0"/>
              <w:widowControl/>
              <w:snapToGrid w:val="0"/>
              <w:spacing w:before="60" w:after="60" w:line="240" w:lineRule="auto"/>
              <w:ind w:left="0" w:leftChars="0" w:right="0" w:rightChars="0" w:firstLine="0" w:firstLineChars="0"/>
              <w:jc w:val="center"/>
              <w:rPr>
                <w:rFonts w:ascii="Times New Roman" w:eastAsia="ＭＳ 明朝"/>
                <w:b/>
                <w:sz w:val="21"/>
              </w:rPr>
            </w:pPr>
            <w:r>
              <w:rPr>
                <w:rFonts w:ascii="Times New Roman" w:hAnsi="Times New Roman" w:eastAsia="ＭＳ 明朝"/>
                <w:b/>
                <w:color w:val="000000"/>
                <w:sz w:val="21"/>
              </w:rPr>
              <w:t>Target</w:t>
            </w:r>
          </w:p>
        </w:tc>
        <w:tc>
          <w:tcPr>
            <w:tcW w:w="621" w:type="pct"/>
            <w:tcBorders>
              <w:top w:val="single" w:color="auto" w:sz="12" w:space="0"/>
              <w:left w:val="nil"/>
              <w:bottom w:val="nil"/>
              <w:right w:val="nil"/>
            </w:tcBorders>
            <w:noWrap w:val="0"/>
            <w:tcMar>
              <w:top w:w="65" w:type="dxa"/>
              <w:left w:w="65" w:type="dxa"/>
              <w:bottom w:w="65" w:type="dxa"/>
              <w:right w:w="65" w:type="dxa"/>
            </w:tcMar>
            <w:vAlign w:val="center"/>
          </w:tcPr>
          <w:p w14:paraId="0CBFCB1A">
            <w:pPr>
              <w:keepNext w:val="0"/>
              <w:widowControl/>
              <w:snapToGrid w:val="0"/>
              <w:spacing w:before="60" w:after="60" w:line="240" w:lineRule="auto"/>
              <w:ind w:left="0" w:leftChars="0" w:right="0" w:rightChars="0" w:firstLine="0" w:firstLineChars="0"/>
              <w:jc w:val="center"/>
              <w:rPr>
                <w:rFonts w:ascii="Times New Roman" w:eastAsia="ＭＳ 明朝"/>
                <w:b/>
                <w:sz w:val="21"/>
              </w:rPr>
            </w:pPr>
            <w:r>
              <w:rPr>
                <w:rFonts w:ascii="Times New Roman" w:hAnsi="Times New Roman" w:eastAsia="ＭＳ 明朝"/>
                <w:b/>
                <w:color w:val="000000"/>
                <w:sz w:val="21"/>
              </w:rPr>
              <w:t>Amplicon</w:t>
            </w:r>
            <w:r>
              <w:rPr>
                <w:rFonts w:ascii="Times New Roman" w:hAnsi="Times New Roman" w:eastAsia="ＭＳ 明朝"/>
                <w:b/>
                <w:color w:val="000000"/>
                <w:sz w:val="21"/>
              </w:rPr>
              <w:br w:type="textWrapping"/>
            </w:r>
            <w:r>
              <w:rPr>
                <w:rFonts w:ascii="Times New Roman" w:hAnsi="Times New Roman" w:eastAsia="ＭＳ 明朝"/>
                <w:b/>
                <w:color w:val="000000"/>
                <w:sz w:val="21"/>
              </w:rPr>
              <w:t>(bp)</w:t>
            </w:r>
          </w:p>
        </w:tc>
        <w:tc>
          <w:tcPr>
            <w:tcW w:w="1892" w:type="pct"/>
            <w:tcBorders>
              <w:top w:val="single" w:color="auto" w:sz="12" w:space="0"/>
              <w:left w:val="nil"/>
              <w:bottom w:val="nil"/>
              <w:right w:val="nil"/>
            </w:tcBorders>
            <w:noWrap w:val="0"/>
            <w:tcMar>
              <w:top w:w="65" w:type="dxa"/>
              <w:left w:w="65" w:type="dxa"/>
              <w:bottom w:w="65" w:type="dxa"/>
              <w:right w:w="65" w:type="dxa"/>
            </w:tcMar>
            <w:vAlign w:val="center"/>
          </w:tcPr>
          <w:p w14:paraId="6894ED8B">
            <w:pPr>
              <w:keepNext w:val="0"/>
              <w:widowControl/>
              <w:snapToGrid w:val="0"/>
              <w:spacing w:before="60" w:after="60" w:line="240" w:lineRule="auto"/>
              <w:ind w:left="0" w:leftChars="0" w:right="0" w:rightChars="0" w:firstLine="0" w:firstLineChars="0"/>
              <w:jc w:val="center"/>
              <w:rPr>
                <w:rFonts w:ascii="Times New Roman" w:eastAsia="ＭＳ 明朝"/>
                <w:b/>
                <w:sz w:val="21"/>
              </w:rPr>
            </w:pPr>
            <w:r>
              <w:rPr>
                <w:rFonts w:ascii="Times New Roman" w:hAnsi="Times New Roman" w:eastAsia="ＭＳ 明朝"/>
                <w:b/>
                <w:color w:val="000000"/>
                <w:sz w:val="21"/>
              </w:rPr>
              <w:t>Forward primer (5′–3′)</w:t>
            </w:r>
          </w:p>
        </w:tc>
        <w:tc>
          <w:tcPr>
            <w:tcW w:w="1920" w:type="pct"/>
            <w:tcBorders>
              <w:top w:val="single" w:color="auto" w:sz="12" w:space="0"/>
              <w:left w:val="nil"/>
              <w:bottom w:val="nil"/>
              <w:right w:val="nil"/>
            </w:tcBorders>
            <w:noWrap w:val="0"/>
            <w:tcMar>
              <w:top w:w="65" w:type="dxa"/>
              <w:left w:w="65" w:type="dxa"/>
              <w:bottom w:w="65" w:type="dxa"/>
              <w:right w:w="65" w:type="dxa"/>
            </w:tcMar>
            <w:vAlign w:val="center"/>
          </w:tcPr>
          <w:p w14:paraId="2B6FDA80">
            <w:pPr>
              <w:keepNext w:val="0"/>
              <w:widowControl/>
              <w:snapToGrid w:val="0"/>
              <w:spacing w:before="60" w:after="60" w:line="240" w:lineRule="auto"/>
              <w:ind w:left="0" w:leftChars="0" w:right="0" w:rightChars="0" w:firstLine="0" w:firstLineChars="0"/>
              <w:jc w:val="center"/>
              <w:rPr>
                <w:rFonts w:ascii="Times New Roman" w:eastAsia="ＭＳ 明朝"/>
                <w:b/>
                <w:sz w:val="21"/>
              </w:rPr>
            </w:pPr>
            <w:r>
              <w:rPr>
                <w:rFonts w:ascii="Times New Roman" w:hAnsi="Times New Roman" w:eastAsia="ＭＳ 明朝"/>
                <w:b/>
                <w:color w:val="000000"/>
                <w:sz w:val="21"/>
              </w:rPr>
              <w:t>Reverse primer (5′–3′)</w:t>
            </w:r>
          </w:p>
        </w:tc>
      </w:tr>
      <w:tr w14:paraId="47E9245C">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564" w:type="pct"/>
            <w:tcBorders>
              <w:top w:val="single" w:color="auto" w:sz="4" w:space="0"/>
              <w:left w:val="nil"/>
              <w:bottom w:val="nil"/>
              <w:right w:val="nil"/>
            </w:tcBorders>
            <w:noWrap w:val="0"/>
            <w:tcMar>
              <w:top w:w="65" w:type="dxa"/>
              <w:left w:w="65" w:type="dxa"/>
              <w:bottom w:w="65" w:type="dxa"/>
              <w:right w:w="65" w:type="dxa"/>
            </w:tcMar>
            <w:vAlign w:val="center"/>
          </w:tcPr>
          <w:p w14:paraId="2027BAAB">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β-actin</w:t>
            </w:r>
          </w:p>
        </w:tc>
        <w:tc>
          <w:tcPr>
            <w:tcW w:w="621" w:type="pct"/>
            <w:tcBorders>
              <w:top w:val="single" w:color="auto" w:sz="4" w:space="0"/>
              <w:left w:val="nil"/>
              <w:bottom w:val="nil"/>
              <w:right w:val="nil"/>
            </w:tcBorders>
            <w:noWrap w:val="0"/>
            <w:tcMar>
              <w:top w:w="65" w:type="dxa"/>
              <w:left w:w="65" w:type="dxa"/>
              <w:bottom w:w="65" w:type="dxa"/>
              <w:right w:w="65" w:type="dxa"/>
            </w:tcMar>
            <w:vAlign w:val="center"/>
          </w:tcPr>
          <w:p w14:paraId="2CAFE9EF">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96</w:t>
            </w:r>
          </w:p>
        </w:tc>
        <w:tc>
          <w:tcPr>
            <w:tcW w:w="1892" w:type="pct"/>
            <w:tcBorders>
              <w:top w:val="single" w:color="auto" w:sz="4" w:space="0"/>
              <w:left w:val="nil"/>
              <w:bottom w:val="nil"/>
              <w:right w:val="nil"/>
            </w:tcBorders>
            <w:noWrap w:val="0"/>
            <w:tcMar>
              <w:top w:w="65" w:type="dxa"/>
              <w:left w:w="65" w:type="dxa"/>
              <w:bottom w:w="65" w:type="dxa"/>
              <w:right w:w="65" w:type="dxa"/>
            </w:tcMar>
            <w:vAlign w:val="center"/>
          </w:tcPr>
          <w:p w14:paraId="7F47166D">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CCCTGGAGAAGAGCTACGAG</w:t>
            </w:r>
          </w:p>
        </w:tc>
        <w:tc>
          <w:tcPr>
            <w:tcW w:w="1920" w:type="pct"/>
            <w:tcBorders>
              <w:top w:val="single" w:color="auto" w:sz="4" w:space="0"/>
              <w:left w:val="nil"/>
              <w:bottom w:val="nil"/>
              <w:right w:val="nil"/>
            </w:tcBorders>
            <w:noWrap w:val="0"/>
            <w:tcMar>
              <w:top w:w="65" w:type="dxa"/>
              <w:left w:w="65" w:type="dxa"/>
              <w:bottom w:w="65" w:type="dxa"/>
              <w:right w:w="65" w:type="dxa"/>
            </w:tcMar>
            <w:vAlign w:val="center"/>
          </w:tcPr>
          <w:p w14:paraId="1F80BB78">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GGAAGGAAGGCTGGAAGAGT</w:t>
            </w:r>
          </w:p>
        </w:tc>
      </w:tr>
      <w:tr w14:paraId="2D4466E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564" w:type="pct"/>
            <w:tcBorders>
              <w:top w:val="nil"/>
              <w:left w:val="nil"/>
              <w:bottom w:val="nil"/>
              <w:right w:val="nil"/>
            </w:tcBorders>
            <w:noWrap w:val="0"/>
            <w:tcMar>
              <w:top w:w="65" w:type="dxa"/>
              <w:left w:w="65" w:type="dxa"/>
              <w:bottom w:w="65" w:type="dxa"/>
              <w:right w:w="65" w:type="dxa"/>
            </w:tcMar>
            <w:vAlign w:val="center"/>
          </w:tcPr>
          <w:p w14:paraId="4FA89A0B">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LIPT1</w:t>
            </w:r>
          </w:p>
        </w:tc>
        <w:tc>
          <w:tcPr>
            <w:tcW w:w="621" w:type="pct"/>
            <w:tcBorders>
              <w:top w:val="nil"/>
              <w:left w:val="nil"/>
              <w:bottom w:val="nil"/>
              <w:right w:val="nil"/>
            </w:tcBorders>
            <w:noWrap w:val="0"/>
            <w:tcMar>
              <w:top w:w="65" w:type="dxa"/>
              <w:left w:w="65" w:type="dxa"/>
              <w:bottom w:w="65" w:type="dxa"/>
              <w:right w:w="65" w:type="dxa"/>
            </w:tcMar>
            <w:vAlign w:val="center"/>
          </w:tcPr>
          <w:p w14:paraId="3B0CD987">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181</w:t>
            </w:r>
          </w:p>
        </w:tc>
        <w:tc>
          <w:tcPr>
            <w:tcW w:w="1892" w:type="pct"/>
            <w:tcBorders>
              <w:top w:val="nil"/>
              <w:left w:val="nil"/>
              <w:bottom w:val="nil"/>
              <w:right w:val="nil"/>
            </w:tcBorders>
            <w:noWrap w:val="0"/>
            <w:tcMar>
              <w:top w:w="65" w:type="dxa"/>
              <w:left w:w="65" w:type="dxa"/>
              <w:bottom w:w="65" w:type="dxa"/>
              <w:right w:w="65" w:type="dxa"/>
            </w:tcMar>
            <w:vAlign w:val="center"/>
          </w:tcPr>
          <w:p w14:paraId="06B30695">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TGGATGTGCAGGCTACCAAA</w:t>
            </w:r>
          </w:p>
        </w:tc>
        <w:tc>
          <w:tcPr>
            <w:tcW w:w="1920" w:type="pct"/>
            <w:tcBorders>
              <w:top w:val="nil"/>
              <w:left w:val="nil"/>
              <w:bottom w:val="nil"/>
              <w:right w:val="nil"/>
            </w:tcBorders>
            <w:noWrap w:val="0"/>
            <w:tcMar>
              <w:top w:w="65" w:type="dxa"/>
              <w:left w:w="65" w:type="dxa"/>
              <w:bottom w:w="65" w:type="dxa"/>
              <w:right w:w="65" w:type="dxa"/>
            </w:tcMar>
            <w:vAlign w:val="center"/>
          </w:tcPr>
          <w:p w14:paraId="3DAE9BEA">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GCATTGCTCCTGATCCCTTG</w:t>
            </w:r>
          </w:p>
        </w:tc>
      </w:tr>
      <w:tr w14:paraId="597E1AC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564" w:type="pct"/>
            <w:tcBorders>
              <w:top w:val="nil"/>
              <w:left w:val="nil"/>
              <w:bottom w:val="nil"/>
              <w:right w:val="nil"/>
            </w:tcBorders>
            <w:noWrap w:val="0"/>
            <w:tcMar>
              <w:top w:w="65" w:type="dxa"/>
              <w:left w:w="65" w:type="dxa"/>
              <w:bottom w:w="65" w:type="dxa"/>
              <w:right w:w="65" w:type="dxa"/>
            </w:tcMar>
            <w:vAlign w:val="center"/>
          </w:tcPr>
          <w:p w14:paraId="1B766793">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MTF1</w:t>
            </w:r>
          </w:p>
        </w:tc>
        <w:tc>
          <w:tcPr>
            <w:tcW w:w="621" w:type="pct"/>
            <w:tcBorders>
              <w:top w:val="nil"/>
              <w:left w:val="nil"/>
              <w:bottom w:val="nil"/>
              <w:right w:val="nil"/>
            </w:tcBorders>
            <w:noWrap w:val="0"/>
            <w:tcMar>
              <w:top w:w="65" w:type="dxa"/>
              <w:left w:w="65" w:type="dxa"/>
              <w:bottom w:w="65" w:type="dxa"/>
              <w:right w:w="65" w:type="dxa"/>
            </w:tcMar>
            <w:vAlign w:val="center"/>
          </w:tcPr>
          <w:p w14:paraId="3AF18A69">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130</w:t>
            </w:r>
          </w:p>
        </w:tc>
        <w:tc>
          <w:tcPr>
            <w:tcW w:w="1892" w:type="pct"/>
            <w:tcBorders>
              <w:top w:val="nil"/>
              <w:left w:val="nil"/>
              <w:bottom w:val="nil"/>
              <w:right w:val="nil"/>
            </w:tcBorders>
            <w:noWrap w:val="0"/>
            <w:tcMar>
              <w:top w:w="65" w:type="dxa"/>
              <w:left w:w="65" w:type="dxa"/>
              <w:bottom w:w="65" w:type="dxa"/>
              <w:right w:w="65" w:type="dxa"/>
            </w:tcMar>
            <w:vAlign w:val="center"/>
          </w:tcPr>
          <w:p w14:paraId="631861AD">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TTCCACAAACAAGGCTGCTC</w:t>
            </w:r>
          </w:p>
        </w:tc>
        <w:tc>
          <w:tcPr>
            <w:tcW w:w="1920" w:type="pct"/>
            <w:tcBorders>
              <w:top w:val="nil"/>
              <w:left w:val="nil"/>
              <w:bottom w:val="nil"/>
              <w:right w:val="nil"/>
            </w:tcBorders>
            <w:noWrap w:val="0"/>
            <w:tcMar>
              <w:top w:w="65" w:type="dxa"/>
              <w:left w:w="65" w:type="dxa"/>
              <w:bottom w:w="65" w:type="dxa"/>
              <w:right w:w="65" w:type="dxa"/>
            </w:tcMar>
            <w:vAlign w:val="center"/>
          </w:tcPr>
          <w:p w14:paraId="58E356FF">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GCAATGGCTCAGAGAACAGG</w:t>
            </w:r>
          </w:p>
        </w:tc>
      </w:tr>
      <w:tr w14:paraId="66A9B07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564" w:type="pct"/>
            <w:tcBorders>
              <w:top w:val="nil"/>
              <w:left w:val="nil"/>
              <w:bottom w:val="nil"/>
              <w:right w:val="nil"/>
            </w:tcBorders>
            <w:noWrap w:val="0"/>
            <w:tcMar>
              <w:top w:w="65" w:type="dxa"/>
              <w:left w:w="65" w:type="dxa"/>
              <w:bottom w:w="65" w:type="dxa"/>
              <w:right w:w="65" w:type="dxa"/>
            </w:tcMar>
            <w:vAlign w:val="center"/>
          </w:tcPr>
          <w:p w14:paraId="065DC12B">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WNT5A</w:t>
            </w:r>
          </w:p>
        </w:tc>
        <w:tc>
          <w:tcPr>
            <w:tcW w:w="621" w:type="pct"/>
            <w:tcBorders>
              <w:top w:val="nil"/>
              <w:left w:val="nil"/>
              <w:bottom w:val="nil"/>
              <w:right w:val="nil"/>
            </w:tcBorders>
            <w:noWrap w:val="0"/>
            <w:tcMar>
              <w:top w:w="65" w:type="dxa"/>
              <w:left w:w="65" w:type="dxa"/>
              <w:bottom w:w="65" w:type="dxa"/>
              <w:right w:w="65" w:type="dxa"/>
            </w:tcMar>
            <w:vAlign w:val="center"/>
          </w:tcPr>
          <w:p w14:paraId="2198A55C">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126</w:t>
            </w:r>
          </w:p>
        </w:tc>
        <w:tc>
          <w:tcPr>
            <w:tcW w:w="1892" w:type="pct"/>
            <w:tcBorders>
              <w:top w:val="nil"/>
              <w:left w:val="nil"/>
              <w:bottom w:val="nil"/>
              <w:right w:val="nil"/>
            </w:tcBorders>
            <w:noWrap w:val="0"/>
            <w:tcMar>
              <w:top w:w="65" w:type="dxa"/>
              <w:left w:w="65" w:type="dxa"/>
              <w:bottom w:w="65" w:type="dxa"/>
              <w:right w:w="65" w:type="dxa"/>
            </w:tcMar>
            <w:vAlign w:val="center"/>
          </w:tcPr>
          <w:p w14:paraId="4B9E7EC4">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TCATACCTTGAGCACGACGA</w:t>
            </w:r>
          </w:p>
        </w:tc>
        <w:tc>
          <w:tcPr>
            <w:tcW w:w="1920" w:type="pct"/>
            <w:tcBorders>
              <w:top w:val="nil"/>
              <w:left w:val="nil"/>
              <w:bottom w:val="nil"/>
              <w:right w:val="nil"/>
            </w:tcBorders>
            <w:noWrap w:val="0"/>
            <w:tcMar>
              <w:top w:w="65" w:type="dxa"/>
              <w:left w:w="65" w:type="dxa"/>
              <w:bottom w:w="65" w:type="dxa"/>
              <w:right w:w="65" w:type="dxa"/>
            </w:tcMar>
            <w:vAlign w:val="center"/>
          </w:tcPr>
          <w:p w14:paraId="1E2EA4CF">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TGGAGGTTGGAGACAAAGGG</w:t>
            </w:r>
          </w:p>
        </w:tc>
      </w:tr>
      <w:tr w14:paraId="1B70525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564" w:type="pct"/>
            <w:tcBorders>
              <w:top w:val="nil"/>
              <w:left w:val="nil"/>
              <w:bottom w:val="single" w:color="auto" w:sz="12" w:space="0"/>
              <w:right w:val="nil"/>
            </w:tcBorders>
            <w:noWrap w:val="0"/>
            <w:tcMar>
              <w:top w:w="65" w:type="dxa"/>
              <w:left w:w="65" w:type="dxa"/>
              <w:bottom w:w="65" w:type="dxa"/>
              <w:right w:w="65" w:type="dxa"/>
            </w:tcMar>
            <w:vAlign w:val="center"/>
          </w:tcPr>
          <w:p w14:paraId="6583E87D">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β-catenin</w:t>
            </w:r>
          </w:p>
        </w:tc>
        <w:tc>
          <w:tcPr>
            <w:tcW w:w="621" w:type="pct"/>
            <w:tcBorders>
              <w:top w:val="nil"/>
              <w:left w:val="nil"/>
              <w:bottom w:val="single" w:color="auto" w:sz="12" w:space="0"/>
              <w:right w:val="nil"/>
            </w:tcBorders>
            <w:noWrap w:val="0"/>
            <w:tcMar>
              <w:top w:w="65" w:type="dxa"/>
              <w:left w:w="65" w:type="dxa"/>
              <w:bottom w:w="65" w:type="dxa"/>
              <w:right w:w="65" w:type="dxa"/>
            </w:tcMar>
            <w:vAlign w:val="center"/>
          </w:tcPr>
          <w:p w14:paraId="0B6C7313">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100</w:t>
            </w:r>
          </w:p>
        </w:tc>
        <w:tc>
          <w:tcPr>
            <w:tcW w:w="1892" w:type="pct"/>
            <w:tcBorders>
              <w:top w:val="nil"/>
              <w:left w:val="nil"/>
              <w:bottom w:val="single" w:color="auto" w:sz="12" w:space="0"/>
              <w:right w:val="nil"/>
            </w:tcBorders>
            <w:noWrap w:val="0"/>
            <w:tcMar>
              <w:top w:w="65" w:type="dxa"/>
              <w:left w:w="65" w:type="dxa"/>
              <w:bottom w:w="65" w:type="dxa"/>
              <w:right w:w="65" w:type="dxa"/>
            </w:tcMar>
            <w:vAlign w:val="center"/>
          </w:tcPr>
          <w:p w14:paraId="5037BA8F">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ATGTCTGAGGACAAGCCACA</w:t>
            </w:r>
          </w:p>
        </w:tc>
        <w:tc>
          <w:tcPr>
            <w:tcW w:w="1920" w:type="pct"/>
            <w:tcBorders>
              <w:top w:val="nil"/>
              <w:left w:val="nil"/>
              <w:bottom w:val="single" w:color="auto" w:sz="12" w:space="0"/>
              <w:right w:val="nil"/>
            </w:tcBorders>
            <w:noWrap w:val="0"/>
            <w:tcMar>
              <w:top w:w="65" w:type="dxa"/>
              <w:left w:w="65" w:type="dxa"/>
              <w:bottom w:w="65" w:type="dxa"/>
              <w:right w:w="65" w:type="dxa"/>
            </w:tcMar>
            <w:vAlign w:val="center"/>
          </w:tcPr>
          <w:p w14:paraId="51F89F9F">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CAGCAGTCTCATTCCAAGCC</w:t>
            </w:r>
          </w:p>
        </w:tc>
      </w:tr>
    </w:tbl>
    <w:p w14:paraId="2253CC51">
      <w:pPr>
        <w:keepNext/>
        <w:keepLines w:val="0"/>
        <w:widowControl/>
        <w:spacing w:line="276" w:lineRule="auto"/>
        <w:ind w:left="0" w:right="0" w:firstLine="0"/>
        <w:jc w:val="left"/>
      </w:pPr>
      <w:r>
        <w:rPr>
          <w:rFonts w:ascii="Times New Roman" w:hAnsi="Times New Roman"/>
          <w:b/>
          <w:color w:val="000000"/>
        </w:rPr>
        <w:t>(B) LIPT1-targeting siRNA duplexes</w:t>
      </w:r>
    </w:p>
    <w:tbl>
      <w:tblPr>
        <w:tblStyle w:val="32"/>
        <w:tblW w:w="4998" w:type="pct"/>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autofit"/>
        <w:tblCellMar>
          <w:top w:w="0" w:type="dxa"/>
          <w:left w:w="108" w:type="dxa"/>
          <w:bottom w:w="0" w:type="dxa"/>
          <w:right w:w="108" w:type="dxa"/>
        </w:tblCellMar>
      </w:tblPr>
      <w:tblGrid>
        <w:gridCol w:w="1929"/>
        <w:gridCol w:w="3927"/>
        <w:gridCol w:w="3871"/>
      </w:tblGrid>
      <w:tr w14:paraId="7B83FC3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tblHeader/>
          <w:jc w:val="center"/>
        </w:trPr>
        <w:tc>
          <w:tcPr>
            <w:tcW w:w="991" w:type="pct"/>
            <w:tcBorders>
              <w:top w:val="single" w:color="auto" w:sz="12" w:space="0"/>
              <w:left w:val="nil"/>
              <w:bottom w:val="nil"/>
              <w:right w:val="nil"/>
            </w:tcBorders>
            <w:noWrap w:val="0"/>
            <w:tcMar>
              <w:top w:w="65" w:type="dxa"/>
              <w:left w:w="65" w:type="dxa"/>
              <w:bottom w:w="65" w:type="dxa"/>
              <w:right w:w="65" w:type="dxa"/>
            </w:tcMar>
            <w:vAlign w:val="center"/>
          </w:tcPr>
          <w:p w14:paraId="0F303386">
            <w:pPr>
              <w:keepNext w:val="0"/>
              <w:widowControl/>
              <w:snapToGrid w:val="0"/>
              <w:spacing w:before="60" w:after="60" w:line="240" w:lineRule="auto"/>
              <w:ind w:left="0" w:leftChars="0" w:right="0" w:rightChars="0" w:firstLine="0" w:firstLineChars="0"/>
              <w:jc w:val="center"/>
              <w:rPr>
                <w:rFonts w:ascii="Times New Roman" w:eastAsia="ＭＳ 明朝"/>
                <w:b/>
                <w:sz w:val="21"/>
              </w:rPr>
            </w:pPr>
            <w:r>
              <w:rPr>
                <w:rFonts w:ascii="Times New Roman" w:hAnsi="Times New Roman" w:eastAsia="ＭＳ 明朝"/>
                <w:b/>
                <w:color w:val="000000"/>
                <w:sz w:val="21"/>
              </w:rPr>
              <w:t>siRNA</w:t>
            </w:r>
          </w:p>
        </w:tc>
        <w:tc>
          <w:tcPr>
            <w:tcW w:w="2018" w:type="pct"/>
            <w:tcBorders>
              <w:top w:val="single" w:color="auto" w:sz="12" w:space="0"/>
              <w:left w:val="nil"/>
              <w:bottom w:val="nil"/>
              <w:right w:val="nil"/>
            </w:tcBorders>
            <w:noWrap w:val="0"/>
            <w:tcMar>
              <w:top w:w="65" w:type="dxa"/>
              <w:left w:w="65" w:type="dxa"/>
              <w:bottom w:w="65" w:type="dxa"/>
              <w:right w:w="65" w:type="dxa"/>
            </w:tcMar>
            <w:vAlign w:val="center"/>
          </w:tcPr>
          <w:p w14:paraId="56368757">
            <w:pPr>
              <w:keepNext w:val="0"/>
              <w:widowControl/>
              <w:snapToGrid w:val="0"/>
              <w:spacing w:before="60" w:after="60" w:line="240" w:lineRule="auto"/>
              <w:ind w:left="0" w:leftChars="0" w:right="0" w:rightChars="0" w:firstLine="0" w:firstLineChars="0"/>
              <w:jc w:val="center"/>
              <w:rPr>
                <w:rFonts w:ascii="Times New Roman" w:eastAsia="ＭＳ 明朝"/>
                <w:b/>
                <w:sz w:val="21"/>
              </w:rPr>
            </w:pPr>
            <w:r>
              <w:rPr>
                <w:rFonts w:ascii="Times New Roman" w:hAnsi="Times New Roman" w:eastAsia="ＭＳ 明朝"/>
                <w:b/>
                <w:color w:val="000000"/>
                <w:sz w:val="21"/>
              </w:rPr>
              <w:t>Sense strand (5′–3′)</w:t>
            </w:r>
          </w:p>
        </w:tc>
        <w:tc>
          <w:tcPr>
            <w:tcW w:w="1989" w:type="pct"/>
            <w:tcBorders>
              <w:top w:val="single" w:color="auto" w:sz="12" w:space="0"/>
              <w:left w:val="nil"/>
              <w:bottom w:val="nil"/>
              <w:right w:val="nil"/>
            </w:tcBorders>
            <w:noWrap w:val="0"/>
            <w:tcMar>
              <w:top w:w="65" w:type="dxa"/>
              <w:left w:w="65" w:type="dxa"/>
              <w:bottom w:w="65" w:type="dxa"/>
              <w:right w:w="65" w:type="dxa"/>
            </w:tcMar>
            <w:vAlign w:val="center"/>
          </w:tcPr>
          <w:p w14:paraId="73CA0C83">
            <w:pPr>
              <w:keepNext w:val="0"/>
              <w:widowControl/>
              <w:snapToGrid w:val="0"/>
              <w:spacing w:before="60" w:after="60" w:line="240" w:lineRule="auto"/>
              <w:ind w:left="0" w:leftChars="0" w:right="0" w:rightChars="0" w:firstLine="0" w:firstLineChars="0"/>
              <w:jc w:val="center"/>
              <w:rPr>
                <w:rFonts w:ascii="Times New Roman" w:eastAsia="ＭＳ 明朝"/>
                <w:b/>
                <w:sz w:val="21"/>
              </w:rPr>
            </w:pPr>
            <w:r>
              <w:rPr>
                <w:rFonts w:ascii="Times New Roman" w:hAnsi="Times New Roman" w:eastAsia="ＭＳ 明朝"/>
                <w:b/>
                <w:color w:val="000000"/>
                <w:sz w:val="21"/>
              </w:rPr>
              <w:t>Antisense strand (5′–3′)</w:t>
            </w:r>
          </w:p>
        </w:tc>
      </w:tr>
      <w:tr w14:paraId="42DD047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991" w:type="pct"/>
            <w:tcBorders>
              <w:top w:val="single" w:color="auto" w:sz="4" w:space="0"/>
              <w:left w:val="nil"/>
              <w:bottom w:val="nil"/>
              <w:right w:val="nil"/>
            </w:tcBorders>
            <w:noWrap w:val="0"/>
            <w:tcMar>
              <w:top w:w="65" w:type="dxa"/>
              <w:left w:w="65" w:type="dxa"/>
              <w:bottom w:w="65" w:type="dxa"/>
              <w:right w:w="65" w:type="dxa"/>
            </w:tcMar>
            <w:vAlign w:val="center"/>
          </w:tcPr>
          <w:p w14:paraId="3E5C2E8E">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LIPT1-380 (si1)</w:t>
            </w:r>
          </w:p>
        </w:tc>
        <w:tc>
          <w:tcPr>
            <w:tcW w:w="2018" w:type="pct"/>
            <w:tcBorders>
              <w:top w:val="single" w:color="auto" w:sz="4" w:space="0"/>
              <w:left w:val="nil"/>
              <w:bottom w:val="nil"/>
              <w:right w:val="nil"/>
            </w:tcBorders>
            <w:noWrap w:val="0"/>
            <w:tcMar>
              <w:top w:w="65" w:type="dxa"/>
              <w:left w:w="65" w:type="dxa"/>
              <w:bottom w:w="65" w:type="dxa"/>
              <w:right w:w="65" w:type="dxa"/>
            </w:tcMar>
            <w:vAlign w:val="center"/>
          </w:tcPr>
          <w:p w14:paraId="58E13B1D">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GAGAAGAAGUGGAGGAGGATT</w:t>
            </w:r>
          </w:p>
        </w:tc>
        <w:tc>
          <w:tcPr>
            <w:tcW w:w="1989" w:type="pct"/>
            <w:tcBorders>
              <w:top w:val="single" w:color="auto" w:sz="4" w:space="0"/>
              <w:left w:val="nil"/>
              <w:bottom w:val="nil"/>
              <w:right w:val="nil"/>
            </w:tcBorders>
            <w:noWrap w:val="0"/>
            <w:tcMar>
              <w:top w:w="65" w:type="dxa"/>
              <w:left w:w="65" w:type="dxa"/>
              <w:bottom w:w="65" w:type="dxa"/>
              <w:right w:w="65" w:type="dxa"/>
            </w:tcMar>
            <w:vAlign w:val="center"/>
          </w:tcPr>
          <w:p w14:paraId="297AD1AB">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UCCUCCUCCACUUCUUCUCTT</w:t>
            </w:r>
          </w:p>
        </w:tc>
      </w:tr>
      <w:tr w14:paraId="7ABCA929">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991" w:type="pct"/>
            <w:tcBorders>
              <w:top w:val="nil"/>
              <w:left w:val="nil"/>
              <w:bottom w:val="nil"/>
              <w:right w:val="nil"/>
            </w:tcBorders>
            <w:noWrap w:val="0"/>
            <w:tcMar>
              <w:top w:w="65" w:type="dxa"/>
              <w:left w:w="65" w:type="dxa"/>
              <w:bottom w:w="65" w:type="dxa"/>
              <w:right w:w="65" w:type="dxa"/>
            </w:tcMar>
            <w:vAlign w:val="center"/>
          </w:tcPr>
          <w:p w14:paraId="64EA8E5F">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LIPT1-892 (si2)</w:t>
            </w:r>
          </w:p>
        </w:tc>
        <w:tc>
          <w:tcPr>
            <w:tcW w:w="2018" w:type="pct"/>
            <w:tcBorders>
              <w:top w:val="nil"/>
              <w:left w:val="nil"/>
              <w:bottom w:val="nil"/>
              <w:right w:val="nil"/>
            </w:tcBorders>
            <w:noWrap w:val="0"/>
            <w:tcMar>
              <w:top w:w="65" w:type="dxa"/>
              <w:left w:w="65" w:type="dxa"/>
              <w:bottom w:w="65" w:type="dxa"/>
              <w:right w:w="65" w:type="dxa"/>
            </w:tcMar>
            <w:vAlign w:val="center"/>
          </w:tcPr>
          <w:p w14:paraId="4834FF4A">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GGGAGUGGAUAUAUGGCAATT</w:t>
            </w:r>
          </w:p>
        </w:tc>
        <w:tc>
          <w:tcPr>
            <w:tcW w:w="1989" w:type="pct"/>
            <w:tcBorders>
              <w:top w:val="nil"/>
              <w:left w:val="nil"/>
              <w:bottom w:val="nil"/>
              <w:right w:val="nil"/>
            </w:tcBorders>
            <w:noWrap w:val="0"/>
            <w:tcMar>
              <w:top w:w="65" w:type="dxa"/>
              <w:left w:w="65" w:type="dxa"/>
              <w:bottom w:w="65" w:type="dxa"/>
              <w:right w:w="65" w:type="dxa"/>
            </w:tcMar>
            <w:vAlign w:val="center"/>
          </w:tcPr>
          <w:p w14:paraId="0457B0C2">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UUGCCAUAUAUCCACUCCCTT</w:t>
            </w:r>
          </w:p>
        </w:tc>
      </w:tr>
      <w:tr w14:paraId="01965281">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991" w:type="pct"/>
            <w:tcBorders>
              <w:top w:val="nil"/>
              <w:left w:val="nil"/>
              <w:bottom w:val="single" w:color="auto" w:sz="12" w:space="0"/>
              <w:right w:val="nil"/>
            </w:tcBorders>
            <w:noWrap w:val="0"/>
            <w:tcMar>
              <w:top w:w="65" w:type="dxa"/>
              <w:left w:w="65" w:type="dxa"/>
              <w:bottom w:w="65" w:type="dxa"/>
              <w:right w:w="65" w:type="dxa"/>
            </w:tcMar>
            <w:vAlign w:val="center"/>
          </w:tcPr>
          <w:p w14:paraId="2F066CA4">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LIPT1-1049 (si3)</w:t>
            </w:r>
          </w:p>
        </w:tc>
        <w:tc>
          <w:tcPr>
            <w:tcW w:w="2018" w:type="pct"/>
            <w:tcBorders>
              <w:top w:val="nil"/>
              <w:left w:val="nil"/>
              <w:bottom w:val="single" w:color="auto" w:sz="12" w:space="0"/>
              <w:right w:val="nil"/>
            </w:tcBorders>
            <w:noWrap w:val="0"/>
            <w:tcMar>
              <w:top w:w="65" w:type="dxa"/>
              <w:left w:w="65" w:type="dxa"/>
              <w:bottom w:w="65" w:type="dxa"/>
              <w:right w:w="65" w:type="dxa"/>
            </w:tcMar>
            <w:vAlign w:val="center"/>
          </w:tcPr>
          <w:p w14:paraId="65677204">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GGAAAUACGUGACAAAUUATT</w:t>
            </w:r>
          </w:p>
        </w:tc>
        <w:tc>
          <w:tcPr>
            <w:tcW w:w="1989" w:type="pct"/>
            <w:tcBorders>
              <w:top w:val="nil"/>
              <w:left w:val="nil"/>
              <w:bottom w:val="single" w:color="auto" w:sz="12" w:space="0"/>
              <w:right w:val="nil"/>
            </w:tcBorders>
            <w:noWrap w:val="0"/>
            <w:tcMar>
              <w:top w:w="65" w:type="dxa"/>
              <w:left w:w="65" w:type="dxa"/>
              <w:bottom w:w="65" w:type="dxa"/>
              <w:right w:w="65" w:type="dxa"/>
            </w:tcMar>
            <w:vAlign w:val="center"/>
          </w:tcPr>
          <w:p w14:paraId="0B926068">
            <w:pPr>
              <w:keepNext w:val="0"/>
              <w:widowControl/>
              <w:snapToGrid w:val="0"/>
              <w:spacing w:before="60" w:after="60" w:line="240" w:lineRule="auto"/>
              <w:ind w:left="0" w:leftChars="0" w:right="0" w:rightChars="0" w:firstLine="0" w:firstLineChars="0"/>
              <w:jc w:val="center"/>
              <w:rPr>
                <w:rFonts w:ascii="Times New Roman" w:eastAsia="ＭＳ 明朝"/>
                <w:sz w:val="21"/>
              </w:rPr>
            </w:pPr>
            <w:r>
              <w:rPr>
                <w:rFonts w:ascii="Times New Roman" w:hAnsi="Times New Roman" w:eastAsia="ＭＳ 明朝"/>
                <w:b w:val="0"/>
                <w:color w:val="000000"/>
                <w:sz w:val="21"/>
              </w:rPr>
              <w:t>UAAUUUGUCACGUAUUUCCTT</w:t>
            </w:r>
          </w:p>
        </w:tc>
      </w:tr>
    </w:tbl>
    <w:p w14:paraId="7AA4F86C">
      <w:pPr>
        <w:keepNext w:val="0"/>
        <w:keepLines w:val="0"/>
        <w:widowControl/>
        <w:spacing w:line="276" w:lineRule="auto"/>
        <w:ind w:left="0" w:right="0" w:firstLine="0"/>
        <w:jc w:val="left"/>
      </w:pPr>
      <w:r>
        <w:t>si-LIPT1-380 (si1) was selected for the functional experiments. The sequences shown include the terminal TT residues.</w:t>
      </w:r>
    </w:p>
    <w:p w14:paraId="0146DFAC">
      <w:pPr>
        <w:keepNext/>
        <w:keepLines w:val="0"/>
        <w:widowControl/>
        <w:spacing w:line="276" w:lineRule="auto"/>
        <w:ind w:left="0" w:right="0" w:firstLine="0"/>
        <w:jc w:val="left"/>
      </w:pPr>
      <w:r>
        <w:rPr>
          <w:rFonts w:ascii="Times New Roman" w:hAnsi="Times New Roman"/>
          <w:b/>
          <w:color w:val="000000"/>
        </w:rPr>
        <w:t>(C) Negative controls and group terminology</w:t>
      </w:r>
    </w:p>
    <w:tbl>
      <w:tblPr>
        <w:tblStyle w:val="32"/>
        <w:tblW w:w="5000" w:type="pct"/>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autofit"/>
        <w:tblCellMar>
          <w:top w:w="0" w:type="dxa"/>
          <w:left w:w="108" w:type="dxa"/>
          <w:bottom w:w="0" w:type="dxa"/>
          <w:right w:w="108" w:type="dxa"/>
        </w:tblCellMar>
      </w:tblPr>
      <w:tblGrid>
        <w:gridCol w:w="888"/>
        <w:gridCol w:w="8843"/>
      </w:tblGrid>
      <w:tr w14:paraId="3A8B47D5">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456" w:type="pct"/>
            <w:tcBorders>
              <w:top w:val="single" w:color="auto" w:sz="12" w:space="0"/>
              <w:left w:val="nil"/>
              <w:bottom w:val="nil"/>
              <w:right w:val="nil"/>
            </w:tcBorders>
            <w:noWrap w:val="0"/>
            <w:tcMar>
              <w:top w:w="65" w:type="dxa"/>
              <w:left w:w="65" w:type="dxa"/>
              <w:bottom w:w="65" w:type="dxa"/>
              <w:right w:w="65" w:type="dxa"/>
            </w:tcMar>
            <w:vAlign w:val="center"/>
          </w:tcPr>
          <w:p w14:paraId="4271CCB5">
            <w:pPr>
              <w:keepNext w:val="0"/>
              <w:widowControl/>
              <w:snapToGrid w:val="0"/>
              <w:spacing w:before="60" w:after="60" w:line="252" w:lineRule="auto"/>
              <w:jc w:val="center"/>
            </w:pPr>
            <w:r>
              <w:rPr>
                <w:rFonts w:ascii="Times New Roman" w:hAnsi="Times New Roman"/>
                <w:b/>
                <w:color w:val="000000"/>
                <w:sz w:val="22"/>
              </w:rPr>
              <w:t>Label</w:t>
            </w:r>
          </w:p>
        </w:tc>
        <w:tc>
          <w:tcPr>
            <w:tcW w:w="4543" w:type="pct"/>
            <w:tcBorders>
              <w:top w:val="single" w:color="auto" w:sz="12" w:space="0"/>
              <w:left w:val="nil"/>
              <w:bottom w:val="nil"/>
              <w:right w:val="nil"/>
            </w:tcBorders>
            <w:noWrap w:val="0"/>
            <w:tcMar>
              <w:top w:w="65" w:type="dxa"/>
              <w:left w:w="65" w:type="dxa"/>
              <w:bottom w:w="65" w:type="dxa"/>
              <w:right w:w="65" w:type="dxa"/>
            </w:tcMar>
            <w:vAlign w:val="center"/>
          </w:tcPr>
          <w:p w14:paraId="5AD7EDBE">
            <w:pPr>
              <w:keepNext w:val="0"/>
              <w:widowControl/>
              <w:snapToGrid w:val="0"/>
              <w:spacing w:before="60" w:after="60" w:line="252" w:lineRule="auto"/>
              <w:jc w:val="center"/>
            </w:pPr>
            <w:r>
              <w:rPr>
                <w:rFonts w:ascii="Times New Roman" w:hAnsi="Times New Roman"/>
                <w:b/>
                <w:color w:val="000000"/>
                <w:sz w:val="22"/>
              </w:rPr>
              <w:t>Treatment and use</w:t>
            </w:r>
          </w:p>
        </w:tc>
      </w:tr>
      <w:tr w14:paraId="0B1AF336">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456" w:type="pct"/>
            <w:tcBorders>
              <w:top w:val="single" w:color="auto" w:sz="4" w:space="0"/>
              <w:left w:val="nil"/>
              <w:bottom w:val="nil"/>
              <w:right w:val="nil"/>
            </w:tcBorders>
            <w:noWrap w:val="0"/>
            <w:tcMar>
              <w:top w:w="65" w:type="dxa"/>
              <w:left w:w="65" w:type="dxa"/>
              <w:bottom w:w="65" w:type="dxa"/>
              <w:right w:w="65" w:type="dxa"/>
            </w:tcMar>
            <w:vAlign w:val="center"/>
          </w:tcPr>
          <w:p w14:paraId="5EF9A4FB">
            <w:pPr>
              <w:widowControl/>
              <w:snapToGrid w:val="0"/>
              <w:spacing w:before="60" w:after="60" w:line="252" w:lineRule="auto"/>
            </w:pPr>
            <w:r>
              <w:rPr>
                <w:rFonts w:ascii="Times New Roman" w:hAnsi="Times New Roman"/>
                <w:color w:val="000000"/>
                <w:sz w:val="22"/>
              </w:rPr>
              <w:t>SC</w:t>
            </w:r>
          </w:p>
        </w:tc>
        <w:tc>
          <w:tcPr>
            <w:tcW w:w="4543" w:type="pct"/>
            <w:tcBorders>
              <w:top w:val="single" w:color="auto" w:sz="4" w:space="0"/>
              <w:left w:val="nil"/>
              <w:bottom w:val="nil"/>
              <w:right w:val="nil"/>
            </w:tcBorders>
            <w:noWrap w:val="0"/>
            <w:tcMar>
              <w:top w:w="65" w:type="dxa"/>
              <w:left w:w="65" w:type="dxa"/>
              <w:bottom w:w="65" w:type="dxa"/>
              <w:right w:w="65" w:type="dxa"/>
            </w:tcMar>
            <w:vAlign w:val="center"/>
          </w:tcPr>
          <w:p w14:paraId="7214BBE8">
            <w:pPr>
              <w:keepNext w:val="0"/>
              <w:widowControl/>
              <w:snapToGrid w:val="0"/>
              <w:spacing w:before="60" w:after="60" w:line="252" w:lineRule="auto"/>
            </w:pPr>
            <w:r>
              <w:t>Silencer Select Negative Control No. 1 siRNA (Invitrogen, Thermo Fisher Scientific; catalogue no. 4390843), delivered using Lipo8000. This commercial non-targeting control is labeled si-NC in main Figures 6–9 and Supplementary Figs. S3 and S4.</w:t>
            </w:r>
          </w:p>
        </w:tc>
      </w:tr>
      <w:tr w14:paraId="789D7FF4">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456" w:type="pct"/>
            <w:tcBorders>
              <w:top w:val="nil"/>
              <w:left w:val="nil"/>
              <w:bottom w:val="single" w:color="auto" w:sz="12" w:space="0"/>
              <w:right w:val="nil"/>
            </w:tcBorders>
            <w:noWrap w:val="0"/>
            <w:tcMar>
              <w:top w:w="65" w:type="dxa"/>
              <w:left w:w="65" w:type="dxa"/>
              <w:bottom w:w="65" w:type="dxa"/>
              <w:right w:w="65" w:type="dxa"/>
            </w:tcMar>
            <w:vAlign w:val="center"/>
          </w:tcPr>
          <w:p w14:paraId="0FDF9FFC">
            <w:pPr>
              <w:keepNext w:val="0"/>
              <w:widowControl/>
              <w:snapToGrid w:val="0"/>
              <w:spacing w:before="60" w:after="60" w:line="252" w:lineRule="auto"/>
            </w:pPr>
            <w:r>
              <w:rPr>
                <w:rFonts w:ascii="Times New Roman" w:hAnsi="Times New Roman"/>
                <w:b w:val="0"/>
                <w:color w:val="000000"/>
                <w:sz w:val="22"/>
              </w:rPr>
              <w:t>NC (mock)</w:t>
            </w:r>
          </w:p>
        </w:tc>
        <w:tc>
          <w:tcPr>
            <w:tcW w:w="4543" w:type="pct"/>
            <w:tcBorders>
              <w:top w:val="nil"/>
              <w:left w:val="nil"/>
              <w:bottom w:val="single" w:color="auto" w:sz="12" w:space="0"/>
              <w:right w:val="nil"/>
            </w:tcBorders>
            <w:noWrap w:val="0"/>
            <w:tcMar>
              <w:top w:w="65" w:type="dxa"/>
              <w:left w:w="65" w:type="dxa"/>
              <w:bottom w:w="65" w:type="dxa"/>
              <w:right w:w="65" w:type="dxa"/>
            </w:tcMar>
            <w:vAlign w:val="center"/>
          </w:tcPr>
          <w:p w14:paraId="2CCEEE4E">
            <w:pPr>
              <w:keepNext w:val="0"/>
              <w:widowControl/>
              <w:snapToGrid w:val="0"/>
              <w:spacing w:before="60" w:after="60" w:line="252" w:lineRule="auto"/>
            </w:pPr>
            <w:r>
              <w:rPr>
                <w:rFonts w:ascii="Times New Roman" w:hAnsi="Times New Roman"/>
                <w:b w:val="0"/>
                <w:color w:val="000000"/>
                <w:sz w:val="22"/>
              </w:rPr>
              <w:t>Lipo8000 alone, with no siRNA. This control was used in the siRNA screen (main Figure 5C), not in the subsequent functional comparisons.</w:t>
            </w:r>
          </w:p>
        </w:tc>
      </w:tr>
    </w:tbl>
    <w:p w14:paraId="01319B07">
      <w:pPr>
        <w:keepNext w:val="0"/>
        <w:keepLines w:val="0"/>
        <w:widowControl/>
        <w:spacing w:line="276" w:lineRule="auto"/>
        <w:ind w:left="0" w:right="0" w:firstLine="0"/>
        <w:jc w:val="left"/>
      </w:pPr>
      <w:r>
        <w:t>Targeting and non-targeting siRNAs were used at a final concentration of 50 nM. All screening groups followed the same transfection and medium-change schedule.</w:t>
      </w:r>
    </w:p>
    <w:p w14:paraId="794C89A2">
      <w:pPr>
        <w:pStyle w:val="3"/>
        <w:keepNext/>
        <w:pageBreakBefore/>
        <w:widowControl/>
        <w:spacing w:line="276" w:lineRule="auto"/>
        <w:ind w:left="0" w:right="0" w:firstLine="0"/>
        <w:jc w:val="left"/>
      </w:pPr>
      <w:r>
        <w:t>Supplementary Table S3. Individual flow-cytometry measurements</w:t>
      </w:r>
    </w:p>
    <w:p w14:paraId="507D3094">
      <w:pPr>
        <w:keepNext w:val="0"/>
        <w:keepLines w:val="0"/>
        <w:widowControl/>
        <w:spacing w:line="276" w:lineRule="auto"/>
        <w:ind w:left="0" w:right="0" w:firstLine="0"/>
        <w:jc w:val="left"/>
      </w:pPr>
      <w:r>
        <w:t>Values are total Annexin V-positive fractions (%) calculated as Q3-2 + Q3-4 within the displayed parent population. Baseline, knockdown, and rescue comparisons were conducted and analyzed separately; their controls were not pooled. The knockdown and rescue comparisons are shown in Supplementary Figs. S3 and S4, respectively. Samples 1–3 follow the order in the source data. SD, standard deviation.</w:t>
      </w:r>
    </w:p>
    <w:tbl>
      <w:tblPr>
        <w:tblStyle w:val="32"/>
        <w:tblW w:w="4996" w:type="pct"/>
        <w:jc w:val="center"/>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Layout w:type="autofit"/>
        <w:tblCellMar>
          <w:top w:w="0" w:type="dxa"/>
          <w:left w:w="108" w:type="dxa"/>
          <w:bottom w:w="0" w:type="dxa"/>
          <w:right w:w="108" w:type="dxa"/>
        </w:tblCellMar>
      </w:tblPr>
      <w:tblGrid>
        <w:gridCol w:w="1495"/>
        <w:gridCol w:w="3363"/>
        <w:gridCol w:w="1170"/>
        <w:gridCol w:w="1170"/>
        <w:gridCol w:w="1170"/>
        <w:gridCol w:w="1441"/>
      </w:tblGrid>
      <w:tr w14:paraId="1D108208">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tblHeader/>
          <w:jc w:val="center"/>
        </w:trPr>
        <w:tc>
          <w:tcPr>
            <w:tcW w:w="7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002C4C0">
            <w:pPr>
              <w:widowControl/>
              <w:snapToGrid w:val="0"/>
              <w:spacing w:before="60" w:after="60" w:line="240" w:lineRule="auto"/>
              <w:ind w:left="0" w:leftChars="0" w:right="0" w:rightChars="0" w:firstLine="0" w:firstLineChars="0"/>
              <w:jc w:val="center"/>
              <w:rPr>
                <w:rFonts w:ascii="Times New Roman" w:eastAsia="ＭＳ 明朝"/>
                <w:b/>
                <w:sz w:val="22"/>
              </w:rPr>
            </w:pPr>
            <w:r>
              <w:rPr>
                <w:rFonts w:ascii="Times New Roman" w:hAnsi="Times New Roman" w:eastAsia="ＭＳ 明朝"/>
                <w:b/>
                <w:color w:val="000000"/>
                <w:sz w:val="22"/>
              </w:rPr>
              <w:t>Comparison</w:t>
            </w:r>
          </w:p>
        </w:tc>
        <w:tc>
          <w:tcPr>
            <w:tcW w:w="171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D1F75AF">
            <w:pPr>
              <w:widowControl/>
              <w:snapToGrid w:val="0"/>
              <w:spacing w:before="60" w:after="60" w:line="240" w:lineRule="auto"/>
              <w:ind w:left="0" w:leftChars="0" w:right="0" w:rightChars="0" w:firstLine="0" w:firstLineChars="0"/>
              <w:jc w:val="center"/>
              <w:rPr>
                <w:rFonts w:ascii="Times New Roman" w:eastAsia="ＭＳ 明朝"/>
                <w:b/>
                <w:sz w:val="22"/>
              </w:rPr>
            </w:pPr>
            <w:r>
              <w:rPr>
                <w:rFonts w:ascii="Times New Roman" w:hAnsi="Times New Roman" w:eastAsia="ＭＳ 明朝"/>
                <w:b/>
                <w:color w:val="000000"/>
                <w:sz w:val="22"/>
              </w:rPr>
              <w:t>Group</w:t>
            </w:r>
          </w:p>
        </w:tc>
        <w:tc>
          <w:tcPr>
            <w:tcW w:w="596"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C960835">
            <w:pPr>
              <w:widowControl/>
              <w:snapToGrid w:val="0"/>
              <w:spacing w:before="60" w:after="60" w:line="240" w:lineRule="auto"/>
              <w:ind w:left="0" w:leftChars="0" w:right="0" w:rightChars="0" w:firstLine="0" w:firstLineChars="0"/>
              <w:jc w:val="center"/>
              <w:rPr>
                <w:rFonts w:ascii="Times New Roman" w:eastAsia="ＭＳ 明朝"/>
                <w:b/>
                <w:sz w:val="22"/>
              </w:rPr>
            </w:pPr>
            <w:r>
              <w:rPr>
                <w:rFonts w:ascii="Times New Roman" w:hAnsi="Times New Roman" w:eastAsia="ＭＳ 明朝"/>
                <w:b/>
                <w:color w:val="000000"/>
                <w:sz w:val="22"/>
              </w:rPr>
              <w:t>Sample 1</w:t>
            </w:r>
            <w:r>
              <w:rPr>
                <w:rFonts w:ascii="Times New Roman" w:hAnsi="Times New Roman" w:eastAsia="ＭＳ 明朝"/>
                <w:b/>
                <w:color w:val="000000"/>
                <w:sz w:val="22"/>
              </w:rPr>
              <w:br w:type="textWrapping"/>
            </w:r>
            <w:r>
              <w:rPr>
                <w:rFonts w:ascii="Times New Roman" w:hAnsi="Times New Roman" w:eastAsia="ＭＳ 明朝"/>
                <w:b/>
                <w:color w:val="000000"/>
                <w:sz w:val="22"/>
              </w:rPr>
              <w:t>(%)</w:t>
            </w:r>
          </w:p>
        </w:tc>
        <w:tc>
          <w:tcPr>
            <w:tcW w:w="596"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D56621E">
            <w:pPr>
              <w:widowControl/>
              <w:snapToGrid w:val="0"/>
              <w:spacing w:before="60" w:after="60" w:line="240" w:lineRule="auto"/>
              <w:ind w:left="0" w:leftChars="0" w:right="0" w:rightChars="0" w:firstLine="0" w:firstLineChars="0"/>
              <w:jc w:val="center"/>
              <w:rPr>
                <w:rFonts w:ascii="Times New Roman" w:eastAsia="ＭＳ 明朝"/>
                <w:b/>
                <w:sz w:val="22"/>
              </w:rPr>
            </w:pPr>
            <w:r>
              <w:rPr>
                <w:rFonts w:ascii="Times New Roman" w:hAnsi="Times New Roman" w:eastAsia="ＭＳ 明朝"/>
                <w:b/>
                <w:color w:val="000000"/>
                <w:sz w:val="22"/>
              </w:rPr>
              <w:t>Sample 2</w:t>
            </w:r>
            <w:r>
              <w:rPr>
                <w:rFonts w:ascii="Times New Roman" w:hAnsi="Times New Roman" w:eastAsia="ＭＳ 明朝"/>
                <w:b/>
                <w:color w:val="000000"/>
                <w:sz w:val="22"/>
              </w:rPr>
              <w:br w:type="textWrapping"/>
            </w:r>
            <w:r>
              <w:rPr>
                <w:rFonts w:ascii="Times New Roman" w:hAnsi="Times New Roman" w:eastAsia="ＭＳ 明朝"/>
                <w:b/>
                <w:color w:val="000000"/>
                <w:sz w:val="22"/>
              </w:rPr>
              <w:t>(%)</w:t>
            </w:r>
          </w:p>
        </w:tc>
        <w:tc>
          <w:tcPr>
            <w:tcW w:w="596"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AA66E2F">
            <w:pPr>
              <w:widowControl/>
              <w:snapToGrid w:val="0"/>
              <w:spacing w:before="60" w:after="60" w:line="240" w:lineRule="auto"/>
              <w:ind w:left="0" w:leftChars="0" w:right="0" w:rightChars="0" w:firstLine="0" w:firstLineChars="0"/>
              <w:jc w:val="center"/>
              <w:rPr>
                <w:rFonts w:ascii="Times New Roman" w:eastAsia="ＭＳ 明朝"/>
                <w:b/>
                <w:sz w:val="22"/>
              </w:rPr>
            </w:pPr>
            <w:r>
              <w:rPr>
                <w:rFonts w:ascii="Times New Roman" w:hAnsi="Times New Roman" w:eastAsia="ＭＳ 明朝"/>
                <w:b/>
                <w:color w:val="000000"/>
                <w:sz w:val="22"/>
              </w:rPr>
              <w:t>Sample 3</w:t>
            </w:r>
            <w:r>
              <w:rPr>
                <w:rFonts w:ascii="Times New Roman" w:hAnsi="Times New Roman" w:eastAsia="ＭＳ 明朝"/>
                <w:b/>
                <w:color w:val="000000"/>
                <w:sz w:val="22"/>
              </w:rPr>
              <w:br w:type="textWrapping"/>
            </w:r>
            <w:r>
              <w:rPr>
                <w:rFonts w:ascii="Times New Roman" w:hAnsi="Times New Roman" w:eastAsia="ＭＳ 明朝"/>
                <w:b/>
                <w:color w:val="000000"/>
                <w:sz w:val="22"/>
              </w:rPr>
              <w:t>(%)</w:t>
            </w:r>
          </w:p>
        </w:tc>
        <w:tc>
          <w:tcPr>
            <w:tcW w:w="734"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97F9678">
            <w:pPr>
              <w:widowControl/>
              <w:snapToGrid w:val="0"/>
              <w:spacing w:before="60" w:after="60" w:line="240" w:lineRule="auto"/>
              <w:ind w:left="0" w:leftChars="0" w:right="0" w:rightChars="0" w:firstLine="0" w:firstLineChars="0"/>
              <w:jc w:val="center"/>
              <w:rPr>
                <w:rFonts w:ascii="Times New Roman" w:eastAsia="ＭＳ 明朝"/>
                <w:b/>
                <w:sz w:val="22"/>
              </w:rPr>
            </w:pPr>
            <w:r>
              <w:rPr>
                <w:rFonts w:ascii="Times New Roman" w:hAnsi="Times New Roman" w:eastAsia="ＭＳ 明朝"/>
                <w:b/>
                <w:color w:val="000000"/>
                <w:sz w:val="22"/>
              </w:rPr>
              <w:t>Mean ± SD</w:t>
            </w:r>
            <w:r>
              <w:rPr>
                <w:rFonts w:ascii="Times New Roman" w:hAnsi="Times New Roman" w:eastAsia="ＭＳ 明朝"/>
                <w:b/>
                <w:color w:val="000000"/>
                <w:sz w:val="22"/>
              </w:rPr>
              <w:br w:type="textWrapping"/>
            </w:r>
            <w:r>
              <w:rPr>
                <w:rFonts w:ascii="Times New Roman" w:hAnsi="Times New Roman" w:eastAsia="ＭＳ 明朝"/>
                <w:b/>
                <w:color w:val="000000"/>
                <w:sz w:val="22"/>
              </w:rPr>
              <w:t>(%)</w:t>
            </w:r>
          </w:p>
        </w:tc>
      </w:tr>
      <w:tr w14:paraId="0476F8AC">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762" w:type="pct"/>
            <w:tcBorders>
              <w:top w:val="single" w:color="auto" w:sz="4" w:space="0"/>
              <w:left w:val="nil"/>
              <w:bottom w:val="nil"/>
              <w:right w:val="nil"/>
            </w:tcBorders>
            <w:noWrap w:val="0"/>
            <w:tcMar>
              <w:top w:w="-1" w:type="dxa"/>
              <w:left w:w="-1" w:type="dxa"/>
              <w:bottom w:w="-1" w:type="dxa"/>
              <w:right w:w="-1" w:type="dxa"/>
            </w:tcMar>
            <w:vAlign w:val="center"/>
          </w:tcPr>
          <w:p w14:paraId="25FBEE35">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Baseline</w:t>
            </w:r>
          </w:p>
        </w:tc>
        <w:tc>
          <w:tcPr>
            <w:tcW w:w="1713" w:type="pct"/>
            <w:tcBorders>
              <w:top w:val="single" w:color="auto" w:sz="4" w:space="0"/>
              <w:left w:val="nil"/>
              <w:bottom w:val="nil"/>
              <w:right w:val="nil"/>
            </w:tcBorders>
            <w:noWrap w:val="0"/>
            <w:tcMar>
              <w:top w:w="-1" w:type="dxa"/>
              <w:left w:w="-1" w:type="dxa"/>
              <w:bottom w:w="-1" w:type="dxa"/>
              <w:right w:w="-1" w:type="dxa"/>
            </w:tcMar>
            <w:vAlign w:val="center"/>
          </w:tcPr>
          <w:p w14:paraId="57A74CD4">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FLS</w:t>
            </w:r>
          </w:p>
        </w:tc>
        <w:tc>
          <w:tcPr>
            <w:tcW w:w="596" w:type="pct"/>
            <w:tcBorders>
              <w:top w:val="single" w:color="auto" w:sz="4" w:space="0"/>
              <w:left w:val="nil"/>
              <w:bottom w:val="nil"/>
              <w:right w:val="nil"/>
            </w:tcBorders>
            <w:noWrap w:val="0"/>
            <w:tcMar>
              <w:top w:w="-1" w:type="dxa"/>
              <w:left w:w="-1" w:type="dxa"/>
              <w:bottom w:w="-1" w:type="dxa"/>
              <w:right w:w="-1" w:type="dxa"/>
            </w:tcMar>
            <w:vAlign w:val="center"/>
          </w:tcPr>
          <w:p w14:paraId="5013F5E2">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15.30</w:t>
            </w:r>
          </w:p>
        </w:tc>
        <w:tc>
          <w:tcPr>
            <w:tcW w:w="596" w:type="pct"/>
            <w:tcBorders>
              <w:top w:val="single" w:color="auto" w:sz="4" w:space="0"/>
              <w:left w:val="nil"/>
              <w:bottom w:val="nil"/>
              <w:right w:val="nil"/>
            </w:tcBorders>
            <w:noWrap w:val="0"/>
            <w:tcMar>
              <w:top w:w="-1" w:type="dxa"/>
              <w:left w:w="-1" w:type="dxa"/>
              <w:bottom w:w="-1" w:type="dxa"/>
              <w:right w:w="-1" w:type="dxa"/>
            </w:tcMar>
            <w:vAlign w:val="center"/>
          </w:tcPr>
          <w:p w14:paraId="4B8D0032">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16.05</w:t>
            </w:r>
          </w:p>
        </w:tc>
        <w:tc>
          <w:tcPr>
            <w:tcW w:w="596" w:type="pct"/>
            <w:tcBorders>
              <w:top w:val="single" w:color="auto" w:sz="4" w:space="0"/>
              <w:left w:val="nil"/>
              <w:bottom w:val="nil"/>
              <w:right w:val="nil"/>
            </w:tcBorders>
            <w:noWrap w:val="0"/>
            <w:tcMar>
              <w:top w:w="-1" w:type="dxa"/>
              <w:left w:w="-1" w:type="dxa"/>
              <w:bottom w:w="-1" w:type="dxa"/>
              <w:right w:w="-1" w:type="dxa"/>
            </w:tcMar>
            <w:vAlign w:val="center"/>
          </w:tcPr>
          <w:p w14:paraId="217BA284">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14.79</w:t>
            </w:r>
          </w:p>
        </w:tc>
        <w:tc>
          <w:tcPr>
            <w:tcW w:w="734" w:type="pct"/>
            <w:tcBorders>
              <w:top w:val="single" w:color="auto" w:sz="4" w:space="0"/>
              <w:left w:val="nil"/>
              <w:bottom w:val="nil"/>
              <w:right w:val="nil"/>
            </w:tcBorders>
            <w:noWrap w:val="0"/>
            <w:tcMar>
              <w:top w:w="-1" w:type="dxa"/>
              <w:left w:w="-1" w:type="dxa"/>
              <w:bottom w:w="-1" w:type="dxa"/>
              <w:right w:w="-1" w:type="dxa"/>
            </w:tcMar>
            <w:vAlign w:val="center"/>
          </w:tcPr>
          <w:p w14:paraId="3B6ADBCC">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15.38 ± 0.63</w:t>
            </w:r>
          </w:p>
        </w:tc>
      </w:tr>
      <w:tr w14:paraId="1FB45A12">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762" w:type="pct"/>
            <w:tcBorders>
              <w:top w:val="nil"/>
              <w:left w:val="nil"/>
              <w:bottom w:val="nil"/>
              <w:right w:val="nil"/>
            </w:tcBorders>
            <w:noWrap w:val="0"/>
            <w:tcMar>
              <w:top w:w="-1" w:type="dxa"/>
              <w:left w:w="-1" w:type="dxa"/>
              <w:bottom w:w="-1" w:type="dxa"/>
              <w:right w:w="-1" w:type="dxa"/>
            </w:tcMar>
            <w:vAlign w:val="center"/>
          </w:tcPr>
          <w:p w14:paraId="13EB8661">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Baseline</w:t>
            </w:r>
          </w:p>
        </w:tc>
        <w:tc>
          <w:tcPr>
            <w:tcW w:w="1713" w:type="pct"/>
            <w:tcBorders>
              <w:top w:val="nil"/>
              <w:left w:val="nil"/>
              <w:bottom w:val="nil"/>
              <w:right w:val="nil"/>
            </w:tcBorders>
            <w:noWrap w:val="0"/>
            <w:tcMar>
              <w:top w:w="-1" w:type="dxa"/>
              <w:left w:w="-1" w:type="dxa"/>
              <w:bottom w:w="-1" w:type="dxa"/>
              <w:right w:w="-1" w:type="dxa"/>
            </w:tcMar>
            <w:vAlign w:val="center"/>
          </w:tcPr>
          <w:p w14:paraId="51E91305">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RA-FLS</w:t>
            </w:r>
          </w:p>
        </w:tc>
        <w:tc>
          <w:tcPr>
            <w:tcW w:w="596" w:type="pct"/>
            <w:tcBorders>
              <w:top w:val="nil"/>
              <w:left w:val="nil"/>
              <w:bottom w:val="nil"/>
              <w:right w:val="nil"/>
            </w:tcBorders>
            <w:noWrap w:val="0"/>
            <w:tcMar>
              <w:top w:w="-1" w:type="dxa"/>
              <w:left w:w="-1" w:type="dxa"/>
              <w:bottom w:w="-1" w:type="dxa"/>
              <w:right w:w="-1" w:type="dxa"/>
            </w:tcMar>
            <w:vAlign w:val="center"/>
          </w:tcPr>
          <w:p w14:paraId="686AF90E">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6.72</w:t>
            </w:r>
          </w:p>
        </w:tc>
        <w:tc>
          <w:tcPr>
            <w:tcW w:w="596" w:type="pct"/>
            <w:tcBorders>
              <w:top w:val="nil"/>
              <w:left w:val="nil"/>
              <w:bottom w:val="nil"/>
              <w:right w:val="nil"/>
            </w:tcBorders>
            <w:noWrap w:val="0"/>
            <w:tcMar>
              <w:top w:w="-1" w:type="dxa"/>
              <w:left w:w="-1" w:type="dxa"/>
              <w:bottom w:w="-1" w:type="dxa"/>
              <w:right w:w="-1" w:type="dxa"/>
            </w:tcMar>
            <w:vAlign w:val="center"/>
          </w:tcPr>
          <w:p w14:paraId="4A7EAFFA">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7.93</w:t>
            </w:r>
          </w:p>
        </w:tc>
        <w:tc>
          <w:tcPr>
            <w:tcW w:w="596" w:type="pct"/>
            <w:tcBorders>
              <w:top w:val="nil"/>
              <w:left w:val="nil"/>
              <w:bottom w:val="nil"/>
              <w:right w:val="nil"/>
            </w:tcBorders>
            <w:noWrap w:val="0"/>
            <w:tcMar>
              <w:top w:w="-1" w:type="dxa"/>
              <w:left w:w="-1" w:type="dxa"/>
              <w:bottom w:w="-1" w:type="dxa"/>
              <w:right w:w="-1" w:type="dxa"/>
            </w:tcMar>
            <w:vAlign w:val="center"/>
          </w:tcPr>
          <w:p w14:paraId="72512C49">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8.52</w:t>
            </w:r>
          </w:p>
        </w:tc>
        <w:tc>
          <w:tcPr>
            <w:tcW w:w="734" w:type="pct"/>
            <w:tcBorders>
              <w:top w:val="nil"/>
              <w:left w:val="nil"/>
              <w:bottom w:val="nil"/>
              <w:right w:val="nil"/>
            </w:tcBorders>
            <w:noWrap w:val="0"/>
            <w:tcMar>
              <w:top w:w="-1" w:type="dxa"/>
              <w:left w:w="-1" w:type="dxa"/>
              <w:bottom w:w="-1" w:type="dxa"/>
              <w:right w:w="-1" w:type="dxa"/>
            </w:tcMar>
            <w:vAlign w:val="center"/>
          </w:tcPr>
          <w:p w14:paraId="64FEC319">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7.72 ± 0.92</w:t>
            </w:r>
          </w:p>
        </w:tc>
      </w:tr>
      <w:tr w14:paraId="0EF692CA">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762" w:type="pct"/>
            <w:tcBorders>
              <w:top w:val="nil"/>
              <w:left w:val="nil"/>
              <w:bottom w:val="nil"/>
              <w:right w:val="nil"/>
            </w:tcBorders>
            <w:noWrap w:val="0"/>
            <w:tcMar>
              <w:top w:w="-1" w:type="dxa"/>
              <w:left w:w="-1" w:type="dxa"/>
              <w:bottom w:w="-1" w:type="dxa"/>
              <w:right w:w="-1" w:type="dxa"/>
            </w:tcMar>
            <w:vAlign w:val="center"/>
          </w:tcPr>
          <w:p w14:paraId="08238BD5">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Knockdown</w:t>
            </w:r>
          </w:p>
        </w:tc>
        <w:tc>
          <w:tcPr>
            <w:tcW w:w="1713" w:type="pct"/>
            <w:tcBorders>
              <w:top w:val="nil"/>
              <w:left w:val="nil"/>
              <w:bottom w:val="nil"/>
              <w:right w:val="nil"/>
            </w:tcBorders>
            <w:noWrap w:val="0"/>
            <w:tcMar>
              <w:top w:w="-1" w:type="dxa"/>
              <w:left w:w="-1" w:type="dxa"/>
              <w:bottom w:w="-1" w:type="dxa"/>
              <w:right w:w="-1" w:type="dxa"/>
            </w:tcMar>
            <w:vAlign w:val="center"/>
          </w:tcPr>
          <w:p w14:paraId="529E2C33">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FLS</w:t>
            </w:r>
          </w:p>
        </w:tc>
        <w:tc>
          <w:tcPr>
            <w:tcW w:w="596" w:type="pct"/>
            <w:tcBorders>
              <w:top w:val="nil"/>
              <w:left w:val="nil"/>
              <w:bottom w:val="nil"/>
              <w:right w:val="nil"/>
            </w:tcBorders>
            <w:noWrap w:val="0"/>
            <w:tcMar>
              <w:top w:w="-1" w:type="dxa"/>
              <w:left w:w="-1" w:type="dxa"/>
              <w:bottom w:w="-1" w:type="dxa"/>
              <w:right w:w="-1" w:type="dxa"/>
            </w:tcMar>
            <w:vAlign w:val="center"/>
          </w:tcPr>
          <w:p w14:paraId="222DC0BC">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14.19</w:t>
            </w:r>
          </w:p>
        </w:tc>
        <w:tc>
          <w:tcPr>
            <w:tcW w:w="596" w:type="pct"/>
            <w:tcBorders>
              <w:top w:val="nil"/>
              <w:left w:val="nil"/>
              <w:bottom w:val="nil"/>
              <w:right w:val="nil"/>
            </w:tcBorders>
            <w:noWrap w:val="0"/>
            <w:tcMar>
              <w:top w:w="-1" w:type="dxa"/>
              <w:left w:w="-1" w:type="dxa"/>
              <w:bottom w:w="-1" w:type="dxa"/>
              <w:right w:w="-1" w:type="dxa"/>
            </w:tcMar>
            <w:vAlign w:val="center"/>
          </w:tcPr>
          <w:p w14:paraId="6CE711A8">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15.36</w:t>
            </w:r>
          </w:p>
        </w:tc>
        <w:tc>
          <w:tcPr>
            <w:tcW w:w="596" w:type="pct"/>
            <w:tcBorders>
              <w:top w:val="nil"/>
              <w:left w:val="nil"/>
              <w:bottom w:val="nil"/>
              <w:right w:val="nil"/>
            </w:tcBorders>
            <w:noWrap w:val="0"/>
            <w:tcMar>
              <w:top w:w="-1" w:type="dxa"/>
              <w:left w:w="-1" w:type="dxa"/>
              <w:bottom w:w="-1" w:type="dxa"/>
              <w:right w:w="-1" w:type="dxa"/>
            </w:tcMar>
            <w:vAlign w:val="center"/>
          </w:tcPr>
          <w:p w14:paraId="6119EA15">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16.14</w:t>
            </w:r>
          </w:p>
        </w:tc>
        <w:tc>
          <w:tcPr>
            <w:tcW w:w="734" w:type="pct"/>
            <w:tcBorders>
              <w:top w:val="nil"/>
              <w:left w:val="nil"/>
              <w:bottom w:val="nil"/>
              <w:right w:val="nil"/>
            </w:tcBorders>
            <w:noWrap w:val="0"/>
            <w:tcMar>
              <w:top w:w="-1" w:type="dxa"/>
              <w:left w:w="-1" w:type="dxa"/>
              <w:bottom w:w="-1" w:type="dxa"/>
              <w:right w:w="-1" w:type="dxa"/>
            </w:tcMar>
            <w:vAlign w:val="center"/>
          </w:tcPr>
          <w:p w14:paraId="588B4562">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15.23 ± 0.98</w:t>
            </w:r>
          </w:p>
        </w:tc>
      </w:tr>
      <w:tr w14:paraId="2BB20E37">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762" w:type="pct"/>
            <w:tcBorders>
              <w:top w:val="nil"/>
              <w:left w:val="nil"/>
              <w:bottom w:val="nil"/>
              <w:right w:val="nil"/>
            </w:tcBorders>
            <w:noWrap w:val="0"/>
            <w:tcMar>
              <w:top w:w="-1" w:type="dxa"/>
              <w:left w:w="-1" w:type="dxa"/>
              <w:bottom w:w="-1" w:type="dxa"/>
              <w:right w:w="-1" w:type="dxa"/>
            </w:tcMar>
            <w:vAlign w:val="center"/>
          </w:tcPr>
          <w:p w14:paraId="02D98B6D">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Knockdown</w:t>
            </w:r>
          </w:p>
        </w:tc>
        <w:tc>
          <w:tcPr>
            <w:tcW w:w="1713" w:type="pct"/>
            <w:tcBorders>
              <w:top w:val="nil"/>
              <w:left w:val="nil"/>
              <w:bottom w:val="nil"/>
              <w:right w:val="nil"/>
            </w:tcBorders>
            <w:noWrap w:val="0"/>
            <w:tcMar>
              <w:top w:w="-1" w:type="dxa"/>
              <w:left w:w="-1" w:type="dxa"/>
              <w:bottom w:w="-1" w:type="dxa"/>
              <w:right w:w="-1" w:type="dxa"/>
            </w:tcMar>
            <w:vAlign w:val="center"/>
          </w:tcPr>
          <w:p w14:paraId="3AB6E003">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RA-FLS</w:t>
            </w:r>
          </w:p>
        </w:tc>
        <w:tc>
          <w:tcPr>
            <w:tcW w:w="596" w:type="pct"/>
            <w:tcBorders>
              <w:top w:val="nil"/>
              <w:left w:val="nil"/>
              <w:bottom w:val="nil"/>
              <w:right w:val="nil"/>
            </w:tcBorders>
            <w:noWrap w:val="0"/>
            <w:tcMar>
              <w:top w:w="-1" w:type="dxa"/>
              <w:left w:w="-1" w:type="dxa"/>
              <w:bottom w:w="-1" w:type="dxa"/>
              <w:right w:w="-1" w:type="dxa"/>
            </w:tcMar>
            <w:vAlign w:val="center"/>
          </w:tcPr>
          <w:p w14:paraId="1699987E">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6.73</w:t>
            </w:r>
          </w:p>
        </w:tc>
        <w:tc>
          <w:tcPr>
            <w:tcW w:w="596" w:type="pct"/>
            <w:tcBorders>
              <w:top w:val="nil"/>
              <w:left w:val="nil"/>
              <w:bottom w:val="nil"/>
              <w:right w:val="nil"/>
            </w:tcBorders>
            <w:noWrap w:val="0"/>
            <w:tcMar>
              <w:top w:w="-1" w:type="dxa"/>
              <w:left w:w="-1" w:type="dxa"/>
              <w:bottom w:w="-1" w:type="dxa"/>
              <w:right w:w="-1" w:type="dxa"/>
            </w:tcMar>
            <w:vAlign w:val="center"/>
          </w:tcPr>
          <w:p w14:paraId="64494AD4">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7.38</w:t>
            </w:r>
          </w:p>
        </w:tc>
        <w:tc>
          <w:tcPr>
            <w:tcW w:w="596" w:type="pct"/>
            <w:tcBorders>
              <w:top w:val="nil"/>
              <w:left w:val="nil"/>
              <w:bottom w:val="nil"/>
              <w:right w:val="nil"/>
            </w:tcBorders>
            <w:noWrap w:val="0"/>
            <w:tcMar>
              <w:top w:w="-1" w:type="dxa"/>
              <w:left w:w="-1" w:type="dxa"/>
              <w:bottom w:w="-1" w:type="dxa"/>
              <w:right w:w="-1" w:type="dxa"/>
            </w:tcMar>
            <w:vAlign w:val="center"/>
          </w:tcPr>
          <w:p w14:paraId="130887B7">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7.45</w:t>
            </w:r>
          </w:p>
        </w:tc>
        <w:tc>
          <w:tcPr>
            <w:tcW w:w="734" w:type="pct"/>
            <w:tcBorders>
              <w:top w:val="nil"/>
              <w:left w:val="nil"/>
              <w:bottom w:val="nil"/>
              <w:right w:val="nil"/>
            </w:tcBorders>
            <w:noWrap w:val="0"/>
            <w:tcMar>
              <w:top w:w="-1" w:type="dxa"/>
              <w:left w:w="-1" w:type="dxa"/>
              <w:bottom w:w="-1" w:type="dxa"/>
              <w:right w:w="-1" w:type="dxa"/>
            </w:tcMar>
            <w:vAlign w:val="center"/>
          </w:tcPr>
          <w:p w14:paraId="7F9108C7">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7.19 ± 0.40</w:t>
            </w:r>
          </w:p>
        </w:tc>
      </w:tr>
      <w:tr w14:paraId="4F0F7D93">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762" w:type="pct"/>
            <w:tcBorders>
              <w:top w:val="nil"/>
              <w:left w:val="nil"/>
              <w:bottom w:val="nil"/>
              <w:right w:val="nil"/>
            </w:tcBorders>
            <w:noWrap w:val="0"/>
            <w:tcMar>
              <w:top w:w="-1" w:type="dxa"/>
              <w:left w:w="-1" w:type="dxa"/>
              <w:bottom w:w="-1" w:type="dxa"/>
              <w:right w:w="-1" w:type="dxa"/>
            </w:tcMar>
            <w:vAlign w:val="center"/>
          </w:tcPr>
          <w:p w14:paraId="2745D949">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Knockdown</w:t>
            </w:r>
          </w:p>
        </w:tc>
        <w:tc>
          <w:tcPr>
            <w:tcW w:w="1713" w:type="pct"/>
            <w:tcBorders>
              <w:top w:val="nil"/>
              <w:left w:val="nil"/>
              <w:bottom w:val="nil"/>
              <w:right w:val="nil"/>
            </w:tcBorders>
            <w:noWrap w:val="0"/>
            <w:tcMar>
              <w:top w:w="-1" w:type="dxa"/>
              <w:left w:w="-1" w:type="dxa"/>
              <w:bottom w:w="-1" w:type="dxa"/>
              <w:right w:w="-1" w:type="dxa"/>
            </w:tcMar>
            <w:vAlign w:val="center"/>
          </w:tcPr>
          <w:p w14:paraId="62DF0024">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RA-FLS + si-LIPT1</w:t>
            </w:r>
          </w:p>
        </w:tc>
        <w:tc>
          <w:tcPr>
            <w:tcW w:w="596" w:type="pct"/>
            <w:tcBorders>
              <w:top w:val="nil"/>
              <w:left w:val="nil"/>
              <w:bottom w:val="nil"/>
              <w:right w:val="nil"/>
            </w:tcBorders>
            <w:noWrap w:val="0"/>
            <w:tcMar>
              <w:top w:w="-1" w:type="dxa"/>
              <w:left w:w="-1" w:type="dxa"/>
              <w:bottom w:w="-1" w:type="dxa"/>
              <w:right w:w="-1" w:type="dxa"/>
            </w:tcMar>
            <w:vAlign w:val="center"/>
          </w:tcPr>
          <w:p w14:paraId="7BE9C41F">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14.02</w:t>
            </w:r>
          </w:p>
        </w:tc>
        <w:tc>
          <w:tcPr>
            <w:tcW w:w="596" w:type="pct"/>
            <w:tcBorders>
              <w:top w:val="nil"/>
              <w:left w:val="nil"/>
              <w:bottom w:val="nil"/>
              <w:right w:val="nil"/>
            </w:tcBorders>
            <w:noWrap w:val="0"/>
            <w:tcMar>
              <w:top w:w="-1" w:type="dxa"/>
              <w:left w:w="-1" w:type="dxa"/>
              <w:bottom w:w="-1" w:type="dxa"/>
              <w:right w:w="-1" w:type="dxa"/>
            </w:tcMar>
            <w:vAlign w:val="center"/>
          </w:tcPr>
          <w:p w14:paraId="4FA627F8">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13.48</w:t>
            </w:r>
          </w:p>
        </w:tc>
        <w:tc>
          <w:tcPr>
            <w:tcW w:w="596" w:type="pct"/>
            <w:tcBorders>
              <w:top w:val="nil"/>
              <w:left w:val="nil"/>
              <w:bottom w:val="nil"/>
              <w:right w:val="nil"/>
            </w:tcBorders>
            <w:noWrap w:val="0"/>
            <w:tcMar>
              <w:top w:w="-1" w:type="dxa"/>
              <w:left w:w="-1" w:type="dxa"/>
              <w:bottom w:w="-1" w:type="dxa"/>
              <w:right w:w="-1" w:type="dxa"/>
            </w:tcMar>
            <w:vAlign w:val="center"/>
          </w:tcPr>
          <w:p w14:paraId="28519B0A">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12.97</w:t>
            </w:r>
          </w:p>
        </w:tc>
        <w:tc>
          <w:tcPr>
            <w:tcW w:w="734" w:type="pct"/>
            <w:tcBorders>
              <w:top w:val="nil"/>
              <w:left w:val="nil"/>
              <w:bottom w:val="nil"/>
              <w:right w:val="nil"/>
            </w:tcBorders>
            <w:noWrap w:val="0"/>
            <w:tcMar>
              <w:top w:w="-1" w:type="dxa"/>
              <w:left w:w="-1" w:type="dxa"/>
              <w:bottom w:w="-1" w:type="dxa"/>
              <w:right w:w="-1" w:type="dxa"/>
            </w:tcMar>
            <w:vAlign w:val="center"/>
          </w:tcPr>
          <w:p w14:paraId="47BFC5BD">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13.49 ± 0.53</w:t>
            </w:r>
          </w:p>
        </w:tc>
      </w:tr>
      <w:tr w14:paraId="0D99EEDB">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762" w:type="pct"/>
            <w:tcBorders>
              <w:top w:val="nil"/>
              <w:left w:val="nil"/>
              <w:bottom w:val="nil"/>
              <w:right w:val="nil"/>
            </w:tcBorders>
            <w:noWrap w:val="0"/>
            <w:tcMar>
              <w:top w:w="-1" w:type="dxa"/>
              <w:left w:w="-1" w:type="dxa"/>
              <w:bottom w:w="-1" w:type="dxa"/>
              <w:right w:w="-1" w:type="dxa"/>
            </w:tcMar>
            <w:vAlign w:val="center"/>
          </w:tcPr>
          <w:p w14:paraId="7768981D">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Knockdown</w:t>
            </w:r>
          </w:p>
        </w:tc>
        <w:tc>
          <w:tcPr>
            <w:tcW w:w="1713" w:type="pct"/>
            <w:tcBorders>
              <w:top w:val="nil"/>
              <w:left w:val="nil"/>
              <w:bottom w:val="nil"/>
              <w:right w:val="nil"/>
            </w:tcBorders>
            <w:noWrap w:val="0"/>
            <w:tcMar>
              <w:top w:w="-1" w:type="dxa"/>
              <w:left w:w="-1" w:type="dxa"/>
              <w:bottom w:w="-1" w:type="dxa"/>
              <w:right w:w="-1" w:type="dxa"/>
            </w:tcMar>
            <w:vAlign w:val="center"/>
          </w:tcPr>
          <w:p w14:paraId="2F99AAED">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RA-FLS + si-NC</w:t>
            </w:r>
          </w:p>
        </w:tc>
        <w:tc>
          <w:tcPr>
            <w:tcW w:w="596" w:type="pct"/>
            <w:tcBorders>
              <w:top w:val="nil"/>
              <w:left w:val="nil"/>
              <w:bottom w:val="nil"/>
              <w:right w:val="nil"/>
            </w:tcBorders>
            <w:noWrap w:val="0"/>
            <w:tcMar>
              <w:top w:w="-1" w:type="dxa"/>
              <w:left w:w="-1" w:type="dxa"/>
              <w:bottom w:w="-1" w:type="dxa"/>
              <w:right w:w="-1" w:type="dxa"/>
            </w:tcMar>
            <w:vAlign w:val="center"/>
          </w:tcPr>
          <w:p w14:paraId="0A351FAA">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5.57</w:t>
            </w:r>
          </w:p>
        </w:tc>
        <w:tc>
          <w:tcPr>
            <w:tcW w:w="596" w:type="pct"/>
            <w:tcBorders>
              <w:top w:val="nil"/>
              <w:left w:val="nil"/>
              <w:bottom w:val="nil"/>
              <w:right w:val="nil"/>
            </w:tcBorders>
            <w:noWrap w:val="0"/>
            <w:tcMar>
              <w:top w:w="-1" w:type="dxa"/>
              <w:left w:w="-1" w:type="dxa"/>
              <w:bottom w:w="-1" w:type="dxa"/>
              <w:right w:w="-1" w:type="dxa"/>
            </w:tcMar>
            <w:vAlign w:val="center"/>
          </w:tcPr>
          <w:p w14:paraId="4B2ED280">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6.01</w:t>
            </w:r>
          </w:p>
        </w:tc>
        <w:tc>
          <w:tcPr>
            <w:tcW w:w="596" w:type="pct"/>
            <w:tcBorders>
              <w:top w:val="nil"/>
              <w:left w:val="nil"/>
              <w:bottom w:val="nil"/>
              <w:right w:val="nil"/>
            </w:tcBorders>
            <w:noWrap w:val="0"/>
            <w:tcMar>
              <w:top w:w="-1" w:type="dxa"/>
              <w:left w:w="-1" w:type="dxa"/>
              <w:bottom w:w="-1" w:type="dxa"/>
              <w:right w:w="-1" w:type="dxa"/>
            </w:tcMar>
            <w:vAlign w:val="center"/>
          </w:tcPr>
          <w:p w14:paraId="6E4F7D4F">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8.11</w:t>
            </w:r>
          </w:p>
        </w:tc>
        <w:tc>
          <w:tcPr>
            <w:tcW w:w="734" w:type="pct"/>
            <w:tcBorders>
              <w:top w:val="nil"/>
              <w:left w:val="nil"/>
              <w:bottom w:val="nil"/>
              <w:right w:val="nil"/>
            </w:tcBorders>
            <w:noWrap w:val="0"/>
            <w:tcMar>
              <w:top w:w="-1" w:type="dxa"/>
              <w:left w:w="-1" w:type="dxa"/>
              <w:bottom w:w="-1" w:type="dxa"/>
              <w:right w:w="-1" w:type="dxa"/>
            </w:tcMar>
            <w:vAlign w:val="center"/>
          </w:tcPr>
          <w:p w14:paraId="1941565C">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6.56 ± 1.36</w:t>
            </w:r>
          </w:p>
        </w:tc>
      </w:tr>
      <w:tr w14:paraId="3F445EA7">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762" w:type="pct"/>
            <w:tcBorders>
              <w:top w:val="nil"/>
              <w:left w:val="nil"/>
              <w:bottom w:val="nil"/>
              <w:right w:val="nil"/>
            </w:tcBorders>
            <w:noWrap w:val="0"/>
            <w:tcMar>
              <w:top w:w="-1" w:type="dxa"/>
              <w:left w:w="-1" w:type="dxa"/>
              <w:bottom w:w="-1" w:type="dxa"/>
              <w:right w:w="-1" w:type="dxa"/>
            </w:tcMar>
            <w:vAlign w:val="center"/>
          </w:tcPr>
          <w:p w14:paraId="0AFE9E74">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Rescue</w:t>
            </w:r>
          </w:p>
        </w:tc>
        <w:tc>
          <w:tcPr>
            <w:tcW w:w="1713" w:type="pct"/>
            <w:tcBorders>
              <w:top w:val="nil"/>
              <w:left w:val="nil"/>
              <w:bottom w:val="nil"/>
              <w:right w:val="nil"/>
            </w:tcBorders>
            <w:noWrap w:val="0"/>
            <w:tcMar>
              <w:top w:w="-1" w:type="dxa"/>
              <w:left w:w="-1" w:type="dxa"/>
              <w:bottom w:w="-1" w:type="dxa"/>
              <w:right w:w="-1" w:type="dxa"/>
            </w:tcMar>
            <w:vAlign w:val="center"/>
          </w:tcPr>
          <w:p w14:paraId="4BB5FF6F">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RA-FLS + si-NC</w:t>
            </w:r>
          </w:p>
        </w:tc>
        <w:tc>
          <w:tcPr>
            <w:tcW w:w="596" w:type="pct"/>
            <w:tcBorders>
              <w:top w:val="nil"/>
              <w:left w:val="nil"/>
              <w:bottom w:val="nil"/>
              <w:right w:val="nil"/>
            </w:tcBorders>
            <w:noWrap w:val="0"/>
            <w:tcMar>
              <w:top w:w="-1" w:type="dxa"/>
              <w:left w:w="-1" w:type="dxa"/>
              <w:bottom w:w="-1" w:type="dxa"/>
              <w:right w:w="-1" w:type="dxa"/>
            </w:tcMar>
            <w:vAlign w:val="center"/>
          </w:tcPr>
          <w:p w14:paraId="3400E4A7">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9.97</w:t>
            </w:r>
          </w:p>
        </w:tc>
        <w:tc>
          <w:tcPr>
            <w:tcW w:w="596" w:type="pct"/>
            <w:tcBorders>
              <w:top w:val="nil"/>
              <w:left w:val="nil"/>
              <w:bottom w:val="nil"/>
              <w:right w:val="nil"/>
            </w:tcBorders>
            <w:noWrap w:val="0"/>
            <w:tcMar>
              <w:top w:w="-1" w:type="dxa"/>
              <w:left w:w="-1" w:type="dxa"/>
              <w:bottom w:w="-1" w:type="dxa"/>
              <w:right w:w="-1" w:type="dxa"/>
            </w:tcMar>
            <w:vAlign w:val="center"/>
          </w:tcPr>
          <w:p w14:paraId="6BA3C25C">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8.06</w:t>
            </w:r>
          </w:p>
        </w:tc>
        <w:tc>
          <w:tcPr>
            <w:tcW w:w="596" w:type="pct"/>
            <w:tcBorders>
              <w:top w:val="nil"/>
              <w:left w:val="nil"/>
              <w:bottom w:val="nil"/>
              <w:right w:val="nil"/>
            </w:tcBorders>
            <w:noWrap w:val="0"/>
            <w:tcMar>
              <w:top w:w="-1" w:type="dxa"/>
              <w:left w:w="-1" w:type="dxa"/>
              <w:bottom w:w="-1" w:type="dxa"/>
              <w:right w:w="-1" w:type="dxa"/>
            </w:tcMar>
            <w:vAlign w:val="center"/>
          </w:tcPr>
          <w:p w14:paraId="412D55D4">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10.28</w:t>
            </w:r>
          </w:p>
        </w:tc>
        <w:tc>
          <w:tcPr>
            <w:tcW w:w="734" w:type="pct"/>
            <w:tcBorders>
              <w:top w:val="nil"/>
              <w:left w:val="nil"/>
              <w:bottom w:val="nil"/>
              <w:right w:val="nil"/>
            </w:tcBorders>
            <w:noWrap w:val="0"/>
            <w:tcMar>
              <w:top w:w="-1" w:type="dxa"/>
              <w:left w:w="-1" w:type="dxa"/>
              <w:bottom w:w="-1" w:type="dxa"/>
              <w:right w:w="-1" w:type="dxa"/>
            </w:tcMar>
            <w:vAlign w:val="center"/>
          </w:tcPr>
          <w:p w14:paraId="04ECB901">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9.44 ± 1.20</w:t>
            </w:r>
          </w:p>
        </w:tc>
      </w:tr>
      <w:tr w14:paraId="300F825D">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762" w:type="pct"/>
            <w:tcBorders>
              <w:top w:val="nil"/>
              <w:left w:val="nil"/>
              <w:bottom w:val="nil"/>
              <w:right w:val="nil"/>
            </w:tcBorders>
            <w:noWrap w:val="0"/>
            <w:tcMar>
              <w:top w:w="-1" w:type="dxa"/>
              <w:left w:w="-1" w:type="dxa"/>
              <w:bottom w:w="-1" w:type="dxa"/>
              <w:right w:w="-1" w:type="dxa"/>
            </w:tcMar>
            <w:vAlign w:val="center"/>
          </w:tcPr>
          <w:p w14:paraId="4DBE5FD5">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Rescue</w:t>
            </w:r>
          </w:p>
        </w:tc>
        <w:tc>
          <w:tcPr>
            <w:tcW w:w="1713" w:type="pct"/>
            <w:tcBorders>
              <w:top w:val="nil"/>
              <w:left w:val="nil"/>
              <w:bottom w:val="nil"/>
              <w:right w:val="nil"/>
            </w:tcBorders>
            <w:noWrap w:val="0"/>
            <w:tcMar>
              <w:top w:w="-1" w:type="dxa"/>
              <w:left w:w="-1" w:type="dxa"/>
              <w:bottom w:w="-1" w:type="dxa"/>
              <w:right w:w="-1" w:type="dxa"/>
            </w:tcMar>
            <w:vAlign w:val="center"/>
          </w:tcPr>
          <w:p w14:paraId="55CAE3DF">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RA-FLS + si-LIPT1</w:t>
            </w:r>
          </w:p>
        </w:tc>
        <w:tc>
          <w:tcPr>
            <w:tcW w:w="596" w:type="pct"/>
            <w:tcBorders>
              <w:top w:val="nil"/>
              <w:left w:val="nil"/>
              <w:bottom w:val="nil"/>
              <w:right w:val="nil"/>
            </w:tcBorders>
            <w:noWrap w:val="0"/>
            <w:tcMar>
              <w:top w:w="-1" w:type="dxa"/>
              <w:left w:w="-1" w:type="dxa"/>
              <w:bottom w:w="-1" w:type="dxa"/>
              <w:right w:w="-1" w:type="dxa"/>
            </w:tcMar>
            <w:vAlign w:val="center"/>
          </w:tcPr>
          <w:p w14:paraId="656DB253">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14.18</w:t>
            </w:r>
          </w:p>
        </w:tc>
        <w:tc>
          <w:tcPr>
            <w:tcW w:w="596" w:type="pct"/>
            <w:tcBorders>
              <w:top w:val="nil"/>
              <w:left w:val="nil"/>
              <w:bottom w:val="nil"/>
              <w:right w:val="nil"/>
            </w:tcBorders>
            <w:noWrap w:val="0"/>
            <w:tcMar>
              <w:top w:w="-1" w:type="dxa"/>
              <w:left w:w="-1" w:type="dxa"/>
              <w:bottom w:w="-1" w:type="dxa"/>
              <w:right w:w="-1" w:type="dxa"/>
            </w:tcMar>
            <w:vAlign w:val="center"/>
          </w:tcPr>
          <w:p w14:paraId="158E811C">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14.22</w:t>
            </w:r>
          </w:p>
        </w:tc>
        <w:tc>
          <w:tcPr>
            <w:tcW w:w="596" w:type="pct"/>
            <w:tcBorders>
              <w:top w:val="nil"/>
              <w:left w:val="nil"/>
              <w:bottom w:val="nil"/>
              <w:right w:val="nil"/>
            </w:tcBorders>
            <w:noWrap w:val="0"/>
            <w:tcMar>
              <w:top w:w="-1" w:type="dxa"/>
              <w:left w:w="-1" w:type="dxa"/>
              <w:bottom w:w="-1" w:type="dxa"/>
              <w:right w:w="-1" w:type="dxa"/>
            </w:tcMar>
            <w:vAlign w:val="center"/>
          </w:tcPr>
          <w:p w14:paraId="556CC687">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15.66</w:t>
            </w:r>
          </w:p>
        </w:tc>
        <w:tc>
          <w:tcPr>
            <w:tcW w:w="734" w:type="pct"/>
            <w:tcBorders>
              <w:top w:val="nil"/>
              <w:left w:val="nil"/>
              <w:bottom w:val="nil"/>
              <w:right w:val="nil"/>
            </w:tcBorders>
            <w:noWrap w:val="0"/>
            <w:tcMar>
              <w:top w:w="-1" w:type="dxa"/>
              <w:left w:w="-1" w:type="dxa"/>
              <w:bottom w:w="-1" w:type="dxa"/>
              <w:right w:w="-1" w:type="dxa"/>
            </w:tcMar>
            <w:vAlign w:val="center"/>
          </w:tcPr>
          <w:p w14:paraId="788D9184">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14.69 ± 0.84</w:t>
            </w:r>
          </w:p>
        </w:tc>
      </w:tr>
      <w:tr w14:paraId="267C66F7">
        <w:tblPrEx>
          <w:tblBorders>
            <w:top w:val="none" w:color="D9D9D9" w:sz="4" w:space="0"/>
            <w:left w:val="none" w:color="D9D9D9" w:sz="4" w:space="0"/>
            <w:bottom w:val="none" w:color="D9D9D9" w:sz="4" w:space="0"/>
            <w:right w:val="none" w:color="D9D9D9" w:sz="4" w:space="0"/>
            <w:insideH w:val="none" w:color="D9D9D9" w:sz="4" w:space="0"/>
            <w:insideV w:val="none" w:color="D9D9D9" w:sz="4" w:space="0"/>
          </w:tblBorders>
          <w:tblCellMar>
            <w:top w:w="0" w:type="dxa"/>
            <w:left w:w="108" w:type="dxa"/>
            <w:bottom w:w="0" w:type="dxa"/>
            <w:right w:w="108" w:type="dxa"/>
          </w:tblCellMar>
        </w:tblPrEx>
        <w:trPr>
          <w:trHeight w:val="0" w:hRule="atLeast"/>
          <w:jc w:val="center"/>
        </w:trPr>
        <w:tc>
          <w:tcPr>
            <w:tcW w:w="762" w:type="pct"/>
            <w:tcBorders>
              <w:top w:val="nil"/>
              <w:left w:val="nil"/>
              <w:bottom w:val="single" w:color="auto" w:sz="12" w:space="0"/>
              <w:right w:val="nil"/>
            </w:tcBorders>
            <w:noWrap w:val="0"/>
            <w:tcMar>
              <w:top w:w="-1" w:type="dxa"/>
              <w:left w:w="-1" w:type="dxa"/>
              <w:bottom w:w="-1" w:type="dxa"/>
              <w:right w:w="-1" w:type="dxa"/>
            </w:tcMar>
            <w:vAlign w:val="center"/>
          </w:tcPr>
          <w:p w14:paraId="5677199F">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Rescue</w:t>
            </w:r>
          </w:p>
        </w:tc>
        <w:tc>
          <w:tcPr>
            <w:tcW w:w="1713" w:type="pct"/>
            <w:tcBorders>
              <w:top w:val="nil"/>
              <w:left w:val="nil"/>
              <w:bottom w:val="single" w:color="auto" w:sz="12" w:space="0"/>
              <w:right w:val="nil"/>
            </w:tcBorders>
            <w:noWrap w:val="0"/>
            <w:tcMar>
              <w:top w:w="-1" w:type="dxa"/>
              <w:left w:w="-1" w:type="dxa"/>
              <w:bottom w:w="-1" w:type="dxa"/>
              <w:right w:w="-1" w:type="dxa"/>
            </w:tcMar>
            <w:vAlign w:val="center"/>
          </w:tcPr>
          <w:p w14:paraId="4C4BB344">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RA-FLS + si-LIPT1 + SKL2001</w:t>
            </w:r>
          </w:p>
        </w:tc>
        <w:tc>
          <w:tcPr>
            <w:tcW w:w="596" w:type="pct"/>
            <w:tcBorders>
              <w:top w:val="nil"/>
              <w:left w:val="nil"/>
              <w:bottom w:val="single" w:color="auto" w:sz="12" w:space="0"/>
              <w:right w:val="nil"/>
            </w:tcBorders>
            <w:noWrap w:val="0"/>
            <w:tcMar>
              <w:top w:w="-1" w:type="dxa"/>
              <w:left w:w="-1" w:type="dxa"/>
              <w:bottom w:w="-1" w:type="dxa"/>
              <w:right w:w="-1" w:type="dxa"/>
            </w:tcMar>
            <w:vAlign w:val="center"/>
          </w:tcPr>
          <w:p w14:paraId="41B6D4E6">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5.86</w:t>
            </w:r>
          </w:p>
        </w:tc>
        <w:tc>
          <w:tcPr>
            <w:tcW w:w="596" w:type="pct"/>
            <w:tcBorders>
              <w:top w:val="nil"/>
              <w:left w:val="nil"/>
              <w:bottom w:val="single" w:color="auto" w:sz="12" w:space="0"/>
              <w:right w:val="nil"/>
            </w:tcBorders>
            <w:noWrap w:val="0"/>
            <w:tcMar>
              <w:top w:w="-1" w:type="dxa"/>
              <w:left w:w="-1" w:type="dxa"/>
              <w:bottom w:w="-1" w:type="dxa"/>
              <w:right w:w="-1" w:type="dxa"/>
            </w:tcMar>
            <w:vAlign w:val="center"/>
          </w:tcPr>
          <w:p w14:paraId="30C4018A">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6.11</w:t>
            </w:r>
          </w:p>
        </w:tc>
        <w:tc>
          <w:tcPr>
            <w:tcW w:w="596" w:type="pct"/>
            <w:tcBorders>
              <w:top w:val="nil"/>
              <w:left w:val="nil"/>
              <w:bottom w:val="single" w:color="auto" w:sz="12" w:space="0"/>
              <w:right w:val="nil"/>
            </w:tcBorders>
            <w:noWrap w:val="0"/>
            <w:tcMar>
              <w:top w:w="-1" w:type="dxa"/>
              <w:left w:w="-1" w:type="dxa"/>
              <w:bottom w:w="-1" w:type="dxa"/>
              <w:right w:w="-1" w:type="dxa"/>
            </w:tcMar>
            <w:vAlign w:val="center"/>
          </w:tcPr>
          <w:p w14:paraId="3E339552">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7.17</w:t>
            </w:r>
          </w:p>
        </w:tc>
        <w:tc>
          <w:tcPr>
            <w:tcW w:w="734" w:type="pct"/>
            <w:tcBorders>
              <w:top w:val="nil"/>
              <w:left w:val="nil"/>
              <w:bottom w:val="single" w:color="auto" w:sz="12" w:space="0"/>
              <w:right w:val="nil"/>
            </w:tcBorders>
            <w:noWrap w:val="0"/>
            <w:tcMar>
              <w:top w:w="-1" w:type="dxa"/>
              <w:left w:w="-1" w:type="dxa"/>
              <w:bottom w:w="-1" w:type="dxa"/>
              <w:right w:w="-1" w:type="dxa"/>
            </w:tcMar>
            <w:vAlign w:val="center"/>
          </w:tcPr>
          <w:p w14:paraId="0A2AC6AD">
            <w:pPr>
              <w:widowControl/>
              <w:snapToGrid w:val="0"/>
              <w:spacing w:before="60" w:after="60" w:line="240" w:lineRule="auto"/>
              <w:ind w:left="0" w:leftChars="0" w:right="0" w:rightChars="0" w:firstLine="0" w:firstLineChars="0"/>
              <w:jc w:val="center"/>
              <w:rPr>
                <w:rFonts w:ascii="Times New Roman" w:eastAsia="ＭＳ 明朝"/>
                <w:sz w:val="22"/>
              </w:rPr>
            </w:pPr>
            <w:r>
              <w:rPr>
                <w:rFonts w:ascii="Times New Roman" w:hAnsi="Times New Roman" w:eastAsia="ＭＳ 明朝"/>
                <w:b w:val="0"/>
                <w:color w:val="000000"/>
                <w:sz w:val="22"/>
              </w:rPr>
              <w:t>6.38 ± 0.70</w:t>
            </w:r>
          </w:p>
        </w:tc>
      </w:tr>
    </w:tbl>
    <w:p w14:paraId="36D90F91">
      <w:pPr>
        <w:pStyle w:val="3"/>
        <w:keepNext/>
        <w:keepLines w:val="0"/>
        <w:pageBreakBefore/>
        <w:widowControl/>
        <w:spacing w:line="276" w:lineRule="auto"/>
        <w:ind w:left="0" w:right="0" w:firstLine="0"/>
        <w:jc w:val="left"/>
      </w:pPr>
      <w:r>
        <w:rPr>
          <w:rFonts w:ascii="Times New Roman" w:hAnsi="Times New Roman"/>
          <w:color w:val="000000"/>
        </w:rPr>
        <w:t>Supplementary Methods</w:t>
      </w:r>
    </w:p>
    <w:p w14:paraId="3A524687">
      <w:pPr>
        <w:pStyle w:val="4"/>
        <w:keepNext/>
        <w:keepLines w:val="0"/>
        <w:widowControl/>
        <w:spacing w:line="276" w:lineRule="auto"/>
        <w:ind w:left="0" w:right="0" w:firstLine="0"/>
        <w:jc w:val="left"/>
      </w:pPr>
      <w:r>
        <w:rPr>
          <w:rFonts w:ascii="Times New Roman" w:hAnsi="Times New Roman"/>
          <w:color w:val="000000"/>
        </w:rPr>
        <w:t>Independent synovial expression validation</w:t>
      </w:r>
    </w:p>
    <w:p w14:paraId="4CCE6B02">
      <w:pPr>
        <w:keepNext w:val="0"/>
        <w:keepLines w:val="0"/>
        <w:widowControl/>
        <w:spacing w:line="276" w:lineRule="auto"/>
        <w:ind w:left="0" w:right="0" w:firstLine="0"/>
        <w:jc w:val="left"/>
      </w:pPr>
      <w:r>
        <w:t>GSE89408 was used solely for independent expression validation and did not contribute to discovery, WGCNA construction, module selection, or candidate prioritization. The GEO-supplied matrix contains RSEM feature counts. Genes with positive counts in all samples were used to calculate median-of-ratios sample size factors, and counts were divided by the corresponding sample factor. LIPT1 and MTF1 expression was compared between healthy synovium (n = 28) and RA synovium (n = 152) using two-sided Mann–Whitney U tests. P values were adjusted across the two genes using the Benjamini–Hochberg procedure. Normalized counts were displayed as log2(normalized count + 1).</w:t>
      </w:r>
    </w:p>
    <w:p w14:paraId="7EE10528">
      <w:pPr>
        <w:pStyle w:val="4"/>
        <w:keepNext/>
        <w:keepLines w:val="0"/>
        <w:widowControl/>
        <w:spacing w:line="276" w:lineRule="auto"/>
        <w:ind w:left="0" w:right="0" w:firstLine="0"/>
        <w:jc w:val="left"/>
      </w:pPr>
      <w:r>
        <w:rPr>
          <w:rFonts w:ascii="Times New Roman" w:hAnsi="Times New Roman"/>
          <w:color w:val="000000"/>
        </w:rPr>
        <w:t>Computational analysis materials</w:t>
      </w:r>
    </w:p>
    <w:p w14:paraId="3D470FFB">
      <w:pPr>
        <w:keepNext w:val="0"/>
        <w:keepLines w:val="0"/>
        <w:widowControl/>
        <w:spacing w:line="276" w:lineRule="auto"/>
        <w:ind w:left="0" w:right="0" w:firstLine="0"/>
        <w:jc w:val="left"/>
      </w:pPr>
      <w:r>
        <w:t>The Zenodo deposit contains archived computational inputs and outputs, together with verification, reconstruction, and independent-validation scripts. The archived ssGSEA matrix contains 66 samples; two outliers were excluded before WGCNA module–trait analysis. Supplementary Data 1 contains the 28 ssGSEA immune-signature definitions and the retained EPIC and xCell numerical outputs for the same 66 discovery samples. EPIC and xCell were used descriptively and did not determine candidate selection. Supplementary Table S1 lists the candidate genes. Independent validation assesses candidate expression, not preservation of the discovery network.</w:t>
      </w:r>
    </w:p>
    <w:p w14:paraId="565E735D">
      <w:pPr>
        <w:pStyle w:val="4"/>
        <w:keepNext/>
        <w:keepLines w:val="0"/>
        <w:widowControl/>
        <w:spacing w:line="276" w:lineRule="auto"/>
        <w:ind w:left="0" w:right="0" w:firstLine="0"/>
        <w:jc w:val="left"/>
      </w:pPr>
      <w:r>
        <w:rPr>
          <w:rFonts w:ascii="Times New Roman" w:hAnsi="Times New Roman"/>
          <w:color w:val="000000"/>
        </w:rPr>
        <w:t>Experimental replication and statistical analysis</w:t>
      </w:r>
    </w:p>
    <w:p w14:paraId="28E06D1A">
      <w:pPr>
        <w:keepNext w:val="0"/>
        <w:keepLines w:val="0"/>
        <w:widowControl/>
        <w:spacing w:line="276" w:lineRule="auto"/>
        <w:ind w:left="0" w:right="0" w:firstLine="0"/>
        <w:jc w:val="left"/>
      </w:pPr>
      <w:r>
        <w:t>PBMC measurements represent individual participants and were compared using two-sided Mann–Whitney U tests. Cell RT-qPCR, immunoblotting, and biochemical assays used separately treated samples, as specified in the main Methods and figure legends. Wound-healing measurements came from separate wells, and each Transwell count came from one field in a different insert. CCK-8 wells and PCR wells in optimization assays were technical replicates and were summarized descriptively. For the 13 four-group outcomes, Shapiro–Wilk tests of within-group model residuals returned P &gt; 0.05. Mean-centered Levene testing identified unequal variances for the LIPT1 and β-catenin RT-qPCR outcomes in main Figure 6B and D. These outcomes used Welch ANOVA followed by pairwise Welch t tests with Bonferroni adjustment across all six comparisons per outcome. Other four-group outcomes used one-way ANOVA followed by Tukey’s HSD test. Analyses retained the source-workbook normalization and displayed measurement scale. Three-group rescue comparisons used one-way ANOVA followed by Fisher’s LSD test. Flow cytometry included 27 independently cultured and treated samples across three separate comparisons, with three samples per condition. Knockdown samples were collected 48 h after transfection. Rescue samples received 20 μM SKL2001 after 6 h of transfection, followed by a further 48 h of drug exposure. Annexin V positivity was calculated as Q3-2 + Q3-4. The four-group knockdown and three-group rescue comparisons were analyzed separately. Individual values and mean ± SD are provided in Supplementary Table S3.</w:t>
      </w:r>
    </w:p>
    <w:p w14:paraId="652D9C17">
      <w:pPr>
        <w:pStyle w:val="4"/>
        <w:keepNext/>
        <w:keepLines w:val="0"/>
        <w:widowControl/>
        <w:spacing w:line="276" w:lineRule="auto"/>
        <w:ind w:left="0" w:right="0" w:firstLine="0"/>
        <w:jc w:val="left"/>
      </w:pPr>
      <w:r>
        <w:rPr>
          <w:rFonts w:ascii="Times New Roman" w:hAnsi="Times New Roman"/>
          <w:color w:val="000000"/>
        </w:rPr>
        <w:t>Data and code access</w:t>
      </w:r>
    </w:p>
    <w:p w14:paraId="30C36B84">
      <w:pPr>
        <w:keepNext w:val="0"/>
        <w:keepLines w:val="0"/>
        <w:widowControl/>
        <w:spacing w:line="276" w:lineRule="auto"/>
        <w:ind w:left="0" w:right="0" w:firstLine="0"/>
        <w:jc w:val="left"/>
      </w:pPr>
      <w:r>
        <w:t>The discovery datasets GSE77298, GSE55457, and GSE55235 and the independent validation dataset GSE89408 are available in GEO (https://www.ncbi.nlm.nih.gov/geo/). Computational inputs, outputs, and code are available in Zenodo (https://doi.org/10.5281/zenodo.22824236). The deposit also includes Supplementary Data 1, which contains the ssGSEA signature definitions and discovery-cohort EPIC/xCell outputs. Individual flow-cytometry measurements are provided in Supplementary Table S3. Additional experimental data, including raw Flow Cytometry Standard (FCS) files, are available from the corresponding author on reasonable request.</w:t>
      </w:r>
    </w:p>
    <w:sectPr>
      <w:footerReference r:id="rId5" w:type="default"/>
      <w:pgSz w:w="11905" w:h="16838"/>
      <w:pgMar w:top="1080" w:right="1152" w:bottom="1080" w:left="1152" w:header="432" w:footer="43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18418">
    <w:pPr>
      <w:pStyle w:val="24"/>
      <w:jc w:val="center"/>
    </w:pP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753DC0"/>
    <w:rsid w:val="641D2EB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keepNext w:val="0"/>
      <w:widowControl/>
      <w:spacing w:before="0" w:after="140" w:line="276" w:lineRule="auto"/>
    </w:pPr>
    <w:rPr>
      <w:rFonts w:ascii="Times New Roman" w:hAnsi="Times New Roman" w:eastAsiaTheme="minorEastAsia" w:cstheme="minorBidi"/>
      <w:color w:val="000000"/>
      <w:sz w:val="23"/>
      <w:szCs w:val="22"/>
      <w:lang w:val="en-US" w:eastAsia="en-US" w:bidi="ar-SA"/>
    </w:rPr>
  </w:style>
  <w:style w:type="paragraph" w:styleId="3">
    <w:name w:val="heading 1"/>
    <w:basedOn w:val="1"/>
    <w:next w:val="1"/>
    <w:link w:val="138"/>
    <w:qFormat/>
    <w:uiPriority w:val="9"/>
    <w:pPr>
      <w:keepNext/>
      <w:keepLines/>
      <w:widowControl/>
      <w:spacing w:before="200" w:after="120" w:line="276" w:lineRule="auto"/>
      <w:outlineLvl w:val="0"/>
    </w:pPr>
    <w:rPr>
      <w:rFonts w:ascii="Times New Roman" w:hAnsi="Times New Roman"/>
      <w:b/>
      <w:bCs/>
      <w:color w:val="000000"/>
      <w:sz w:val="26"/>
      <w:szCs w:val="28"/>
    </w:rPr>
  </w:style>
  <w:style w:type="paragraph" w:styleId="4">
    <w:name w:val="heading 2"/>
    <w:basedOn w:val="1"/>
    <w:next w:val="1"/>
    <w:link w:val="139"/>
    <w:unhideWhenUsed/>
    <w:qFormat/>
    <w:uiPriority w:val="9"/>
    <w:pPr>
      <w:keepNext/>
      <w:keepLines/>
      <w:widowControl/>
      <w:spacing w:before="200" w:after="120" w:line="276" w:lineRule="auto"/>
      <w:outlineLvl w:val="1"/>
    </w:pPr>
    <w:rPr>
      <w:rFonts w:ascii="Times New Roman" w:hAnsi="Times New Roman"/>
      <w:b/>
      <w:bCs/>
      <w:color w:val="000000"/>
      <w:sz w:val="24"/>
      <w:szCs w:val="26"/>
    </w:rPr>
  </w:style>
  <w:style w:type="paragraph" w:styleId="5">
    <w:name w:val="heading 3"/>
    <w:basedOn w:val="1"/>
    <w:next w:val="1"/>
    <w:link w:val="140"/>
    <w:unhideWhenUsed/>
    <w:qFormat/>
    <w:uiPriority w:val="9"/>
    <w:pPr>
      <w:keepNext/>
      <w:keepLines/>
      <w:widowControl/>
      <w:spacing w:before="200" w:after="120" w:line="264" w:lineRule="auto"/>
      <w:outlineLvl w:val="2"/>
    </w:pPr>
    <w:rPr>
      <w:rFonts w:ascii="Times New Roman" w:hAnsi="Times New Roman"/>
      <w:b/>
      <w:bCs/>
      <w:color w:val="000000"/>
      <w:sz w:val="22"/>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widowControl/>
      <w:spacing w:after="120" w:line="264" w:lineRule="auto"/>
    </w:pPr>
    <w:rPr>
      <w:rFonts w:ascii="Times New Roman" w:hAnsi="Times New Roman"/>
      <w:b/>
      <w:bCs/>
      <w:color w:val="000000"/>
      <w:sz w:val="21"/>
      <w:szCs w:val="18"/>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keepNext/>
      <w:widowControl/>
      <w:spacing w:before="0" w:after="120" w:line="276" w:lineRule="auto"/>
      <w:contextualSpacing/>
    </w:pPr>
    <w:rPr>
      <w:rFonts w:ascii="Times New Roman" w:hAnsi="Times New Roman"/>
      <w:b/>
      <w:color w:val="000000"/>
      <w:spacing w:val="5"/>
      <w:kern w:val="28"/>
      <w:sz w:val="3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numbering" Target="numbering.xml"/><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1598</Words>
  <Characters>10126</Characters>
  <Lines>0</Lines>
  <Paragraphs>0</Paragraphs>
  <TotalTime>1</TotalTime>
  <ScaleCrop>false</ScaleCrop>
  <LinksUpToDate>false</LinksUpToDate>
  <CharactersWithSpaces>11548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Shu Li; Lei Wan; XiaoJun Zhang; Nan Cheng</dc:creator>
  <cp:lastModifiedBy>信手斩龙</cp:lastModifiedBy>
  <dcterms:modified xsi:type="dcterms:W3CDTF">2026-09-18T07:45:44Z</dcterms:modified>
  <dc:subject>Supplementary Information</dc:subject>
  <dc:title>Supplementary Information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eyJoZGlkIjoiMDliMGYyM2Y1NzQ3NTM4M2RkMTBkODZhODBiYzU4MGQiLCJ1c2VySWQiOiI4NTY5MTc1MzEifQ==</vt:lpwstr>
  </property>
  <property fmtid="{D5CDD505-2E9C-101B-9397-08002B2CF9AE}" pid="3" name="KSOProductBuildVer">
    <vt:lpwstr>2052-12.1.0.28505</vt:lpwstr>
  </property>
  <property fmtid="{D5CDD505-2E9C-101B-9397-08002B2CF9AE}" pid="4" name="ICV">
    <vt:lpwstr>A7DA028758DA43F6BECB7F3E6D3A3B5A_12</vt:lpwstr>
  </property>
</Properties>
</file>