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2"/>
        </w:rPr>
        <w:t xml:space="preserve">Supplementary Table S1. Deidentified patient-level recorded </w:t>
      </w:r>
      <w:r>
        <w:rPr>
          <w:rFonts w:ascii="Arial" w:hAnsi="Arial"/>
          <w:b/>
          <w:i/>
          <w:sz w:val="22"/>
        </w:rPr>
        <w:t>MEFV</w:t>
      </w:r>
      <w:r>
        <w:rPr>
          <w:rFonts w:ascii="Arial" w:hAnsi="Arial"/>
          <w:b/>
          <w:sz w:val="22"/>
        </w:rPr>
        <w:t xml:space="preserve"> variant patterns among genetically tested patients (n = 143)</w:t>
      </w:r>
    </w:p>
    <w:p>
      <w:pPr>
        <w:jc w:val="left"/>
      </w:pPr>
      <w:r>
        <w:rPr>
          <w:rFonts w:ascii="Arial" w:hAnsi="Arial"/>
          <w:sz w:val="18"/>
        </w:rPr>
        <w:t>Supplementary Table S1 presents the deidentified patient-level MEFV molecular findings for all 143 patients with available genetic testing in the analytic cohort.</w:t>
      </w:r>
    </w:p>
    <w:tbl>
      <w:tblPr>
        <w:tblStyle w:val="TableGrid"/>
        <w:tblW w:type="auto" w:w="0"/>
        <w:jc w:val="center"/>
        <w:tblLayout w:type="fixed"/>
        <w:tblLook w:firstColumn="1" w:firstRow="1" w:lastColumn="0" w:lastRow="0" w:noHBand="0" w:noVBand="1" w:val="04A0"/>
      </w:tblPr>
      <w:tblGrid>
        <w:gridCol w:w="2851"/>
        <w:gridCol w:w="2851"/>
        <w:gridCol w:w="2851"/>
        <w:gridCol w:w="2851"/>
        <w:gridCol w:w="2851"/>
      </w:tblGrid>
      <w:tr>
        <w:trPr>
          <w:tblHeader w:val="true"/>
          <w:cantSplit/>
        </w:trPr>
        <w:tc>
          <w:tcPr>
            <w:tcW w:type="dxa" w:w="1123"/>
            <w:vAlign w:val="center"/>
            <w:shd w:fill="D9EAF7"/>
          </w:tcPr>
          <w:p>
            <w:pPr>
              <w:jc w:val="center"/>
            </w:pPr>
            <w:r>
              <w:rPr>
                <w:rFonts w:ascii="Arial" w:hAnsi="Arial"/>
                <w:b/>
                <w:sz w:val="17"/>
              </w:rPr>
              <w:t>Study genotype ID</w:t>
            </w:r>
          </w:p>
        </w:tc>
        <w:tc>
          <w:tcPr>
            <w:tcW w:type="dxa" w:w="3384"/>
            <w:vAlign w:val="center"/>
            <w:shd w:fill="D9EAF7"/>
          </w:tcPr>
          <w:p>
            <w:pPr>
              <w:jc w:val="center"/>
            </w:pPr>
            <w:r>
              <w:rPr>
                <w:rFonts w:ascii="Arial" w:hAnsi="Arial"/>
                <w:b/>
                <w:sz w:val="17"/>
              </w:rPr>
              <w:t>Phenotype</w:t>
            </w:r>
          </w:p>
        </w:tc>
        <w:tc>
          <w:tcPr>
            <w:tcW w:type="dxa" w:w="2045"/>
            <w:vAlign w:val="center"/>
            <w:shd w:fill="D9EAF7"/>
          </w:tcPr>
          <w:p>
            <w:pPr>
              <w:jc w:val="center"/>
            </w:pPr>
            <w:r>
              <w:rPr>
                <w:rFonts w:ascii="Arial" w:hAnsi="Arial"/>
                <w:b/>
                <w:sz w:val="17"/>
              </w:rPr>
              <w:t>Recorded zygosity</w:t>
            </w:r>
          </w:p>
        </w:tc>
        <w:tc>
          <w:tcPr>
            <w:tcW w:type="dxa" w:w="4824"/>
            <w:vAlign w:val="center"/>
            <w:shd w:fill="D9EAF7"/>
          </w:tcPr>
          <w:p>
            <w:pPr>
              <w:jc w:val="center"/>
            </w:pPr>
            <w:r>
              <w:rPr>
                <w:rFonts w:ascii="Arial" w:hAnsi="Arial"/>
                <w:b/>
                <w:sz w:val="17"/>
              </w:rPr>
              <w:t>Recorded variant pattern</w:t>
            </w:r>
          </w:p>
        </w:tc>
        <w:tc>
          <w:tcPr>
            <w:tcW w:type="dxa" w:w="2592"/>
            <w:vAlign w:val="center"/>
            <w:shd w:fill="D9EAF7"/>
          </w:tcPr>
          <w:p>
            <w:r>
              <w:rPr>
                <w:rFonts w:ascii="Arial" w:hAnsi="Arial"/>
                <w:b/>
                <w:sz w:val="17"/>
              </w:rPr>
              <w:t>Allelic phase</w:t>
            </w:r>
          </w:p>
        </w:tc>
      </w:tr>
      <w:tr>
        <w:trPr>
          <w:cantSplit/>
        </w:trPr>
        <w:tc>
          <w:tcPr>
            <w:tcW w:type="dxa" w:w="1123"/>
            <w:vAlign w:val="center"/>
          </w:tcPr>
          <w:p>
            <w:pPr>
              <w:jc w:val="center"/>
            </w:pPr>
            <w:r>
              <w:rPr>
                <w:rFonts w:ascii="Arial" w:hAnsi="Arial"/>
                <w:sz w:val="16"/>
              </w:rPr>
              <w:t>G001</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R202Q/R202Q</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G003</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No variant detected</w:t>
            </w:r>
          </w:p>
        </w:tc>
        <w:tc>
          <w:tcPr>
            <w:tcW w:type="dxa" w:w="4824"/>
            <w:vAlign w:val="center"/>
          </w:tcPr>
          <w:p>
            <w:pPr>
              <w:jc w:val="left"/>
            </w:pPr>
            <w:r>
              <w:rPr>
                <w:rFonts w:ascii="Arial" w:hAnsi="Arial"/>
                <w:sz w:val="16"/>
              </w:rPr>
              <w:t>No variant detected</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G005</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V726A</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G006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V726A</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G008</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G009</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G010</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R202Q + R148Q + M694V</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G011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No variant detected</w:t>
            </w:r>
          </w:p>
        </w:tc>
        <w:tc>
          <w:tcPr>
            <w:tcW w:type="dxa" w:w="4824"/>
            <w:vAlign w:val="center"/>
          </w:tcPr>
          <w:p>
            <w:pPr>
              <w:jc w:val="left"/>
            </w:pPr>
            <w:r>
              <w:rPr>
                <w:rFonts w:ascii="Arial" w:hAnsi="Arial"/>
                <w:sz w:val="16"/>
              </w:rPr>
              <w:t>No variant detected</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G012</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G013</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G014</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R202Q/R202Q</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G016</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G017</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G018</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G019</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G020</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G021</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No variant detected</w:t>
            </w:r>
          </w:p>
        </w:tc>
        <w:tc>
          <w:tcPr>
            <w:tcW w:type="dxa" w:w="4824"/>
            <w:vAlign w:val="center"/>
          </w:tcPr>
          <w:p>
            <w:pPr>
              <w:jc w:val="left"/>
            </w:pPr>
            <w:r>
              <w:rPr>
                <w:rFonts w:ascii="Arial" w:hAnsi="Arial"/>
                <w:sz w:val="16"/>
              </w:rPr>
              <w:t>No variant detected</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R202Q + E148Q + V726A + M694V</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G025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R329H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M694I/M694I</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V726A</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G028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G029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R408Q</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G030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R202Q + M694V</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G032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P369S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G038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G039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M694V + M680I</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G041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 M694I</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G044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G045</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M694I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G049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M680I/M680I</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G052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R202Q/R202Q</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G059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M694I</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G060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M694V + M694I</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G061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 + M694I</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G062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R202Q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G068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G069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M694I</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G070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R202Q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G077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G079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R202Q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G083</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G084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G085</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A408G</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G087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G088</w:t>
            </w:r>
          </w:p>
        </w:tc>
        <w:tc>
          <w:tcPr>
            <w:tcW w:type="dxa" w:w="3384"/>
            <w:vAlign w:val="center"/>
          </w:tcPr>
          <w:p>
            <w:pPr>
              <w:jc w:val="left"/>
            </w:pPr>
            <w:r>
              <w:rPr>
                <w:rFonts w:ascii="Arial" w:hAnsi="Arial"/>
                <w:sz w:val="16"/>
              </w:rPr>
              <w:t>FMF with PFAPA-compatible features</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G089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A744S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G099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M680I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R202Q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G101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V726A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R202Q + M694V</w:t>
            </w:r>
          </w:p>
        </w:tc>
        <w:tc>
          <w:tcPr>
            <w:tcW w:type="dxa" w:w="2592"/>
            <w:vAlign w:val="center"/>
          </w:tcPr>
          <w:p>
            <w:pPr>
              <w:jc w:val="center"/>
            </w:pPr>
            <w:r>
              <w:rPr>
                <w:rFonts w:ascii="Arial" w:hAnsi="Arial"/>
                <w:sz w:val="16"/>
              </w:rPr>
              <w:t>Unavailable</w:t>
            </w:r>
          </w:p>
        </w:tc>
      </w:tr>
      <w:tr>
        <w:trPr>
          <w:cantSplit/>
        </w:trPr>
        <w:tc>
          <w:tcPr>
            <w:tcW w:type="dxa" w:w="1123"/>
            <w:vAlign w:val="center"/>
          </w:tcPr>
          <w:p>
            <w:pPr>
              <w:jc w:val="center"/>
            </w:pPr>
            <w:r>
              <w:rPr>
                <w:rFonts w:ascii="Arial" w:hAnsi="Arial"/>
                <w:sz w:val="16"/>
              </w:rPr>
              <w:t>G107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G108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G109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M694V + M694I</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G114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E148Q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F479L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G119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R202Q/R202Q</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G123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G124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No variant detected</w:t>
            </w:r>
          </w:p>
        </w:tc>
        <w:tc>
          <w:tcPr>
            <w:tcW w:type="dxa" w:w="4824"/>
            <w:vAlign w:val="center"/>
          </w:tcPr>
          <w:p>
            <w:pPr>
              <w:jc w:val="left"/>
            </w:pPr>
            <w:r>
              <w:rPr>
                <w:rFonts w:ascii="Arial" w:hAnsi="Arial"/>
                <w:sz w:val="16"/>
              </w:rPr>
              <w:t>No variant detected</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M694I/M694I</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G128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G129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E148Q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G132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M694V</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G134</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G135</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G136</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G137</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Compound heterozygous</w:t>
            </w:r>
          </w:p>
        </w:tc>
        <w:tc>
          <w:tcPr>
            <w:tcW w:type="dxa" w:w="4824"/>
            <w:vAlign w:val="center"/>
          </w:tcPr>
          <w:p>
            <w:pPr>
              <w:jc w:val="left"/>
            </w:pPr>
            <w:r>
              <w:rPr>
                <w:rFonts w:ascii="Arial" w:hAnsi="Arial"/>
                <w:sz w:val="16"/>
              </w:rPr>
              <w:t>V726A + F479L</w:t>
            </w:r>
          </w:p>
        </w:tc>
        <w:tc>
          <w:tcPr>
            <w:tcW w:type="dxa" w:w="2592"/>
            <w:vAlign w:val="center"/>
          </w:tcPr>
          <w:p>
            <w:pPr>
              <w:jc w:val="center"/>
            </w:pPr>
            <w:r>
              <w:rPr>
                <w:rFonts w:ascii="Arial" w:hAnsi="Arial"/>
                <w:sz w:val="16"/>
              </w:rPr>
              <w:t>Available from recorded zygosity</w:t>
            </w:r>
          </w:p>
        </w:tc>
      </w:tr>
      <w:tr>
        <w:trPr>
          <w:cantSplit/>
        </w:trPr>
        <w:tc>
          <w:tcPr>
            <w:tcW w:type="dxa" w:w="1123"/>
            <w:vAlign w:val="center"/>
          </w:tcPr>
          <w:p>
            <w:pPr>
              <w:jc w:val="center"/>
            </w:pPr>
            <w:r>
              <w:rPr>
                <w:rFonts w:ascii="Arial" w:hAnsi="Arial"/>
                <w:sz w:val="16"/>
              </w:rPr>
              <w:t>G138</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G139</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G140</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G141</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G142</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Homozygous</w:t>
            </w:r>
          </w:p>
        </w:tc>
        <w:tc>
          <w:tcPr>
            <w:tcW w:type="dxa" w:w="4824"/>
            <w:vAlign w:val="center"/>
          </w:tcPr>
          <w:p>
            <w:pPr>
              <w:jc w:val="left"/>
            </w:pPr>
            <w:r>
              <w:rPr>
                <w:rFonts w:ascii="Arial" w:hAnsi="Arial"/>
                <w:sz w:val="16"/>
              </w:rPr>
              <w:t>M694V/M694V</w:t>
            </w:r>
          </w:p>
        </w:tc>
        <w:tc>
          <w:tcPr>
            <w:tcW w:type="dxa" w:w="2592"/>
            <w:vAlign w:val="center"/>
          </w:tcPr>
          <w:p>
            <w:pPr>
              <w:jc w:val="center"/>
            </w:pPr>
            <w:r>
              <w:rPr>
                <w:rFonts w:ascii="Arial" w:hAnsi="Arial"/>
                <w:sz w:val="16"/>
              </w:rPr>
              <w:t>—</w:t>
            </w:r>
          </w:p>
        </w:tc>
      </w:tr>
      <w:tr>
        <w:trPr>
          <w:cantSplit/>
        </w:trPr>
        <w:tc>
          <w:tcPr>
            <w:tcW w:type="dxa" w:w="1123"/>
            <w:vAlign w:val="center"/>
          </w:tcPr>
          <w:p>
            <w:pPr>
              <w:jc w:val="center"/>
            </w:pPr>
            <w:r>
              <w:rPr>
                <w:rFonts w:ascii="Arial" w:hAnsi="Arial"/>
                <w:sz w:val="16"/>
              </w:rPr>
              <w:t>G143</w:t>
            </w:r>
          </w:p>
        </w:tc>
        <w:tc>
          <w:tcPr>
            <w:tcW w:type="dxa" w:w="3384"/>
            <w:vAlign w:val="center"/>
          </w:tcPr>
          <w:p>
            <w:pPr>
              <w:jc w:val="left"/>
            </w:pPr>
            <w:r>
              <w:rPr>
                <w:rFonts w:ascii="Arial" w:hAnsi="Arial"/>
                <w:sz w:val="16"/>
              </w:rPr>
              <w:t>FMF-only</w:t>
            </w:r>
          </w:p>
        </w:tc>
        <w:tc>
          <w:tcPr>
            <w:tcW w:type="dxa" w:w="2045"/>
            <w:vAlign w:val="center"/>
          </w:tcPr>
          <w:p>
            <w:pPr>
              <w:jc w:val="center"/>
            </w:pPr>
            <w:r>
              <w:rPr>
                <w:rFonts w:ascii="Arial" w:hAnsi="Arial"/>
                <w:sz w:val="16"/>
              </w:rPr>
              <w:t>Heterozygous</w:t>
            </w:r>
          </w:p>
        </w:tc>
        <w:tc>
          <w:tcPr>
            <w:tcW w:type="dxa" w:w="4824"/>
            <w:vAlign w:val="center"/>
          </w:tcPr>
          <w:p>
            <w:pPr>
              <w:jc w:val="left"/>
            </w:pPr>
            <w:r>
              <w:rPr>
                <w:rFonts w:ascii="Arial" w:hAnsi="Arial"/>
                <w:sz w:val="16"/>
              </w:rPr>
              <w:t>M694V (single recorded variant)</w:t>
            </w:r>
          </w:p>
        </w:tc>
        <w:tc>
          <w:tcPr>
            <w:tcW w:type="dxa" w:w="2592"/>
            <w:vAlign w:val="center"/>
          </w:tcPr>
          <w:p>
            <w:pPr>
              <w:jc w:val="center"/>
            </w:pPr>
            <w:r>
              <w:rPr>
                <w:rFonts w:ascii="Arial" w:hAnsi="Arial"/>
                <w:sz w:val="16"/>
              </w:rPr>
              <w:t>—</w:t>
            </w:r>
          </w:p>
        </w:tc>
      </w:tr>
    </w:tbl>
    <w:p/>
    <w:p>
      <w:r>
        <w:rPr>
          <w:rFonts w:ascii="Arial" w:hAnsi="Arial"/>
          <w:b/>
          <w:sz w:val="17"/>
        </w:rPr>
        <w:t>Notes:</w:t>
      </w:r>
    </w:p>
    <w:p>
      <w:pPr>
        <w:spacing w:after="40"/>
      </w:pPr>
      <w:r>
        <w:rPr>
          <w:rFonts w:ascii="Arial" w:hAnsi="Arial"/>
          <w:sz w:val="16"/>
        </w:rPr>
        <w:t>• Study genotype IDs (G001–G143) are deidentified study identifiers and are not clinical record identifiers.</w:t>
      </w:r>
    </w:p>
    <w:p>
      <w:pPr>
        <w:spacing w:after="40"/>
      </w:pPr>
      <w:r>
        <w:rPr>
          <w:rFonts w:ascii="Arial" w:hAnsi="Arial"/>
          <w:sz w:val="16"/>
        </w:rPr>
        <w:t>• Recorded zygosity and variant patterns are reported as documented in the retrospective source dataset; no new pathogenicity classification or additional allele assignment was inferred.</w:t>
      </w:r>
    </w:p>
    <w:p>
      <w:pPr>
        <w:spacing w:after="40"/>
      </w:pPr>
      <w:r>
        <w:rPr>
          <w:rFonts w:ascii="Arial" w:hAnsi="Arial"/>
          <w:sz w:val="16"/>
        </w:rPr>
        <w:t>• A dash (—) indicates that allelic phase is not applicable to the recorded pattern. “Unavailable” indicates that multiple variants were documented but the retrospective source data did not permit reliable reconstruction of allelic phase.</w:t>
      </w:r>
    </w:p>
    <w:p>
      <w:pPr>
        <w:spacing w:after="40"/>
      </w:pPr>
      <w:r>
        <w:rPr>
          <w:rFonts w:ascii="Arial" w:hAnsi="Arial"/>
          <w:sz w:val="16"/>
        </w:rPr>
        <w:t>• For heterozygous records with a single documented variant, the second allele was not inferred. For homozygous records, the same recorded variant is shown on both alleles.</w:t>
      </w:r>
    </w:p>
    <w:p>
      <w:pPr>
        <w:spacing w:after="40"/>
      </w:pPr>
      <w:r>
        <w:rPr>
          <w:rFonts w:ascii="Arial" w:hAnsi="Arial"/>
          <w:sz w:val="16"/>
        </w:rPr>
        <w:t>• Patient-level variant patterns should not be interpreted as allele frequencies or as independent evidence of pathogenicity.</w:t>
      </w:r>
    </w:p>
    <w:sectPr w:rsidR="00FC693F" w:rsidRPr="0006063C" w:rsidSect="00034616">
      <w:footerReference w:type="default" r:id="rId9"/>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