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4A5F6" w14:textId="29571980" w:rsidR="009E48A6" w:rsidRDefault="009E48A6" w:rsidP="009E48A6">
      <w:pPr>
        <w:autoSpaceDE w:val="0"/>
        <w:autoSpaceDN w:val="0"/>
        <w:adjustRightInd w:val="0"/>
        <w:spacing w:after="0" w:line="240" w:lineRule="auto"/>
        <w:rPr>
          <w:rFonts w:ascii="SFBX1440" w:hAnsi="SFBX1440" w:cs="SFBX1440"/>
          <w:sz w:val="29"/>
          <w:szCs w:val="29"/>
        </w:rPr>
      </w:pPr>
      <w:r>
        <w:rPr>
          <w:rFonts w:ascii="SFBX1440" w:hAnsi="SFBX1440" w:cs="SFBX1440"/>
          <w:sz w:val="29"/>
          <w:szCs w:val="29"/>
        </w:rPr>
        <w:t>Supplementary Information</w:t>
      </w:r>
    </w:p>
    <w:p w14:paraId="2B5333F8" w14:textId="480CE22D" w:rsidR="009E48A6" w:rsidRDefault="009E48A6" w:rsidP="009E48A6">
      <w:pPr>
        <w:autoSpaceDE w:val="0"/>
        <w:autoSpaceDN w:val="0"/>
        <w:adjustRightInd w:val="0"/>
        <w:spacing w:after="0" w:line="240" w:lineRule="auto"/>
        <w:rPr>
          <w:rFonts w:ascii="SFRM1000" w:hAnsi="SFRM1000" w:cs="SFRM1000"/>
          <w:sz w:val="20"/>
          <w:szCs w:val="20"/>
        </w:rPr>
      </w:pP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SFBX1000" w:hAnsi="SFBX1000" w:cs="SFBX1000"/>
          <w:sz w:val="20"/>
          <w:szCs w:val="20"/>
        </w:rPr>
        <w:t xml:space="preserve">Supplementary Table S1 </w:t>
      </w:r>
      <w:r>
        <w:rPr>
          <w:rFonts w:ascii="SFRM1000" w:hAnsi="SFRM1000" w:cs="SFRM1000"/>
          <w:sz w:val="20"/>
          <w:szCs w:val="20"/>
        </w:rPr>
        <w:t xml:space="preserve">(List of 45 bacterial isolates recovered from </w:t>
      </w:r>
      <w:r>
        <w:rPr>
          <w:rFonts w:ascii="SFTI1000" w:hAnsi="SFTI1000" w:cs="SFTI1000"/>
          <w:sz w:val="20"/>
          <w:szCs w:val="20"/>
        </w:rPr>
        <w:t xml:space="preserve">B. </w:t>
      </w:r>
      <w:proofErr w:type="spellStart"/>
      <w:r>
        <w:rPr>
          <w:rFonts w:ascii="SFTI1000" w:hAnsi="SFTI1000" w:cs="SFTI1000"/>
          <w:sz w:val="20"/>
          <w:szCs w:val="20"/>
        </w:rPr>
        <w:t>oleae</w:t>
      </w:r>
      <w:proofErr w:type="spellEnd"/>
      <w:r>
        <w:rPr>
          <w:rFonts w:ascii="SFTI1000" w:hAnsi="SFTI1000" w:cs="SFTI1000"/>
          <w:sz w:val="20"/>
          <w:szCs w:val="2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gut cultures, including </w:t>
      </w:r>
      <w:proofErr w:type="gramStart"/>
      <w:r>
        <w:rPr>
          <w:rFonts w:ascii="SFRM1000" w:hAnsi="SFRM1000" w:cs="SFRM1000"/>
          <w:sz w:val="20"/>
          <w:szCs w:val="20"/>
        </w:rPr>
        <w:t>colony</w:t>
      </w:r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>morphology</w:t>
      </w:r>
      <w:proofErr w:type="gramEnd"/>
      <w:r>
        <w:rPr>
          <w:rFonts w:ascii="SFRM1000" w:hAnsi="SFRM1000" w:cs="SFRM1000"/>
          <w:sz w:val="20"/>
          <w:szCs w:val="20"/>
        </w:rPr>
        <w:t>, 16S rRNA gene BLAST identification (achieved for 43 of 45 isolates), and culture medium of</w:t>
      </w:r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>origin; cited in Section 2.2.1).</w:t>
      </w:r>
    </w:p>
    <w:p w14:paraId="402A26FB" w14:textId="3B514107" w:rsidR="009E48A6" w:rsidRDefault="009E48A6" w:rsidP="009E48A6">
      <w:pPr>
        <w:autoSpaceDE w:val="0"/>
        <w:autoSpaceDN w:val="0"/>
        <w:adjustRightInd w:val="0"/>
        <w:spacing w:after="0" w:line="240" w:lineRule="auto"/>
        <w:rPr>
          <w:rFonts w:ascii="SFRM1000" w:hAnsi="SFRM1000" w:cs="SFRM1000"/>
          <w:sz w:val="20"/>
          <w:szCs w:val="20"/>
        </w:rPr>
      </w:pP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SFBX1000" w:hAnsi="SFBX1000" w:cs="SFBX1000"/>
          <w:sz w:val="20"/>
          <w:szCs w:val="20"/>
        </w:rPr>
        <w:t xml:space="preserve">Supplementary Table S2 </w:t>
      </w:r>
      <w:r>
        <w:rPr>
          <w:rFonts w:ascii="SFRM1000" w:hAnsi="SFRM1000" w:cs="SFRM1000"/>
          <w:sz w:val="20"/>
          <w:szCs w:val="20"/>
        </w:rPr>
        <w:t xml:space="preserve">(50 representative metabolic pathways illustrating species-specific </w:t>
      </w:r>
      <w:proofErr w:type="gramStart"/>
      <w:r>
        <w:rPr>
          <w:rFonts w:ascii="SFRM1000" w:hAnsi="SFRM1000" w:cs="SFRM1000"/>
          <w:sz w:val="20"/>
          <w:szCs w:val="20"/>
        </w:rPr>
        <w:t>specialization</w:t>
      </w:r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>among</w:t>
      </w:r>
      <w:proofErr w:type="gramEnd"/>
      <w:r>
        <w:rPr>
          <w:rFonts w:ascii="SFRM1000" w:hAnsi="SFRM1000" w:cs="SFRM1000"/>
          <w:sz w:val="20"/>
          <w:szCs w:val="20"/>
        </w:rPr>
        <w:t xml:space="preserve"> the three cultured bacterial isolates, including coenzyme A biosynthesis, </w:t>
      </w:r>
      <w:proofErr w:type="spellStart"/>
      <w:r>
        <w:rPr>
          <w:rFonts w:ascii="SFRM1000" w:hAnsi="SFRM1000" w:cs="SFRM1000"/>
          <w:sz w:val="20"/>
          <w:szCs w:val="20"/>
        </w:rPr>
        <w:t>dTDP</w:t>
      </w:r>
      <w:proofErr w:type="spellEnd"/>
      <w:r>
        <w:rPr>
          <w:rFonts w:ascii="SFRM1000" w:hAnsi="SFRM1000" w:cs="SFRM1000"/>
          <w:sz w:val="20"/>
          <w:szCs w:val="20"/>
        </w:rPr>
        <w:t>-rhamnose biosynthesis,</w:t>
      </w:r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>and fatty acid metabolism pathways; cited in Section 2.2.4).</w:t>
      </w:r>
    </w:p>
    <w:p w14:paraId="5E8E66CC" w14:textId="25CE4417" w:rsidR="009E48A6" w:rsidRDefault="009E48A6" w:rsidP="009E48A6">
      <w:pPr>
        <w:autoSpaceDE w:val="0"/>
        <w:autoSpaceDN w:val="0"/>
        <w:adjustRightInd w:val="0"/>
        <w:spacing w:after="0" w:line="240" w:lineRule="auto"/>
        <w:rPr>
          <w:rFonts w:ascii="SFRM1000" w:hAnsi="SFRM1000" w:cs="SFRM1000"/>
          <w:sz w:val="20"/>
          <w:szCs w:val="20"/>
        </w:rPr>
      </w:pP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SFBX1000" w:hAnsi="SFBX1000" w:cs="SFBX1000"/>
          <w:sz w:val="20"/>
          <w:szCs w:val="20"/>
        </w:rPr>
        <w:t xml:space="preserve">Supplementary Table S3 </w:t>
      </w:r>
      <w:r>
        <w:rPr>
          <w:rFonts w:ascii="SFRM1000" w:hAnsi="SFRM1000" w:cs="SFRM1000"/>
          <w:sz w:val="20"/>
          <w:szCs w:val="20"/>
        </w:rPr>
        <w:t xml:space="preserve">(Summary Jaccard overlap statistics for the 103 metabolic pathways shared between </w:t>
      </w:r>
      <w:r>
        <w:rPr>
          <w:rFonts w:ascii="SFTI1000" w:hAnsi="SFTI1000" w:cs="SFTI1000"/>
          <w:sz w:val="20"/>
          <w:szCs w:val="20"/>
        </w:rPr>
        <w:t xml:space="preserve">Ca. </w:t>
      </w:r>
      <w:r>
        <w:rPr>
          <w:rFonts w:ascii="SFRM1000" w:hAnsi="SFRM1000" w:cs="SFRM1000"/>
          <w:sz w:val="20"/>
          <w:szCs w:val="20"/>
        </w:rPr>
        <w:t xml:space="preserve">E. </w:t>
      </w:r>
      <w:proofErr w:type="spellStart"/>
      <w:r>
        <w:rPr>
          <w:rFonts w:ascii="SFRM1000" w:hAnsi="SFRM1000" w:cs="SFRM1000"/>
          <w:sz w:val="20"/>
          <w:szCs w:val="20"/>
        </w:rPr>
        <w:t>dacicola</w:t>
      </w:r>
      <w:proofErr w:type="spellEnd"/>
      <w:r>
        <w:rPr>
          <w:rFonts w:ascii="SFRM1000" w:hAnsi="SFRM1000" w:cs="SFRM1000"/>
          <w:sz w:val="20"/>
          <w:szCs w:val="20"/>
        </w:rPr>
        <w:t xml:space="preserve"> and the three cultured bacterial isolates, together with the corresponding </w:t>
      </w:r>
      <w:proofErr w:type="gramStart"/>
      <w:r>
        <w:rPr>
          <w:rFonts w:ascii="SFRM1000" w:hAnsi="SFRM1000" w:cs="SFRM1000"/>
          <w:sz w:val="20"/>
          <w:szCs w:val="20"/>
        </w:rPr>
        <w:t>transcriptomic</w:t>
      </w:r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>comparisons</w:t>
      </w:r>
      <w:proofErr w:type="gramEnd"/>
      <w:r>
        <w:rPr>
          <w:rFonts w:ascii="SFRM1000" w:hAnsi="SFRM1000" w:cs="SFRM1000"/>
          <w:sz w:val="20"/>
          <w:szCs w:val="20"/>
        </w:rPr>
        <w:t>; cited in Section 2.2.4).</w:t>
      </w:r>
    </w:p>
    <w:p w14:paraId="676AB4A0" w14:textId="0C500848" w:rsidR="009E48A6" w:rsidRDefault="009E48A6" w:rsidP="009E48A6">
      <w:pPr>
        <w:autoSpaceDE w:val="0"/>
        <w:autoSpaceDN w:val="0"/>
        <w:adjustRightInd w:val="0"/>
        <w:spacing w:after="0" w:line="240" w:lineRule="auto"/>
        <w:rPr>
          <w:rFonts w:ascii="SFRM1000" w:hAnsi="SFRM1000" w:cs="SFRM1000"/>
          <w:sz w:val="20"/>
          <w:szCs w:val="20"/>
        </w:rPr>
      </w:pP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SFBX1000" w:hAnsi="SFBX1000" w:cs="SFBX1000"/>
          <w:sz w:val="20"/>
          <w:szCs w:val="20"/>
        </w:rPr>
        <w:t xml:space="preserve">Supplementary Figure S1 </w:t>
      </w:r>
      <w:r>
        <w:rPr>
          <w:rFonts w:ascii="SFRM1000" w:hAnsi="SFRM1000" w:cs="SFRM1000"/>
          <w:sz w:val="20"/>
          <w:szCs w:val="20"/>
        </w:rPr>
        <w:t xml:space="preserve">(Representative bacterial colonies isolated from </w:t>
      </w:r>
      <w:r>
        <w:rPr>
          <w:rFonts w:ascii="SFTI1000" w:hAnsi="SFTI1000" w:cs="SFTI1000"/>
          <w:sz w:val="20"/>
          <w:szCs w:val="20"/>
        </w:rPr>
        <w:t xml:space="preserve">B. </w:t>
      </w:r>
      <w:proofErr w:type="spellStart"/>
      <w:r>
        <w:rPr>
          <w:rFonts w:ascii="SFTI1000" w:hAnsi="SFTI1000" w:cs="SFTI1000"/>
          <w:sz w:val="20"/>
          <w:szCs w:val="20"/>
        </w:rPr>
        <w:t>oleae</w:t>
      </w:r>
      <w:proofErr w:type="spellEnd"/>
      <w:r>
        <w:rPr>
          <w:rFonts w:ascii="SFTI1000" w:hAnsi="SFTI1000" w:cs="SFTI1000"/>
          <w:sz w:val="20"/>
          <w:szCs w:val="2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midgut </w:t>
      </w:r>
      <w:proofErr w:type="gramStart"/>
      <w:r>
        <w:rPr>
          <w:rFonts w:ascii="SFRM1000" w:hAnsi="SFRM1000" w:cs="SFRM1000"/>
          <w:sz w:val="20"/>
          <w:szCs w:val="20"/>
        </w:rPr>
        <w:t>homogenates,</w:t>
      </w:r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>plated</w:t>
      </w:r>
      <w:proofErr w:type="gramEnd"/>
      <w:r>
        <w:rPr>
          <w:rFonts w:ascii="SFRM1000" w:hAnsi="SFRM1000" w:cs="SFRM1000"/>
          <w:sz w:val="20"/>
          <w:szCs w:val="20"/>
        </w:rPr>
        <w:t xml:space="preserve"> on five culture media following serial dilution; cited in Section 2.2.1).</w:t>
      </w:r>
    </w:p>
    <w:p w14:paraId="2504B5AF" w14:textId="29A8F620" w:rsidR="00B94214" w:rsidRDefault="009E48A6" w:rsidP="009E48A6">
      <w:pPr>
        <w:autoSpaceDE w:val="0"/>
        <w:autoSpaceDN w:val="0"/>
        <w:adjustRightInd w:val="0"/>
        <w:spacing w:after="0" w:line="240" w:lineRule="auto"/>
      </w:pPr>
      <w:r>
        <w:rPr>
          <w:rFonts w:ascii="SFSS0800" w:hAnsi="SFSS0800" w:cs="SFSS0800"/>
          <w:sz w:val="10"/>
          <w:szCs w:val="10"/>
        </w:rPr>
        <w:t xml:space="preserve"> </w:t>
      </w: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SFBX1000" w:hAnsi="SFBX1000" w:cs="SFBX1000"/>
          <w:sz w:val="20"/>
          <w:szCs w:val="20"/>
        </w:rPr>
        <w:t xml:space="preserve">Supplementary Figure S2 </w:t>
      </w:r>
      <w:r>
        <w:rPr>
          <w:rFonts w:ascii="SFRM1000" w:hAnsi="SFRM1000" w:cs="SFRM1000"/>
          <w:sz w:val="20"/>
          <w:szCs w:val="20"/>
        </w:rPr>
        <w:t>(Principal Coordinates Analysis (</w:t>
      </w:r>
      <w:proofErr w:type="spellStart"/>
      <w:r>
        <w:rPr>
          <w:rFonts w:ascii="SFRM1000" w:hAnsi="SFRM1000" w:cs="SFRM1000"/>
          <w:sz w:val="20"/>
          <w:szCs w:val="20"/>
        </w:rPr>
        <w:t>PCoA</w:t>
      </w:r>
      <w:proofErr w:type="spellEnd"/>
      <w:r>
        <w:rPr>
          <w:rFonts w:ascii="SFRM1000" w:hAnsi="SFRM1000" w:cs="SFRM1000"/>
          <w:sz w:val="20"/>
          <w:szCs w:val="20"/>
        </w:rPr>
        <w:t xml:space="preserve">) of pathway functional profiles, </w:t>
      </w:r>
      <w:proofErr w:type="spellStart"/>
      <w:r>
        <w:rPr>
          <w:rFonts w:ascii="SFRM1000" w:hAnsi="SFRM1000" w:cs="SFRM1000"/>
          <w:sz w:val="20"/>
          <w:szCs w:val="20"/>
        </w:rPr>
        <w:t>illustrat</w:t>
      </w:r>
      <w:proofErr w:type="spellEnd"/>
      <w:r>
        <w:rPr>
          <w:rFonts w:ascii="SFRM1000" w:hAnsi="SFRM1000" w:cs="SFRM1000"/>
          <w:sz w:val="20"/>
          <w:szCs w:val="20"/>
        </w:rPr>
        <w:t xml:space="preserve"> </w:t>
      </w:r>
      <w:r>
        <w:rPr>
          <w:rFonts w:ascii="SFRM1000" w:hAnsi="SFRM1000" w:cs="SFRM1000"/>
          <w:sz w:val="20"/>
          <w:szCs w:val="20"/>
        </w:rPr>
        <w:t>ing the separation between transcriptomic samples and cultured bacterial isolates; cited in Section 4.9).</w:t>
      </w:r>
    </w:p>
    <w:sectPr w:rsidR="00B94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FBX144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SS08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RM10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BX10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TI10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A6"/>
    <w:rsid w:val="00164460"/>
    <w:rsid w:val="002571D4"/>
    <w:rsid w:val="00276424"/>
    <w:rsid w:val="003054BD"/>
    <w:rsid w:val="00446882"/>
    <w:rsid w:val="004C562A"/>
    <w:rsid w:val="004C5DEB"/>
    <w:rsid w:val="006972A7"/>
    <w:rsid w:val="008206B6"/>
    <w:rsid w:val="00853BD2"/>
    <w:rsid w:val="009E48A6"/>
    <w:rsid w:val="00A2405C"/>
    <w:rsid w:val="00B2342F"/>
    <w:rsid w:val="00B94214"/>
    <w:rsid w:val="00D9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AAAC"/>
  <w15:chartTrackingRefBased/>
  <w15:docId w15:val="{0A5ABBF4-E6CB-46DB-B17B-958AB678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Yamini</dc:creator>
  <cp:keywords/>
  <dc:description/>
  <cp:lastModifiedBy>Yamini</cp:lastModifiedBy>
  <cp:revision>3</cp:revision>
  <dcterms:created xsi:type="dcterms:W3CDTF">2026-10-11T04:08:00Z</dcterms:created>
  <dcterms:modified xsi:type="dcterms:W3CDTF">2026-10-11T04:10:00Z</dcterms:modified>
</cp:coreProperties>
</file>