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8EA" w:rsidRPr="00F05402" w:rsidRDefault="00C30A46" w:rsidP="00F05402">
      <w:pPr>
        <w:pStyle w:val="Title"/>
        <w:jc w:val="both"/>
        <w:rPr>
          <w:rFonts w:ascii="Palatino Linotype" w:hAnsi="Palatino Linotype"/>
          <w:sz w:val="24"/>
          <w:szCs w:val="24"/>
        </w:rPr>
      </w:pPr>
      <w:r w:rsidRPr="00F05402">
        <w:rPr>
          <w:rFonts w:ascii="Palatino Linotype" w:hAnsi="Palatino Linotype"/>
          <w:sz w:val="24"/>
          <w:szCs w:val="24"/>
        </w:rPr>
        <w:t>Supplementary methods and tables</w:t>
      </w:r>
    </w:p>
    <w:p w:rsidR="008D38EA" w:rsidRPr="00F05402" w:rsidRDefault="00C30A46" w:rsidP="00F05402">
      <w:pPr>
        <w:pStyle w:val="Subtitle"/>
        <w:jc w:val="both"/>
        <w:rPr>
          <w:rFonts w:ascii="Palatino Linotype" w:hAnsi="Palatino Linotype"/>
          <w:i w:val="0"/>
          <w:iCs w:val="0"/>
          <w:sz w:val="24"/>
        </w:rPr>
      </w:pPr>
      <w:r w:rsidRPr="00F05402">
        <w:rPr>
          <w:rFonts w:ascii="Palatino Linotype" w:hAnsi="Palatino Linotype"/>
          <w:i w:val="0"/>
          <w:iCs w:val="0"/>
          <w:sz w:val="24"/>
        </w:rPr>
        <w:t>Prevalence and Characteristics of Self-Reported Sports-Related Injuries Among University Students: A Cross-Sectional Study</w:t>
      </w:r>
    </w:p>
    <w:p w:rsidR="00F05402" w:rsidRDefault="00F05402" w:rsidP="00F05402">
      <w:pPr>
        <w:jc w:val="both"/>
        <w:rPr>
          <w:rFonts w:ascii="Palatino Linotype" w:hAnsi="Palatino Linotype"/>
          <w:sz w:val="24"/>
          <w:szCs w:val="24"/>
        </w:rPr>
      </w:pPr>
    </w:p>
    <w:p w:rsidR="00F05402" w:rsidRPr="00F05402" w:rsidRDefault="003F2527" w:rsidP="00F05402">
      <w:pPr>
        <w:jc w:val="both"/>
        <w:rPr>
          <w:rFonts w:ascii="Palatino Linotype" w:hAnsi="Palatino Linotype"/>
          <w:b/>
          <w:bCs/>
          <w:sz w:val="24"/>
          <w:szCs w:val="24"/>
        </w:rPr>
      </w:pPr>
      <w:r w:rsidRPr="00F05402">
        <w:rPr>
          <w:rFonts w:ascii="Palatino Linotype" w:hAnsi="Palatino Linotype"/>
          <w:b/>
          <w:bCs/>
          <w:sz w:val="24"/>
          <w:szCs w:val="24"/>
        </w:rPr>
        <w:t>Supplementary File S2</w:t>
      </w:r>
    </w:p>
    <w:p w:rsidR="008D38EA" w:rsidRPr="00F05402" w:rsidRDefault="00C30A46" w:rsidP="00F05402">
      <w:pPr>
        <w:pStyle w:val="Heading1"/>
        <w:jc w:val="both"/>
        <w:rPr>
          <w:rFonts w:ascii="Palatino Linotype" w:hAnsi="Palatino Linotype"/>
          <w:sz w:val="24"/>
          <w:szCs w:val="24"/>
        </w:rPr>
      </w:pPr>
      <w:r w:rsidRPr="00F05402">
        <w:rPr>
          <w:rFonts w:ascii="Palatino Linotype" w:hAnsi="Palatino Linotype"/>
          <w:sz w:val="24"/>
          <w:szCs w:val="24"/>
        </w:rPr>
        <w:t>S2A</w:t>
      </w:r>
      <w:r w:rsidR="00F05402">
        <w:rPr>
          <w:rFonts w:ascii="Palatino Linotype" w:hAnsi="Palatino Linotype"/>
          <w:sz w:val="24"/>
          <w:szCs w:val="24"/>
        </w:rPr>
        <w:t>.</w:t>
      </w:r>
      <w:r w:rsidR="00F05402">
        <w:rPr>
          <w:rFonts w:ascii="Palatino Linotype" w:hAnsi="Palatino Linotype"/>
          <w:sz w:val="24"/>
          <w:szCs w:val="24"/>
        </w:rPr>
        <w:tab/>
      </w:r>
      <w:r w:rsidRPr="00F05402">
        <w:rPr>
          <w:rFonts w:ascii="Palatino Linotype" w:hAnsi="Palatino Linotype"/>
          <w:sz w:val="24"/>
          <w:szCs w:val="24"/>
        </w:rPr>
        <w:t>Questionnaire variables and analytical coding</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This section documents the survey variables, recorded response options, and analytical coding. The complete English-language questionnaire is available in Supplementary File S1. It contains no explicit operational injury definition, severity threshold, or numerical intensity criteria. The response options listed below describe observed responses and may omit options selected by no respondents. BMI was calculated from reported height and weight for analysis. Questionnaire wording is reproduced unchanged in Supplementary File S1.</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1: Do you consent to participate in the survey?</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Yes; No.</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2: Age group</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25 and above year old; 22–23-year-old; 24–25-year-old; 18–19-year-old; 20–21-year-old.</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3: Gender</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Male; Female.</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4: Name of the college</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College names recorded as text.</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5: Level 1- 12</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Academic level recorded numerically.</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6: Region you belong to</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Middle Region; Eastern Region; Northern Region; Western Region; Southern Region.</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lastRenderedPageBreak/>
        <w:t>Field 7: Do you have any chronic medical conditions?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No; Yes.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8: Do you smoke or shisha or other tobacco product?</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No; Yes; Rarely.</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9: Height (cm)</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Reported height in centimeters.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10: Weight (kg):</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Reported weight in kilograms.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12: Do you practice any type of sports?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Yes; No.</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13: Have you member of your university sports group?</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No; Yes.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14: How frequently do you engage in sports or physical activities?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3–4 times per week; 1–2 times per week; Daily; Rarely.</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15: How hard is your training?</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Low intensity; Moderate intensity; High intensity.</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16: Have you ever experienced a sports-related injury?</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Yes; No.</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17: How many sports injuries have you had in the past year?</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one or two times; three or four times; None; More than 4 times.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18: Which sport(s) have you been injured in the most? (Check all that apply)?</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Named categories: Contact sports; Non-contact sports; Gym workouts / weightlifting; Recreational activities. Multiple selections were retained separately; free text was not silently forced into named categories.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19: What type of injury have you experienced while playing sports? (Select all that apply)?</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Named categories: Muscle or joint pain; Sprains or strains; Cuts, bruises, or abrasions; Concussions or head injuries; Fractures or dislocations. Multiple selections were retained separately; free text was not silently forced into named categories.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20: What was the primary cause of your sports injury?</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Named categories: Lack of proper warm-up/stretching; Overuse or repetitive movements; Physical contact or collision; Poor equipment or unsafe playing conditions. Multiple selections were retained separately; free text was not silently forced into named categories.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21: How did you manage your sports injury?</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Self-treatment by RICE technique  (rest, ice, compression, elevation); o Ignored it and continued playing; Visited a doctor or physiotherapist; Took medication for pain relief.</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22: Do you believe your university provides adequate support for injury prevention and recovery?</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Yes, there are sufficient resources; No, there is a lack of proper support; Somewhat, but more support is needed.</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23: Do you participate in sports activities without proper warm-up or cool-down exercises?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Most of the time; Rarely; Always; Never; Sometimes.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24: 2. How often do you perform stretching exercises before and after sports activities?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Always; Sometimes; Most of the time; Rarely; Never.</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25: Do you wear proper protective gear (e.g. helmets, knee pads, shin guards, hand gloves) when participating in sports activities?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Rarely; Most of the time; Never; Always; Sometimes.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26: Have you ever played while injured or in pain in order to avoid letting your team down or to achieve a personal goal?</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No; Yes.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27: Have you ever received a concussion or head injury while participating in sports activities?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No; Yes.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28: How many hours of sleep do you typically get each night during the week when you have sports activities?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from 8-9 hours; Less than 6 hours; from 6-7 hours; More than 9 hours.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29: Have you ever received education or training on injury prevention techniques, such as proper landing and falling techniques?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No; Yes.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30: Do you exercise according to an approved fitness plan?</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Yes; No.</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31: Do you practice sports training under the supervision of a specialist?</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No; Yes.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32: Does your fitness plan include cardiovascular exercise, strength training and flexibility?</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Yes; Sometimes; No.</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33: Do you stay hydrated? Drink water to prevent dehydration, heat exhaustion, and heat stroke?</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Yes; Sometimes; No.</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34: How confident are you in your ability to recognize the signs and symptoms of a sports injury, such as concussion or muscle strain?</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Very confident; Somewhat confident; Not at all confident.</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35: If you have a sports injury, do you confirm complete recover, including necessary rehabilitation, before participating in  a heavy exercise and activities?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Yes; Sometimes; No.</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36: Would you be willing to attend a workshop or seminar on sports injury prevention if it were offered by your university?</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Observed responses: Yes; No.</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Field 37: If you do not practice any type of sport, what barriers do you face for not exercising?</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Recorded barriers include time, suitable place, financial resources, perceived importance, and health/physical condition, with multiple selections. This field is not analyzed in the manuscript.</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Analytical definitions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Eligibility: consent = Yes AND sports participation = Yes. Past-year outcome: a nonzero response to the past-year count item. Lifetime outcome: Yes to the ever-injured item. All past-year-positive respondents also affirmed lifetime injury. Age: combine “24–25” and “25 and above” as ≥24 years. BMI: weight/(height/100)², unavailable for heights 67 and 761 cm; no correction guessed. The main history-characteristic denominator is n = 178 lifetime-positive respondents. Category selections did not redefine the past-year count or lifetime occurrence responses.</w:t>
      </w:r>
    </w:p>
    <w:p w:rsidR="008D38EA" w:rsidRPr="00F05402" w:rsidRDefault="00C30A46" w:rsidP="00F05402">
      <w:pPr>
        <w:pStyle w:val="Heading1"/>
        <w:jc w:val="both"/>
        <w:rPr>
          <w:rFonts w:ascii="Palatino Linotype" w:hAnsi="Palatino Linotype"/>
          <w:sz w:val="24"/>
          <w:szCs w:val="24"/>
        </w:rPr>
      </w:pPr>
      <w:r w:rsidRPr="00F05402">
        <w:rPr>
          <w:rFonts w:ascii="Palatino Linotype" w:hAnsi="Palatino Linotype"/>
          <w:sz w:val="24"/>
          <w:szCs w:val="24"/>
        </w:rPr>
        <w:t>S2B</w:t>
      </w:r>
      <w:r w:rsidR="00F05402">
        <w:rPr>
          <w:rFonts w:ascii="Palatino Linotype" w:hAnsi="Palatino Linotype"/>
          <w:sz w:val="24"/>
          <w:szCs w:val="24"/>
        </w:rPr>
        <w:t>.</w:t>
      </w:r>
      <w:r w:rsidR="00F05402">
        <w:rPr>
          <w:rFonts w:ascii="Palatino Linotype" w:hAnsi="Palatino Linotype"/>
          <w:sz w:val="24"/>
          <w:szCs w:val="24"/>
        </w:rPr>
        <w:tab/>
      </w:r>
      <w:r w:rsidRPr="00F05402">
        <w:rPr>
          <w:rFonts w:ascii="Palatino Linotype" w:hAnsi="Palatino Linotype"/>
          <w:sz w:val="24"/>
          <w:szCs w:val="24"/>
        </w:rPr>
        <w:t>Descriptive and denominator audit tables</w:t>
      </w:r>
    </w:p>
    <w:p w:rsidR="008D38EA" w:rsidRPr="00F05402" w:rsidRDefault="00C30A46" w:rsidP="00F05402">
      <w:pPr>
        <w:pStyle w:val="Caption"/>
        <w:jc w:val="both"/>
        <w:rPr>
          <w:rFonts w:ascii="Palatino Linotype" w:hAnsi="Palatino Linotype"/>
          <w:sz w:val="24"/>
          <w:szCs w:val="24"/>
        </w:rPr>
      </w:pPr>
      <w:r w:rsidRPr="00F05402">
        <w:rPr>
          <w:rFonts w:ascii="Palatino Linotype" w:hAnsi="Palatino Linotype"/>
          <w:sz w:val="24"/>
          <w:szCs w:val="24"/>
        </w:rPr>
        <w:t>Table S2.1. Unadjusted past-year occurrence by demographic and activity characteristics.</w:t>
      </w:r>
    </w:p>
    <w:tbl>
      <w:tblPr>
        <w:tblW w:w="9360" w:type="dxa"/>
        <w:tblInd w:w="12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top w:w="70" w:type="dxa"/>
          <w:left w:w="120" w:type="dxa"/>
          <w:bottom w:w="70" w:type="dxa"/>
          <w:right w:w="120" w:type="dxa"/>
        </w:tblCellMar>
        <w:tblLook w:val="04A0" w:firstRow="1" w:lastRow="0" w:firstColumn="1" w:lastColumn="0" w:noHBand="0" w:noVBand="1"/>
      </w:tblPr>
      <w:tblGrid>
        <w:gridCol w:w="1550"/>
        <w:gridCol w:w="2950"/>
        <w:gridCol w:w="700"/>
        <w:gridCol w:w="2660"/>
        <w:gridCol w:w="1500"/>
      </w:tblGrid>
      <w:tr w:rsidR="008D38EA" w:rsidRPr="00F05402">
        <w:trPr>
          <w:cantSplit/>
          <w:tblHeader/>
        </w:trPr>
        <w:tc>
          <w:tcPr>
            <w:tcW w:w="155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Variable</w:t>
            </w:r>
          </w:p>
        </w:tc>
        <w:tc>
          <w:tcPr>
            <w:tcW w:w="295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Category</w:t>
            </w:r>
          </w:p>
        </w:tc>
        <w:tc>
          <w:tcPr>
            <w:tcW w:w="7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n</w:t>
            </w:r>
          </w:p>
        </w:tc>
        <w:tc>
          <w:tcPr>
            <w:tcW w:w="266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Past-year event n (%)</w:t>
            </w:r>
          </w:p>
        </w:tc>
        <w:tc>
          <w:tcPr>
            <w:tcW w:w="15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Overall p</w:t>
            </w:r>
          </w:p>
        </w:tc>
      </w:tr>
      <w:tr w:rsidR="008D38EA" w:rsidRPr="00F05402">
        <w:trPr>
          <w:cantSplit/>
        </w:trPr>
        <w:tc>
          <w:tcPr>
            <w:tcW w:w="15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Sex</w:t>
            </w: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Female</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59</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24 (40.7)</w:t>
            </w:r>
          </w:p>
        </w:tc>
        <w:tc>
          <w:tcPr>
            <w:tcW w:w="15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0.010</w:t>
            </w: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Male</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224</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133 (59.4)</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r w:rsidR="008D38EA" w:rsidRPr="00F05402">
        <w:trPr>
          <w:cantSplit/>
        </w:trPr>
        <w:tc>
          <w:tcPr>
            <w:tcW w:w="15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w:t>
            </w: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18–19 years</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51</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30 (58.8)</w:t>
            </w:r>
          </w:p>
        </w:tc>
        <w:tc>
          <w:tcPr>
            <w:tcW w:w="15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0.093</w:t>
            </w: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20–21 years</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42</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27 (64.3)</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22–23 years</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67</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42 (62.7)</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24 years or older</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123</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58 (47.2)</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r w:rsidR="008D38EA" w:rsidRPr="00F05402">
        <w:trPr>
          <w:cantSplit/>
        </w:trPr>
        <w:tc>
          <w:tcPr>
            <w:tcW w:w="15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BMI</w:t>
            </w: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Normal weight</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134</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78 (58.2)</w:t>
            </w:r>
          </w:p>
        </w:tc>
        <w:tc>
          <w:tcPr>
            <w:tcW w:w="15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0.534</w:t>
            </w: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Underweight</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20</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11 (55.0)</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Overweight</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93</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52 (55.9)</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Obesity</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34</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15 (44.1)</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r w:rsidR="008D38EA" w:rsidRPr="00F05402">
        <w:trPr>
          <w:cantSplit/>
        </w:trPr>
        <w:tc>
          <w:tcPr>
            <w:tcW w:w="15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w:t>
            </w: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Rarely</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18</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8 (44.4)</w:t>
            </w:r>
          </w:p>
        </w:tc>
        <w:tc>
          <w:tcPr>
            <w:tcW w:w="15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0.316</w:t>
            </w: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1–2 times per week</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55</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27 (49.1)</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3–4 times per week</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126</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77 (61.1)</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Daily</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84</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45 (53.6)</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r w:rsidR="008D38EA" w:rsidRPr="00F05402">
        <w:trPr>
          <w:cantSplit/>
        </w:trPr>
        <w:tc>
          <w:tcPr>
            <w:tcW w:w="15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Intensity</w:t>
            </w: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Low intensity</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55</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27 (49.1)</w:t>
            </w:r>
          </w:p>
        </w:tc>
        <w:tc>
          <w:tcPr>
            <w:tcW w:w="15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0.519</w:t>
            </w: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Moderate intensity</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176</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99 (56.2)</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High intensity</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52</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31 (59.6)</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r w:rsidR="008D38EA" w:rsidRPr="00F05402">
        <w:trPr>
          <w:cantSplit/>
        </w:trPr>
        <w:tc>
          <w:tcPr>
            <w:tcW w:w="15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Chronic condition</w:t>
            </w: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No</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260</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145 (55.8)</w:t>
            </w:r>
          </w:p>
        </w:tc>
        <w:tc>
          <w:tcPr>
            <w:tcW w:w="15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0.739</w:t>
            </w:r>
          </w:p>
        </w:tc>
      </w:tr>
      <w:tr w:rsidR="008D38EA" w:rsidRPr="00F05402">
        <w:trPr>
          <w:cantSplit/>
        </w:trPr>
        <w:tc>
          <w:tcPr>
            <w:tcW w:w="1550" w:type="dxa"/>
            <w:vAlign w:val="center"/>
          </w:tcPr>
          <w:p w:rsidR="008D38EA" w:rsidRPr="00F05402" w:rsidRDefault="008D38EA" w:rsidP="00F05402">
            <w:pPr>
              <w:pStyle w:val="TableText"/>
              <w:jc w:val="both"/>
              <w:rPr>
                <w:rFonts w:ascii="Palatino Linotype" w:hAnsi="Palatino Linotype"/>
                <w:sz w:val="24"/>
                <w:szCs w:val="24"/>
              </w:rPr>
            </w:pPr>
          </w:p>
        </w:tc>
        <w:tc>
          <w:tcPr>
            <w:tcW w:w="295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Yes</w:t>
            </w:r>
          </w:p>
        </w:tc>
        <w:tc>
          <w:tcPr>
            <w:tcW w:w="7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23</w:t>
            </w:r>
          </w:p>
        </w:tc>
        <w:tc>
          <w:tcPr>
            <w:tcW w:w="26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12 (52.2)</w:t>
            </w:r>
          </w:p>
        </w:tc>
        <w:tc>
          <w:tcPr>
            <w:tcW w:w="1500" w:type="dxa"/>
            <w:vAlign w:val="center"/>
          </w:tcPr>
          <w:p w:rsidR="008D38EA" w:rsidRPr="00F05402" w:rsidRDefault="008D38EA" w:rsidP="00F05402">
            <w:pPr>
              <w:pStyle w:val="TableText"/>
              <w:jc w:val="both"/>
              <w:rPr>
                <w:rFonts w:ascii="Palatino Linotype" w:hAnsi="Palatino Linotype"/>
                <w:sz w:val="24"/>
                <w:szCs w:val="24"/>
              </w:rPr>
            </w:pPr>
          </w:p>
        </w:tc>
      </w:tr>
    </w:tbl>
    <w:p w:rsidR="008D38EA" w:rsidRPr="00F05402" w:rsidRDefault="00C30A46" w:rsidP="00F05402">
      <w:pPr>
        <w:pStyle w:val="TableNote"/>
        <w:jc w:val="both"/>
        <w:rPr>
          <w:rFonts w:ascii="Palatino Linotype" w:hAnsi="Palatino Linotype"/>
          <w:sz w:val="24"/>
          <w:szCs w:val="24"/>
        </w:rPr>
      </w:pPr>
      <w:r w:rsidRPr="00F05402">
        <w:rPr>
          <w:rFonts w:ascii="Palatino Linotype" w:hAnsi="Palatino Linotype"/>
          <w:sz w:val="24"/>
          <w:szCs w:val="24"/>
        </w:rPr>
        <w:t>Percentages are within each category. Pearson chi-square tests used no continuity correction. BMI n = 281; other comparisons n = 283. All expected cell counts were &gt;5. The p-value is for the complete variable, not an individual category.</w:t>
      </w:r>
    </w:p>
    <w:p w:rsidR="008D38EA" w:rsidRPr="00F05402" w:rsidRDefault="00C30A46" w:rsidP="00F05402">
      <w:pPr>
        <w:pStyle w:val="Caption"/>
        <w:jc w:val="both"/>
        <w:rPr>
          <w:rFonts w:ascii="Palatino Linotype" w:hAnsi="Palatino Linotype"/>
          <w:sz w:val="24"/>
          <w:szCs w:val="24"/>
        </w:rPr>
      </w:pPr>
      <w:r w:rsidRPr="00F05402">
        <w:rPr>
          <w:rFonts w:ascii="Palatino Linotype" w:hAnsi="Palatino Linotype"/>
          <w:sz w:val="24"/>
          <w:szCs w:val="24"/>
        </w:rPr>
        <w:t>Table S2.2. Recorded category selections by lifetime injury reporting.</w:t>
      </w:r>
    </w:p>
    <w:tbl>
      <w:tblPr>
        <w:tblW w:w="9360" w:type="dxa"/>
        <w:tblInd w:w="12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top w:w="70" w:type="dxa"/>
          <w:left w:w="120" w:type="dxa"/>
          <w:bottom w:w="70" w:type="dxa"/>
          <w:right w:w="120" w:type="dxa"/>
        </w:tblCellMar>
        <w:tblLook w:val="04A0" w:firstRow="1" w:lastRow="0" w:firstColumn="1" w:lastColumn="0" w:noHBand="0" w:noVBand="1"/>
      </w:tblPr>
      <w:tblGrid>
        <w:gridCol w:w="1400"/>
        <w:gridCol w:w="4000"/>
        <w:gridCol w:w="1320"/>
        <w:gridCol w:w="1320"/>
        <w:gridCol w:w="1320"/>
      </w:tblGrid>
      <w:tr w:rsidR="008D38EA" w:rsidRPr="00F05402">
        <w:trPr>
          <w:cantSplit/>
          <w:tblHeader/>
        </w:trPr>
        <w:tc>
          <w:tcPr>
            <w:tcW w:w="14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Domain</w:t>
            </w:r>
          </w:p>
        </w:tc>
        <w:tc>
          <w:tcPr>
            <w:tcW w:w="40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Category</w:t>
            </w:r>
          </w:p>
        </w:tc>
        <w:tc>
          <w:tcPr>
            <w:tcW w:w="132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All active</w:t>
            </w:r>
            <w:r w:rsidRPr="00F05402">
              <w:rPr>
                <w:rFonts w:ascii="Palatino Linotype" w:hAnsi="Palatino Linotype"/>
                <w:b/>
                <w:sz w:val="24"/>
                <w:szCs w:val="24"/>
              </w:rPr>
              <w:br/>
              <w:t>n = 283</w:t>
            </w:r>
          </w:p>
        </w:tc>
        <w:tc>
          <w:tcPr>
            <w:tcW w:w="132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Lifetime yes</w:t>
            </w:r>
            <w:r w:rsidRPr="00F05402">
              <w:rPr>
                <w:rFonts w:ascii="Palatino Linotype" w:hAnsi="Palatino Linotype"/>
                <w:b/>
                <w:sz w:val="24"/>
                <w:szCs w:val="24"/>
              </w:rPr>
              <w:br/>
              <w:t>n = 178</w:t>
            </w:r>
          </w:p>
        </w:tc>
        <w:tc>
          <w:tcPr>
            <w:tcW w:w="132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Lifetime no</w:t>
            </w:r>
            <w:r w:rsidRPr="00F05402">
              <w:rPr>
                <w:rFonts w:ascii="Palatino Linotype" w:hAnsi="Palatino Linotype"/>
                <w:b/>
                <w:sz w:val="24"/>
                <w:szCs w:val="24"/>
              </w:rPr>
              <w:br/>
              <w:t>n = 105</w:t>
            </w:r>
          </w:p>
        </w:tc>
      </w:tr>
      <w:tr w:rsidR="008D38EA" w:rsidRPr="00F05402">
        <w:trPr>
          <w:cantSplit/>
        </w:trPr>
        <w:tc>
          <w:tcPr>
            <w:tcW w:w="14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Activity</w:t>
            </w: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Contact sports</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155</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117</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38</w:t>
            </w:r>
          </w:p>
        </w:tc>
      </w:tr>
      <w:tr w:rsidR="008D38EA" w:rsidRPr="00F05402">
        <w:trPr>
          <w:cantSplit/>
        </w:trPr>
        <w:tc>
          <w:tcPr>
            <w:tcW w:w="1400" w:type="dxa"/>
            <w:vAlign w:val="center"/>
          </w:tcPr>
          <w:p w:rsidR="008D38EA" w:rsidRPr="00F05402" w:rsidRDefault="008D38EA" w:rsidP="00F05402">
            <w:pPr>
              <w:pStyle w:val="TableText"/>
              <w:jc w:val="both"/>
              <w:rPr>
                <w:rFonts w:ascii="Palatino Linotype" w:hAnsi="Palatino Linotype"/>
                <w:sz w:val="24"/>
                <w:szCs w:val="24"/>
              </w:rPr>
            </w:pP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Non-contact sports</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42</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24</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18</w:t>
            </w:r>
          </w:p>
        </w:tc>
      </w:tr>
      <w:tr w:rsidR="008D38EA" w:rsidRPr="00F05402">
        <w:trPr>
          <w:cantSplit/>
        </w:trPr>
        <w:tc>
          <w:tcPr>
            <w:tcW w:w="1400" w:type="dxa"/>
            <w:vAlign w:val="center"/>
          </w:tcPr>
          <w:p w:rsidR="008D38EA" w:rsidRPr="00F05402" w:rsidRDefault="008D38EA" w:rsidP="00F05402">
            <w:pPr>
              <w:pStyle w:val="TableText"/>
              <w:jc w:val="both"/>
              <w:rPr>
                <w:rFonts w:ascii="Palatino Linotype" w:hAnsi="Palatino Linotype"/>
                <w:sz w:val="24"/>
                <w:szCs w:val="24"/>
              </w:rPr>
            </w:pP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Gym workouts / weightlifting</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72</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42</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30</w:t>
            </w:r>
          </w:p>
        </w:tc>
      </w:tr>
      <w:tr w:rsidR="008D38EA" w:rsidRPr="00F05402">
        <w:trPr>
          <w:cantSplit/>
        </w:trPr>
        <w:tc>
          <w:tcPr>
            <w:tcW w:w="1400" w:type="dxa"/>
            <w:vAlign w:val="center"/>
          </w:tcPr>
          <w:p w:rsidR="008D38EA" w:rsidRPr="00F05402" w:rsidRDefault="008D38EA" w:rsidP="00F05402">
            <w:pPr>
              <w:pStyle w:val="TableText"/>
              <w:jc w:val="both"/>
              <w:rPr>
                <w:rFonts w:ascii="Palatino Linotype" w:hAnsi="Palatino Linotype"/>
                <w:sz w:val="24"/>
                <w:szCs w:val="24"/>
              </w:rPr>
            </w:pP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Recreational activities</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58</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30</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28</w:t>
            </w:r>
          </w:p>
        </w:tc>
      </w:tr>
      <w:tr w:rsidR="008D38EA" w:rsidRPr="00F05402">
        <w:trPr>
          <w:cantSplit/>
        </w:trPr>
        <w:tc>
          <w:tcPr>
            <w:tcW w:w="14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Type</w:t>
            </w: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Muscle or joint pain</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194</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117</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77</w:t>
            </w:r>
          </w:p>
        </w:tc>
      </w:tr>
      <w:tr w:rsidR="008D38EA" w:rsidRPr="00F05402">
        <w:trPr>
          <w:cantSplit/>
        </w:trPr>
        <w:tc>
          <w:tcPr>
            <w:tcW w:w="1400" w:type="dxa"/>
            <w:vAlign w:val="center"/>
          </w:tcPr>
          <w:p w:rsidR="008D38EA" w:rsidRPr="00F05402" w:rsidRDefault="008D38EA" w:rsidP="00F05402">
            <w:pPr>
              <w:pStyle w:val="TableText"/>
              <w:jc w:val="both"/>
              <w:rPr>
                <w:rFonts w:ascii="Palatino Linotype" w:hAnsi="Palatino Linotype"/>
                <w:sz w:val="24"/>
                <w:szCs w:val="24"/>
              </w:rPr>
            </w:pP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Sprains or strains</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70</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57</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13</w:t>
            </w:r>
          </w:p>
        </w:tc>
      </w:tr>
      <w:tr w:rsidR="008D38EA" w:rsidRPr="00F05402">
        <w:trPr>
          <w:cantSplit/>
        </w:trPr>
        <w:tc>
          <w:tcPr>
            <w:tcW w:w="1400" w:type="dxa"/>
            <w:vAlign w:val="center"/>
          </w:tcPr>
          <w:p w:rsidR="008D38EA" w:rsidRPr="00F05402" w:rsidRDefault="008D38EA" w:rsidP="00F05402">
            <w:pPr>
              <w:pStyle w:val="TableText"/>
              <w:jc w:val="both"/>
              <w:rPr>
                <w:rFonts w:ascii="Palatino Linotype" w:hAnsi="Palatino Linotype"/>
                <w:sz w:val="24"/>
                <w:szCs w:val="24"/>
              </w:rPr>
            </w:pP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Cuts, bruises, or abrasions</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60</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34</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26</w:t>
            </w:r>
          </w:p>
        </w:tc>
      </w:tr>
      <w:tr w:rsidR="008D38EA" w:rsidRPr="00F05402">
        <w:trPr>
          <w:cantSplit/>
        </w:trPr>
        <w:tc>
          <w:tcPr>
            <w:tcW w:w="1400" w:type="dxa"/>
            <w:vAlign w:val="center"/>
          </w:tcPr>
          <w:p w:rsidR="008D38EA" w:rsidRPr="00F05402" w:rsidRDefault="008D38EA" w:rsidP="00F05402">
            <w:pPr>
              <w:pStyle w:val="TableText"/>
              <w:jc w:val="both"/>
              <w:rPr>
                <w:rFonts w:ascii="Palatino Linotype" w:hAnsi="Palatino Linotype"/>
                <w:sz w:val="24"/>
                <w:szCs w:val="24"/>
              </w:rPr>
            </w:pP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Concussions or head injuries</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6</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4</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w:t>
            </w:r>
          </w:p>
        </w:tc>
      </w:tr>
      <w:tr w:rsidR="008D38EA" w:rsidRPr="00F05402">
        <w:trPr>
          <w:cantSplit/>
        </w:trPr>
        <w:tc>
          <w:tcPr>
            <w:tcW w:w="1400" w:type="dxa"/>
            <w:vAlign w:val="center"/>
          </w:tcPr>
          <w:p w:rsidR="008D38EA" w:rsidRPr="00F05402" w:rsidRDefault="008D38EA" w:rsidP="00F05402">
            <w:pPr>
              <w:pStyle w:val="TableText"/>
              <w:jc w:val="both"/>
              <w:rPr>
                <w:rFonts w:ascii="Palatino Linotype" w:hAnsi="Palatino Linotype"/>
                <w:sz w:val="24"/>
                <w:szCs w:val="24"/>
              </w:rPr>
            </w:pP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Fractures or dislocations</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26</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21</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5</w:t>
            </w:r>
          </w:p>
        </w:tc>
      </w:tr>
      <w:tr w:rsidR="008D38EA" w:rsidRPr="00F05402">
        <w:trPr>
          <w:cantSplit/>
        </w:trPr>
        <w:tc>
          <w:tcPr>
            <w:tcW w:w="14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Circumstance</w:t>
            </w: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Lack of proper warm-up/stretching</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185</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109</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76</w:t>
            </w:r>
          </w:p>
        </w:tc>
      </w:tr>
      <w:tr w:rsidR="008D38EA" w:rsidRPr="00F05402">
        <w:trPr>
          <w:cantSplit/>
        </w:trPr>
        <w:tc>
          <w:tcPr>
            <w:tcW w:w="1400" w:type="dxa"/>
            <w:vAlign w:val="center"/>
          </w:tcPr>
          <w:p w:rsidR="008D38EA" w:rsidRPr="00F05402" w:rsidRDefault="008D38EA" w:rsidP="00F05402">
            <w:pPr>
              <w:pStyle w:val="TableText"/>
              <w:jc w:val="both"/>
              <w:rPr>
                <w:rFonts w:ascii="Palatino Linotype" w:hAnsi="Palatino Linotype"/>
                <w:sz w:val="24"/>
                <w:szCs w:val="24"/>
              </w:rPr>
            </w:pP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Overuse or repetitive movements</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61</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40</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21</w:t>
            </w:r>
          </w:p>
        </w:tc>
      </w:tr>
      <w:tr w:rsidR="008D38EA" w:rsidRPr="00F05402">
        <w:trPr>
          <w:cantSplit/>
        </w:trPr>
        <w:tc>
          <w:tcPr>
            <w:tcW w:w="1400" w:type="dxa"/>
            <w:vAlign w:val="center"/>
          </w:tcPr>
          <w:p w:rsidR="008D38EA" w:rsidRPr="00F05402" w:rsidRDefault="008D38EA" w:rsidP="00F05402">
            <w:pPr>
              <w:pStyle w:val="TableText"/>
              <w:jc w:val="both"/>
              <w:rPr>
                <w:rFonts w:ascii="Palatino Linotype" w:hAnsi="Palatino Linotype"/>
                <w:sz w:val="24"/>
                <w:szCs w:val="24"/>
              </w:rPr>
            </w:pP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Physical contact or collision</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51</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40</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11</w:t>
            </w:r>
          </w:p>
        </w:tc>
      </w:tr>
      <w:tr w:rsidR="008D38EA" w:rsidRPr="00F05402">
        <w:trPr>
          <w:cantSplit/>
        </w:trPr>
        <w:tc>
          <w:tcPr>
            <w:tcW w:w="1400" w:type="dxa"/>
            <w:vAlign w:val="center"/>
          </w:tcPr>
          <w:p w:rsidR="008D38EA" w:rsidRPr="00F05402" w:rsidRDefault="008D38EA" w:rsidP="00F05402">
            <w:pPr>
              <w:pStyle w:val="TableText"/>
              <w:jc w:val="both"/>
              <w:rPr>
                <w:rFonts w:ascii="Palatino Linotype" w:hAnsi="Palatino Linotype"/>
                <w:sz w:val="24"/>
                <w:szCs w:val="24"/>
              </w:rPr>
            </w:pPr>
          </w:p>
        </w:tc>
        <w:tc>
          <w:tcPr>
            <w:tcW w:w="4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Poor equipment or unsafe playing conditions</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36</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25</w:t>
            </w:r>
          </w:p>
        </w:tc>
        <w:tc>
          <w:tcPr>
            <w:tcW w:w="132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11</w:t>
            </w:r>
          </w:p>
        </w:tc>
      </w:tr>
    </w:tbl>
    <w:p w:rsidR="008D38EA" w:rsidRPr="00F05402" w:rsidRDefault="00C30A46" w:rsidP="00F05402">
      <w:pPr>
        <w:pStyle w:val="TableNote"/>
        <w:jc w:val="both"/>
        <w:rPr>
          <w:rFonts w:ascii="Palatino Linotype" w:hAnsi="Palatino Linotype"/>
          <w:sz w:val="24"/>
          <w:szCs w:val="24"/>
        </w:rPr>
      </w:pPr>
      <w:r w:rsidRPr="00F05402">
        <w:rPr>
          <w:rFonts w:ascii="Palatino Linotype" w:hAnsi="Palatino Linotype"/>
          <w:sz w:val="24"/>
          <w:szCs w:val="24"/>
        </w:rPr>
        <w:t>Counts are respondents selecting each named category, not episode counts. All active respondents answered the history-characteristic questions. Among the 105 denying lifetime injury, 101 selected at least one of the five named complaint/injury categories. These answers were not used to change occurrence status. Only the lifetime-positive column is interpreted as injury-history characteristics in the main manuscript. Free-text responses were not reclassified without evidence.</w:t>
      </w:r>
    </w:p>
    <w:p w:rsidR="008D38EA" w:rsidRPr="00F05402" w:rsidRDefault="00C30A46" w:rsidP="00F05402">
      <w:pPr>
        <w:pStyle w:val="Heading1"/>
        <w:jc w:val="both"/>
        <w:rPr>
          <w:rFonts w:ascii="Palatino Linotype" w:hAnsi="Palatino Linotype"/>
          <w:sz w:val="24"/>
          <w:szCs w:val="24"/>
        </w:rPr>
      </w:pPr>
      <w:r w:rsidRPr="00F05402">
        <w:rPr>
          <w:rFonts w:ascii="Palatino Linotype" w:hAnsi="Palatino Linotype"/>
          <w:sz w:val="24"/>
          <w:szCs w:val="24"/>
        </w:rPr>
        <w:t>S2C</w:t>
      </w:r>
      <w:r w:rsidR="00F05402">
        <w:rPr>
          <w:rFonts w:ascii="Palatino Linotype" w:hAnsi="Palatino Linotype"/>
          <w:sz w:val="24"/>
          <w:szCs w:val="24"/>
        </w:rPr>
        <w:t>.</w:t>
      </w:r>
      <w:r w:rsidR="00F05402">
        <w:rPr>
          <w:rFonts w:ascii="Palatino Linotype" w:hAnsi="Palatino Linotype"/>
          <w:sz w:val="24"/>
          <w:szCs w:val="24"/>
        </w:rPr>
        <w:tab/>
      </w:r>
      <w:r w:rsidRPr="00F05402">
        <w:rPr>
          <w:rFonts w:ascii="Palatino Linotype" w:hAnsi="Palatino Linotype"/>
          <w:sz w:val="24"/>
          <w:szCs w:val="24"/>
        </w:rPr>
        <w:t>Reanalysis specifications and full model results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Analyses used the original survey responses. Eligibility required affirmative consent and sports participation. Past-year injury occurrence was derived from the time-specific count item; lifetime injury history was analysed separately. Coding decisions were applied consistently across descriptive summaries and regression models.</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Logistic model: logit[P(past-year event)] = intercept + sex + age group + BMI group + participation frequency + training intensity + chronic condition. Treatment-coded reference categories: female, 18–19 years, normal BMI, rarely participating, low intensity, and no chronic condition. The main design contains 14 columns, including the intercept. The complete-case dataset contains 281 observations, 156 events, and 125 non-events. The model was selected during revision and is exploratory.</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Numerical verification used a Newton score/Hessian solver and a separate BFGS optimizer of the binomial negative log-likelihood. The main-model maximum absolute score was below 1×10⁻¹², and the maximum coefficient difference between optimizers was below 1×10⁻⁸. Wald CIs use the inverse observed information matrix and the normal 97.5th percentile. These checks assess numerical consistency, not external validity. Versions: Python scientific stack, NumPy 2.3.5, pandas 2.2.3, SciPy 1.17.0.</w:t>
      </w:r>
    </w:p>
    <w:p w:rsidR="008D38EA" w:rsidRPr="00F05402" w:rsidRDefault="00C30A46" w:rsidP="00F05402">
      <w:pPr>
        <w:pStyle w:val="Heading2"/>
        <w:pageBreakBefore/>
        <w:jc w:val="both"/>
        <w:rPr>
          <w:rFonts w:ascii="Palatino Linotype" w:hAnsi="Palatino Linotype"/>
          <w:sz w:val="24"/>
          <w:szCs w:val="24"/>
        </w:rPr>
      </w:pPr>
      <w:r w:rsidRPr="00F05402">
        <w:rPr>
          <w:rFonts w:ascii="Palatino Linotype" w:hAnsi="Palatino Linotype"/>
          <w:sz w:val="24"/>
          <w:szCs w:val="24"/>
        </w:rPr>
        <w:t>Table S2.3 Main complete-case model</w:t>
      </w:r>
    </w:p>
    <w:p w:rsidR="008D38EA" w:rsidRPr="00F05402" w:rsidRDefault="00C30A46" w:rsidP="00F05402">
      <w:pPr>
        <w:pStyle w:val="Caption"/>
        <w:jc w:val="both"/>
        <w:rPr>
          <w:rFonts w:ascii="Palatino Linotype" w:hAnsi="Palatino Linotype"/>
          <w:sz w:val="24"/>
          <w:szCs w:val="24"/>
        </w:rPr>
      </w:pPr>
      <w:r w:rsidRPr="00F05402">
        <w:rPr>
          <w:rFonts w:ascii="Palatino Linotype" w:hAnsi="Palatino Linotype"/>
          <w:sz w:val="24"/>
          <w:szCs w:val="24"/>
        </w:rPr>
        <w:t>Primary complete-case model: n = 281; events = 156.</w:t>
      </w:r>
    </w:p>
    <w:tbl>
      <w:tblPr>
        <w:tblW w:w="9360" w:type="dxa"/>
        <w:tblInd w:w="12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top w:w="70" w:type="dxa"/>
          <w:left w:w="120" w:type="dxa"/>
          <w:bottom w:w="70" w:type="dxa"/>
          <w:right w:w="120" w:type="dxa"/>
        </w:tblCellMar>
        <w:tblLook w:val="04A0" w:firstRow="1" w:lastRow="0" w:firstColumn="1" w:lastColumn="0" w:noHBand="0" w:noVBand="1"/>
      </w:tblPr>
      <w:tblGrid>
        <w:gridCol w:w="3600"/>
        <w:gridCol w:w="1000"/>
        <w:gridCol w:w="1000"/>
        <w:gridCol w:w="2460"/>
        <w:gridCol w:w="1300"/>
      </w:tblGrid>
      <w:tr w:rsidR="008D38EA" w:rsidRPr="00F05402">
        <w:trPr>
          <w:cantSplit/>
          <w:tblHeader/>
        </w:trPr>
        <w:tc>
          <w:tcPr>
            <w:tcW w:w="36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Term</w:t>
            </w:r>
          </w:p>
        </w:tc>
        <w:tc>
          <w:tcPr>
            <w:tcW w:w="10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B</w:t>
            </w:r>
          </w:p>
        </w:tc>
        <w:tc>
          <w:tcPr>
            <w:tcW w:w="10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SE</w:t>
            </w:r>
          </w:p>
        </w:tc>
        <w:tc>
          <w:tcPr>
            <w:tcW w:w="246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OR (95% CI)</w:t>
            </w:r>
          </w:p>
        </w:tc>
        <w:tc>
          <w:tcPr>
            <w:tcW w:w="13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p</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Intercept</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-0.8474</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0.6500</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0.43 (0.12–1.53)</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0.192</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Sex: Male</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0.9075</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0.3210</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2.48 (1.32–4.65)</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0.005</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 20–21 years</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0.3510</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0.4542</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1.42 (0.58–3.46)</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0.440</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 22–23 years</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0.2446</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0.3963</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1.28 (0.59–2.78)</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0.537</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 24 years or older</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-0.4225</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0.3700</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0.66 (0.32–1.35)</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0.253</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BMI: Underweight</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-0.3249</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0.5037</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0.72 (0.27–1.94)</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0.519</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BMI: Overweight</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0.0135</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0.2993</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1.01 (0.56–1.82)</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0.964</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BMI: Obesity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-0.4368</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0.4290</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0.65 (0.28–1.50)</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0.309</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 1–2 times per week</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0.4986</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0.5799</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1.65 (0.53–5.13)</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0.390</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 3–4 times per week</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0.7973</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0.5701</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2.22 (0.73–6.78)</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0.162</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 Daily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0.3651</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0.5905</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1.44 (0.45–4.58)</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0.536</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Intensity: Moderate intensity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-0.0751</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0.3689</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0.93 (0.45–1.91)</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0.839</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Intensity: High intensity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0.0117</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0.4677</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1.01 (0.40–2.53)</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0.980</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Chronic condition: Yes</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-0.0871</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0.4751</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0.92 (0.36–2.33)</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0.855</w:t>
            </w:r>
          </w:p>
        </w:tc>
      </w:tr>
    </w:tbl>
    <w:p w:rsidR="008D38EA" w:rsidRPr="00F05402" w:rsidRDefault="00C30A46" w:rsidP="00F05402">
      <w:pPr>
        <w:pStyle w:val="TableNote"/>
        <w:jc w:val="both"/>
        <w:rPr>
          <w:rFonts w:ascii="Palatino Linotype" w:hAnsi="Palatino Linotype"/>
          <w:sz w:val="24"/>
          <w:szCs w:val="24"/>
        </w:rPr>
      </w:pPr>
      <w:r w:rsidRPr="00F05402">
        <w:rPr>
          <w:rFonts w:ascii="Palatino Linotype" w:hAnsi="Palatino Linotype"/>
          <w:sz w:val="24"/>
          <w:szCs w:val="24"/>
        </w:rPr>
        <w:t>Full rank: 14; maximum VIF: 5.31; likelihood-ratio χ²: 19.04 (df = 13, p = 0.122); Hosmer–Lemeshow χ²: 6.05 (df = 8, p = 0.642); maximum leverage: 0.165; maximum approximate Cook’s distance: 0.0159. Fitted probabilities ranged from 0.195 to 0.774.</w:t>
      </w:r>
    </w:p>
    <w:p w:rsidR="008D38EA" w:rsidRPr="00F05402" w:rsidRDefault="00C30A46" w:rsidP="00F05402">
      <w:pPr>
        <w:pStyle w:val="Heading2"/>
        <w:pageBreakBefore/>
        <w:jc w:val="both"/>
        <w:rPr>
          <w:rFonts w:ascii="Palatino Linotype" w:hAnsi="Palatino Linotype"/>
          <w:sz w:val="24"/>
          <w:szCs w:val="24"/>
        </w:rPr>
      </w:pPr>
      <w:r w:rsidRPr="00F05402">
        <w:rPr>
          <w:rFonts w:ascii="Palatino Linotype" w:hAnsi="Palatino Linotype"/>
          <w:sz w:val="24"/>
          <w:szCs w:val="24"/>
        </w:rPr>
        <w:t>Table S2.4 Sensitivity analysis omitting BMI</w:t>
      </w:r>
    </w:p>
    <w:p w:rsidR="008D38EA" w:rsidRPr="00F05402" w:rsidRDefault="00C30A46" w:rsidP="00F05402">
      <w:pPr>
        <w:pStyle w:val="Caption"/>
        <w:jc w:val="both"/>
        <w:rPr>
          <w:rFonts w:ascii="Palatino Linotype" w:hAnsi="Palatino Linotype"/>
          <w:sz w:val="24"/>
          <w:szCs w:val="24"/>
        </w:rPr>
      </w:pPr>
      <w:r w:rsidRPr="00F05402">
        <w:rPr>
          <w:rFonts w:ascii="Palatino Linotype" w:hAnsi="Palatino Linotype"/>
          <w:sz w:val="24"/>
          <w:szCs w:val="24"/>
        </w:rPr>
        <w:t>Sensitivity A: omit BMI: n = 283; events = 157.</w:t>
      </w:r>
    </w:p>
    <w:tbl>
      <w:tblPr>
        <w:tblW w:w="9360" w:type="dxa"/>
        <w:tblInd w:w="12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top w:w="70" w:type="dxa"/>
          <w:left w:w="120" w:type="dxa"/>
          <w:bottom w:w="70" w:type="dxa"/>
          <w:right w:w="120" w:type="dxa"/>
        </w:tblCellMar>
        <w:tblLook w:val="04A0" w:firstRow="1" w:lastRow="0" w:firstColumn="1" w:lastColumn="0" w:noHBand="0" w:noVBand="1"/>
      </w:tblPr>
      <w:tblGrid>
        <w:gridCol w:w="3600"/>
        <w:gridCol w:w="1000"/>
        <w:gridCol w:w="1000"/>
        <w:gridCol w:w="2460"/>
        <w:gridCol w:w="1300"/>
      </w:tblGrid>
      <w:tr w:rsidR="008D38EA" w:rsidRPr="00F05402">
        <w:trPr>
          <w:cantSplit/>
          <w:tblHeader/>
        </w:trPr>
        <w:tc>
          <w:tcPr>
            <w:tcW w:w="36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Term</w:t>
            </w:r>
          </w:p>
        </w:tc>
        <w:tc>
          <w:tcPr>
            <w:tcW w:w="10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B</w:t>
            </w:r>
          </w:p>
        </w:tc>
        <w:tc>
          <w:tcPr>
            <w:tcW w:w="10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SE</w:t>
            </w:r>
          </w:p>
        </w:tc>
        <w:tc>
          <w:tcPr>
            <w:tcW w:w="246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OR (95% CI)</w:t>
            </w:r>
          </w:p>
        </w:tc>
        <w:tc>
          <w:tcPr>
            <w:tcW w:w="13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p</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Intercept</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-0.7770</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0.6335</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0.46 (0.13–1.59)</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0.220</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Sex: Male</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0.8654</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0.3180</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2.38 (1.27–4.43)</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0.007</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 20–21 years</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0.2917</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0.4450</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1.34 (0.56–3.20)</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0.512</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 22–23 years</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0.1735</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0.3917</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1.19 (0.55–2.56)</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0.658</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 24 years or older</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-0.5474</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0.3506</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0.58 (0.29–1.15)</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0.118</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 1–2 times per week</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0.4331</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0.5780</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1.54 (0.50–4.79)</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0.454</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 3–4 times per week</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0.6991</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0.5668</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2.01 (0.66–6.11)</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0.217</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 Daily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0.2641</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0.5877</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1.30 (0.41–4.12)</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0.653</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Intensity: Moderate intensity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0.0030</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0.3632</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1.00 (0.49–2.04)</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0.993</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Intensity: High intensity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0.0971</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0.4594</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1.10 (0.45–2.71)</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0.833</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Chronic condition: Yes</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-0.2179</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0.4586</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0.80 (0.33–1.98)</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0.635</w:t>
            </w:r>
          </w:p>
        </w:tc>
      </w:tr>
    </w:tbl>
    <w:p w:rsidR="008D38EA" w:rsidRPr="00F05402" w:rsidRDefault="00C30A46" w:rsidP="00F05402">
      <w:pPr>
        <w:pStyle w:val="TableNote"/>
        <w:jc w:val="both"/>
        <w:rPr>
          <w:rFonts w:ascii="Palatino Linotype" w:hAnsi="Palatino Linotype"/>
          <w:sz w:val="24"/>
          <w:szCs w:val="24"/>
        </w:rPr>
      </w:pPr>
      <w:r w:rsidRPr="00F05402">
        <w:rPr>
          <w:rFonts w:ascii="Palatino Linotype" w:hAnsi="Palatino Linotype"/>
          <w:sz w:val="24"/>
          <w:szCs w:val="24"/>
        </w:rPr>
        <w:t>Full rank: 11; maximum VIF: 5.27; likelihood-ratio χ²: 17.96 (df = 10, p = 0.056); Hosmer–Lemeshow χ²: 7.08 (df = 8, p = 0.528); maximum leverage: 0.119; maximum approximate Cook’s distance: 0.0191. Fitted probabilities ranged from 0.210 to 0.764.</w:t>
      </w:r>
    </w:p>
    <w:p w:rsidR="008D38EA" w:rsidRPr="00F05402" w:rsidRDefault="00C30A46" w:rsidP="00F05402">
      <w:pPr>
        <w:pStyle w:val="Heading2"/>
        <w:pageBreakBefore/>
        <w:jc w:val="both"/>
        <w:rPr>
          <w:rFonts w:ascii="Palatino Linotype" w:hAnsi="Palatino Linotype"/>
          <w:sz w:val="24"/>
          <w:szCs w:val="24"/>
        </w:rPr>
      </w:pPr>
      <w:r w:rsidRPr="00F05402">
        <w:rPr>
          <w:rFonts w:ascii="Palatino Linotype" w:hAnsi="Palatino Linotype"/>
          <w:sz w:val="24"/>
          <w:szCs w:val="24"/>
        </w:rPr>
        <w:t>Table S2.5 Sensitivity analysis removing one identical profile</w:t>
      </w:r>
    </w:p>
    <w:p w:rsidR="008D38EA" w:rsidRPr="00F05402" w:rsidRDefault="00C30A46" w:rsidP="00F05402">
      <w:pPr>
        <w:pStyle w:val="Caption"/>
        <w:jc w:val="both"/>
        <w:rPr>
          <w:rFonts w:ascii="Palatino Linotype" w:hAnsi="Palatino Linotype"/>
          <w:sz w:val="24"/>
          <w:szCs w:val="24"/>
        </w:rPr>
      </w:pPr>
      <w:r w:rsidRPr="00F05402">
        <w:rPr>
          <w:rFonts w:ascii="Palatino Linotype" w:hAnsi="Palatino Linotype"/>
          <w:sz w:val="24"/>
          <w:szCs w:val="24"/>
        </w:rPr>
        <w:t>Sensitivity B: remove one identical record: n = 280; events = 155.</w:t>
      </w:r>
    </w:p>
    <w:tbl>
      <w:tblPr>
        <w:tblW w:w="9360" w:type="dxa"/>
        <w:tblInd w:w="12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top w:w="70" w:type="dxa"/>
          <w:left w:w="120" w:type="dxa"/>
          <w:bottom w:w="70" w:type="dxa"/>
          <w:right w:w="120" w:type="dxa"/>
        </w:tblCellMar>
        <w:tblLook w:val="04A0" w:firstRow="1" w:lastRow="0" w:firstColumn="1" w:lastColumn="0" w:noHBand="0" w:noVBand="1"/>
      </w:tblPr>
      <w:tblGrid>
        <w:gridCol w:w="3600"/>
        <w:gridCol w:w="1000"/>
        <w:gridCol w:w="1000"/>
        <w:gridCol w:w="2460"/>
        <w:gridCol w:w="1300"/>
      </w:tblGrid>
      <w:tr w:rsidR="008D38EA" w:rsidRPr="00F05402">
        <w:trPr>
          <w:cantSplit/>
          <w:tblHeader/>
        </w:trPr>
        <w:tc>
          <w:tcPr>
            <w:tcW w:w="36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Term</w:t>
            </w:r>
          </w:p>
        </w:tc>
        <w:tc>
          <w:tcPr>
            <w:tcW w:w="10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B</w:t>
            </w:r>
          </w:p>
        </w:tc>
        <w:tc>
          <w:tcPr>
            <w:tcW w:w="10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SE</w:t>
            </w:r>
          </w:p>
        </w:tc>
        <w:tc>
          <w:tcPr>
            <w:tcW w:w="246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OR (95% CI)</w:t>
            </w:r>
          </w:p>
        </w:tc>
        <w:tc>
          <w:tcPr>
            <w:tcW w:w="13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p</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Intercept</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-0.8488</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0.6494</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0.43 (0.12–1.53)</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0.191</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Sex: Male</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0.9011</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0.3209</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2.46 (1.31–4.62)</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0.005</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 20–21 years</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0.3699</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0.4545</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1.45 (0.59–3.53)</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0.416</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 22–23 years</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0.2723</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0.3978</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1.31 (0.60–2.86)</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0.494</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 24 years or older</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-0.3975</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0.3710</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0.67 (0.32–1.39)</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0.284</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BMI: Underweight</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-0.3224</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0.5037</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0.72 (0.27–1.94)</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0.522</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BMI: Overweight</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-0.0016</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0.2997</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1.00 (0.55–1.80)</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0.996</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BMI: Obesity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-0.4417</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0.4288</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0.64 (0.28–1.49)</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0.303</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 1–2 times per week</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0.4970</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0.5796</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1.64 (0.53–5.12)</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0.391</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 3–4 times per week</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0.7821</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0.5701</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2.19 (0.72–6.68)</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0.170</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 Daily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0.3662</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0.5902</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1.44 (0.45–4.59)</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0.535</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Intensity: Moderate intensity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-0.0733</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0.3687</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0.93 (0.45–1.91)</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0.842</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Intensity: High intensity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-0.0069</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0.4678</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0.99 (0.40–2.48)</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0.988</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Chronic condition: Yes</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-0.1448</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0.4813</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0.87 (0.34–2.22)</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0.764</w:t>
            </w:r>
          </w:p>
        </w:tc>
      </w:tr>
    </w:tbl>
    <w:p w:rsidR="008D38EA" w:rsidRPr="00F05402" w:rsidRDefault="00C30A46" w:rsidP="00F05402">
      <w:pPr>
        <w:pStyle w:val="TableNote"/>
        <w:jc w:val="both"/>
        <w:rPr>
          <w:rFonts w:ascii="Palatino Linotype" w:hAnsi="Palatino Linotype"/>
          <w:sz w:val="24"/>
          <w:szCs w:val="24"/>
        </w:rPr>
      </w:pPr>
      <w:r w:rsidRPr="00F05402">
        <w:rPr>
          <w:rFonts w:ascii="Palatino Linotype" w:hAnsi="Palatino Linotype"/>
          <w:sz w:val="24"/>
          <w:szCs w:val="24"/>
        </w:rPr>
        <w:t>Full rank: 14; maximum VIF: 5.29; likelihood-ratio χ²: 18.64 (df = 13, p = 0.135); Hosmer–Lemeshow χ²: 12.74 (df = 8, p = 0.121); maximum leverage: 0.166; maximum approximate Cook’s distance: 0.0171. Fitted probabilities ranged from 0.199 to 0.768.</w:t>
      </w:r>
    </w:p>
    <w:p w:rsidR="008D38EA" w:rsidRPr="00F05402" w:rsidRDefault="00C30A46" w:rsidP="00F05402">
      <w:pPr>
        <w:pStyle w:val="Heading2"/>
        <w:pageBreakBefore/>
        <w:jc w:val="both"/>
        <w:rPr>
          <w:rFonts w:ascii="Palatino Linotype" w:hAnsi="Palatino Linotype"/>
          <w:sz w:val="24"/>
          <w:szCs w:val="24"/>
        </w:rPr>
      </w:pPr>
      <w:r w:rsidRPr="00F05402">
        <w:rPr>
          <w:rFonts w:ascii="Palatino Linotype" w:hAnsi="Palatino Linotype"/>
          <w:sz w:val="24"/>
          <w:szCs w:val="24"/>
        </w:rPr>
        <w:t>Table S2.6 Sensitivity analysis excluding principal-model influence flags</w:t>
      </w:r>
    </w:p>
    <w:p w:rsidR="008D38EA" w:rsidRPr="00F05402" w:rsidRDefault="00C30A46" w:rsidP="00F05402">
      <w:pPr>
        <w:pStyle w:val="Caption"/>
        <w:jc w:val="both"/>
        <w:rPr>
          <w:rFonts w:ascii="Palatino Linotype" w:hAnsi="Palatino Linotype"/>
          <w:sz w:val="24"/>
          <w:szCs w:val="24"/>
        </w:rPr>
      </w:pPr>
      <w:r w:rsidRPr="00F05402">
        <w:rPr>
          <w:rFonts w:ascii="Palatino Linotype" w:hAnsi="Palatino Linotype"/>
          <w:sz w:val="24"/>
          <w:szCs w:val="24"/>
        </w:rPr>
        <w:t>Sensitivity C: exclude primary-model influence flags: n = 278; events = 155.</w:t>
      </w:r>
    </w:p>
    <w:tbl>
      <w:tblPr>
        <w:tblW w:w="9360" w:type="dxa"/>
        <w:tblInd w:w="120"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top w:w="70" w:type="dxa"/>
          <w:left w:w="120" w:type="dxa"/>
          <w:bottom w:w="70" w:type="dxa"/>
          <w:right w:w="120" w:type="dxa"/>
        </w:tblCellMar>
        <w:tblLook w:val="04A0" w:firstRow="1" w:lastRow="0" w:firstColumn="1" w:lastColumn="0" w:noHBand="0" w:noVBand="1"/>
      </w:tblPr>
      <w:tblGrid>
        <w:gridCol w:w="3600"/>
        <w:gridCol w:w="1000"/>
        <w:gridCol w:w="1000"/>
        <w:gridCol w:w="2460"/>
        <w:gridCol w:w="1300"/>
      </w:tblGrid>
      <w:tr w:rsidR="008D38EA" w:rsidRPr="00F05402">
        <w:trPr>
          <w:cantSplit/>
          <w:tblHeader/>
        </w:trPr>
        <w:tc>
          <w:tcPr>
            <w:tcW w:w="36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Term</w:t>
            </w:r>
          </w:p>
        </w:tc>
        <w:tc>
          <w:tcPr>
            <w:tcW w:w="10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B</w:t>
            </w:r>
          </w:p>
        </w:tc>
        <w:tc>
          <w:tcPr>
            <w:tcW w:w="10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SE</w:t>
            </w:r>
          </w:p>
        </w:tc>
        <w:tc>
          <w:tcPr>
            <w:tcW w:w="246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OR (95% CI)</w:t>
            </w:r>
          </w:p>
        </w:tc>
        <w:tc>
          <w:tcPr>
            <w:tcW w:w="1300" w:type="dxa"/>
            <w:shd w:val="clear" w:color="auto" w:fill="F2F4F7"/>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b/>
                <w:sz w:val="24"/>
                <w:szCs w:val="24"/>
              </w:rPr>
              <w:t>p</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Intercept</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-0.8368</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0.6594</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0.43 (0.12–1.58)</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0.204</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Sex: Male</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1.0101</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0.3281</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2.75 (1.44–5.22)</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0.002</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 20–21 years</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0.4178</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0.4568</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1.52 (0.62–3.72)</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0.360</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 22–23 years</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0.4016</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0.4041</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1.49 (0.68–3.30)</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0.320</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Age group: 24 years or older</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-0.3426</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0.3721</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0.71 (0.34–1.47)</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0.357</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BMI: Underweight</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-0.0237</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0.5402</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0.98 (0.34–2.82)</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0.965</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BMI: Overweight</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-0.0438</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0.3017</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0.96 (0.53–1.73)</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0.885</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BMI: Obesity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-0.4816</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0.4322</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0.62 (0.26–1.44)</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0.265</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 1–2 times per week</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0.4457</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0.5924</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1.56 (0.49–4.99)</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0.452</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 3–4 times per week</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0.7591</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0.5829</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2.14 (0.68–6.70)</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0.193</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Frequency: Daily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0.2570</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0.6027</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1.29 (0.40–4.21)</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0.670</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Intensity: Moderate intensity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-0.2027</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0.3762</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0.82 (0.39–1.71)</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0.590</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Intensity: High intensity</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-0.0857</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0.4753</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0.92 (0.36–2.33)</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0.857</w:t>
            </w:r>
          </w:p>
        </w:tc>
      </w:tr>
      <w:tr w:rsidR="008D38EA" w:rsidRPr="00F05402">
        <w:trPr>
          <w:cantSplit/>
        </w:trPr>
        <w:tc>
          <w:tcPr>
            <w:tcW w:w="36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Chronic condition: Yes</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-0.1133</w:t>
            </w:r>
          </w:p>
        </w:tc>
        <w:tc>
          <w:tcPr>
            <w:tcW w:w="10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0.4979</w:t>
            </w:r>
          </w:p>
        </w:tc>
        <w:tc>
          <w:tcPr>
            <w:tcW w:w="246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0.89 (0.34–2.37)</w:t>
            </w:r>
          </w:p>
        </w:tc>
        <w:tc>
          <w:tcPr>
            <w:tcW w:w="1300" w:type="dxa"/>
            <w:vAlign w:val="center"/>
          </w:tcPr>
          <w:p w:rsidR="008D38EA" w:rsidRPr="00F05402" w:rsidRDefault="00C30A46" w:rsidP="00F05402">
            <w:pPr>
              <w:pStyle w:val="TableText"/>
              <w:jc w:val="both"/>
              <w:rPr>
                <w:rFonts w:ascii="Palatino Linotype" w:hAnsi="Palatino Linotype"/>
                <w:sz w:val="24"/>
                <w:szCs w:val="24"/>
              </w:rPr>
            </w:pPr>
            <w:r w:rsidRPr="00F05402">
              <w:rPr>
                <w:rFonts w:ascii="Palatino Linotype" w:hAnsi="Palatino Linotype"/>
                <w:sz w:val="24"/>
                <w:szCs w:val="24"/>
              </w:rPr>
              <w:t>0.820</w:t>
            </w:r>
          </w:p>
        </w:tc>
      </w:tr>
    </w:tbl>
    <w:p w:rsidR="008D38EA" w:rsidRPr="00F05402" w:rsidRDefault="00C30A46" w:rsidP="00F05402">
      <w:pPr>
        <w:pStyle w:val="TableNote"/>
        <w:jc w:val="both"/>
        <w:rPr>
          <w:rFonts w:ascii="Palatino Linotype" w:hAnsi="Palatino Linotype"/>
          <w:sz w:val="24"/>
          <w:szCs w:val="24"/>
        </w:rPr>
      </w:pPr>
      <w:r w:rsidRPr="00F05402">
        <w:rPr>
          <w:rFonts w:ascii="Palatino Linotype" w:hAnsi="Palatino Linotype"/>
          <w:sz w:val="24"/>
          <w:szCs w:val="24"/>
        </w:rPr>
        <w:t>Full rank: 14; maximum VIF: 5.47; likelihood-ratio χ²: 21.14 (df = 13, p = 0.070); Hosmer–Lemeshow χ²: 5.38 (df = 8, p = 0.716); maximum leverage: 0.144; maximum approximate Cook’s distance: 0.0164. Fitted probabilities ranged from 0.167 to 0.780.</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Influence and identical-record handling</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The primary-model influence approximation is Pearson residual² × leverage/[number of parameters × (1 − leverage)²]. The screening threshold was 4/281; three observations were flagged and omitted only in Sensitivity C. A separate sensitivity analysis removed one record from an exact duplicate response pair. Because identifiers and timestamps were unavailable, identical answers were not sufficient to establish a duplicate respondent; both records remain in the primary analysis. No repeated deletion was performed based on newly generated flags.</w:t>
      </w:r>
    </w:p>
    <w:p w:rsidR="008D38EA" w:rsidRPr="00F05402" w:rsidRDefault="007C49B2" w:rsidP="00F05402">
      <w:pPr>
        <w:pStyle w:val="Heading1"/>
        <w:jc w:val="both"/>
        <w:rPr>
          <w:rFonts w:ascii="Palatino Linotype" w:hAnsi="Palatino Linotype"/>
          <w:sz w:val="24"/>
          <w:szCs w:val="24"/>
        </w:rPr>
      </w:pPr>
      <w:r w:rsidRPr="00F05402">
        <w:rPr>
          <w:rFonts w:ascii="Palatino Linotype" w:hAnsi="Palatino Linotype"/>
          <w:sz w:val="24"/>
          <w:szCs w:val="24"/>
        </w:rPr>
        <w:t>S2D</w:t>
      </w:r>
      <w:r w:rsidR="00F05402">
        <w:rPr>
          <w:rFonts w:ascii="Palatino Linotype" w:hAnsi="Palatino Linotype"/>
          <w:sz w:val="24"/>
          <w:szCs w:val="24"/>
        </w:rPr>
        <w:t>.</w:t>
      </w:r>
      <w:r w:rsidR="00F05402">
        <w:rPr>
          <w:rFonts w:ascii="Palatino Linotype" w:hAnsi="Palatino Linotype"/>
          <w:sz w:val="24"/>
          <w:szCs w:val="24"/>
        </w:rPr>
        <w:tab/>
      </w:r>
      <w:bookmarkStart w:id="0" w:name="_GoBack"/>
      <w:bookmarkEnd w:id="0"/>
      <w:r w:rsidRPr="00F05402">
        <w:rPr>
          <w:rFonts w:ascii="Palatino Linotype" w:hAnsi="Palatino Linotype"/>
          <w:sz w:val="24"/>
          <w:szCs w:val="24"/>
        </w:rPr>
        <w:t>STROBE reporting map</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Title/abstract (1)</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Design named in the title; unstructured abstract reports eligibility, denominators, outcomes, model, findings, and limitations.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Background/objectives (2–3)</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Introduction: rationale, setting-specific gap, descriptive objectives, and explicitly exploratory hypothesis.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Design/setting/participants (4–6)</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Methods—Study Design and Setting and Participants and Eligibility Criteria and Figure 1. The survey ran from January to December 2025, with eligibility based on consent and sports participation.</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Variables/data sources/bias (7–9)</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Methods—Outcome Measures and Data Collection Procedure: verbatim outcome questions, age pooling, anthropometric flags, questionnaire limitations, selection bias, recall, and absent clinical verification.</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Study size/quantitative variables (10–11)</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Methods—Sample Size and Sampling Technique and Outcome Measures: original recruitment target, finite-population assumptions, categorical variables, and BMI derivation.</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Statistical methods (12)</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Statistical Analysis and Supplementary File S2: confounder selection, complete cases, no imputation, diagnostics, and three sensitivity analyses.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Participants/descriptive/outcome data (13–15)</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Figure 1 and Tables 1–3. Separate lifetime and past-year denominators; missing BMI explained.</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Main/other results (16–17)</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Tables 4–5 and Supplementary Tables S2.1–S2.2 and S2C: adjusted estimates, uncertainty, unadjusted tests, and sensitivity analyses.</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Discussion (18–21)</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Discussion: principal results, relevant comparisons, measurement and sampling limitations, cautious interpretation, and restricted generalizability.</w:t>
      </w:r>
    </w:p>
    <w:p w:rsidR="008D38EA" w:rsidRPr="00F05402" w:rsidRDefault="00C30A46" w:rsidP="00F05402">
      <w:pPr>
        <w:pStyle w:val="Heading2"/>
        <w:jc w:val="both"/>
        <w:rPr>
          <w:rFonts w:ascii="Palatino Linotype" w:hAnsi="Palatino Linotype"/>
          <w:sz w:val="24"/>
          <w:szCs w:val="24"/>
        </w:rPr>
      </w:pPr>
      <w:r w:rsidRPr="00F05402">
        <w:rPr>
          <w:rFonts w:ascii="Palatino Linotype" w:hAnsi="Palatino Linotype"/>
          <w:sz w:val="24"/>
          <w:szCs w:val="24"/>
        </w:rPr>
        <w:t>Funding (22)</w:t>
      </w:r>
    </w:p>
    <w:p w:rsidR="008D38EA" w:rsidRPr="00F05402" w:rsidRDefault="00C30A46" w:rsidP="00F05402">
      <w:pPr>
        <w:jc w:val="both"/>
        <w:rPr>
          <w:rFonts w:ascii="Palatino Linotype" w:hAnsi="Palatino Linotype"/>
          <w:sz w:val="24"/>
          <w:szCs w:val="24"/>
        </w:rPr>
      </w:pPr>
      <w:r w:rsidRPr="00F05402">
        <w:rPr>
          <w:rFonts w:ascii="Palatino Linotype" w:hAnsi="Palatino Linotype"/>
          <w:sz w:val="24"/>
          <w:szCs w:val="24"/>
        </w:rPr>
        <w:t>Declarations: funding source and the funder’s role.</w:t>
      </w:r>
    </w:p>
    <w:sectPr w:rsidR="008D38EA" w:rsidRPr="00F05402" w:rsidSect="00034616">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527" w:rsidRDefault="003F2527">
      <w:pPr>
        <w:spacing w:after="0" w:line="240" w:lineRule="auto"/>
      </w:pPr>
      <w:r>
        <w:separator/>
      </w:r>
    </w:p>
  </w:endnote>
  <w:endnote w:type="continuationSeparator" w:id="0">
    <w:p w:rsidR="003F2527" w:rsidRDefault="003F2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8EA" w:rsidRDefault="00C30A46">
    <w:pPr>
      <w:pStyle w:val="Footer"/>
      <w:jc w:val="right"/>
    </w:pPr>
    <w:r>
      <w:fldChar w:fldCharType="begin"/>
    </w:r>
    <w:r>
      <w:instrText>PAGE</w:instrText>
    </w:r>
    <w:r>
      <w:fldChar w:fldCharType="separate"/>
    </w:r>
    <w:r w:rsidR="003F2527">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527" w:rsidRDefault="003F2527">
      <w:pPr>
        <w:spacing w:after="0" w:line="240" w:lineRule="auto"/>
      </w:pPr>
      <w:r>
        <w:separator/>
      </w:r>
    </w:p>
  </w:footnote>
  <w:footnote w:type="continuationSeparator" w:id="0">
    <w:p w:rsidR="003F2527" w:rsidRDefault="003F25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30CA"/>
    <w:rsid w:val="0006063C"/>
    <w:rsid w:val="0015074B"/>
    <w:rsid w:val="0029398C"/>
    <w:rsid w:val="0029639D"/>
    <w:rsid w:val="00326F90"/>
    <w:rsid w:val="003F2527"/>
    <w:rsid w:val="007C49B2"/>
    <w:rsid w:val="008D38EA"/>
    <w:rsid w:val="00AA1D8D"/>
    <w:rsid w:val="00B47730"/>
    <w:rsid w:val="00C30A46"/>
    <w:rsid w:val="00CB0664"/>
    <w:rsid w:val="00F0540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B3C2B"/>
  <w14:defaultImageDpi w14:val="300"/>
  <w15:docId w15:val="{6B8E2AB4-0C6B-4F0E-98E9-5BD53FEA7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pPr>
    <w:rPr>
      <w:b/>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80" w:line="252" w:lineRule="auto"/>
    </w:pPr>
    <w:rPr>
      <w:rFonts w:ascii="Calibri" w:hAnsi="Calibri"/>
      <w:color w:val="000000"/>
      <w:sz w:val="20"/>
    </w:rPr>
  </w:style>
  <w:style w:type="paragraph" w:customStyle="1" w:styleId="TableNote">
    <w:name w:val="Table Note"/>
    <w:pPr>
      <w:spacing w:before="80" w:after="80"/>
    </w:pPr>
    <w:rPr>
      <w:rFonts w:ascii="Calibri" w:hAnsi="Calibri"/>
      <w:color w:val="000000"/>
      <w:sz w:val="20"/>
    </w:rPr>
  </w:style>
  <w:style w:type="paragraph" w:customStyle="1" w:styleId="Reference">
    <w:name w:val="Reference"/>
    <w:pPr>
      <w:spacing w:after="80"/>
    </w:pPr>
    <w:rPr>
      <w:rFonts w:ascii="Calibri" w:hAnsi="Calibri"/>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729A0-C55C-465C-80BD-0CAE45766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2594</Words>
  <Characters>14786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JAI</cp:lastModifiedBy>
  <cp:revision>4</cp:revision>
  <dcterms:created xsi:type="dcterms:W3CDTF">2013-12-23T23:15:00Z</dcterms:created>
  <dcterms:modified xsi:type="dcterms:W3CDTF">2026-10-03T19:56:00Z</dcterms:modified>
  <cp:category/>
</cp:coreProperties>
</file>