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imes New Roman" w:cs="Times New Roman" w:eastAsia="Times New Roman" w:hAnsi="Times New Roman"/>
          <w:b/>
          <w:bCs/>
          <w:sz w:val="36"/>
          <w:szCs w:val="36"/>
        </w:rPr>
        <w:t xml:space="preserve">STUDY PROTOCOL</w:t>
      </w:r>
    </w:p>
    <w:p>
      <w:pPr>
        <w:spacing w:after="80"/>
        <w:jc w:val="center"/>
      </w:pPr>
      <w:r>
        <w:rPr>
          <w:rFonts w:ascii="Times New Roman" w:cs="Times New Roman" w:eastAsia="Times New Roman" w:hAnsi="Times New Roman"/>
          <w:b/>
          <w:bCs/>
          <w:sz w:val="28"/>
          <w:szCs w:val="28"/>
        </w:rPr>
        <w:t xml:space="preserve">Standardised Procalcitonin Monitoring and Antibiotic Duration in Community-Acquired Sepsis: A Pragmatic Randomised Controlled Trial</w:t>
      </w:r>
    </w:p>
    <w:p>
      <w:pPr>
        <w:spacing w:after="0"/>
      </w:pPr>
    </w:p>
    <w:p>
      <w:pPr>
        <w:pStyle w:val="Heading1"/>
        <w:spacing w:after="120" w:before="360"/>
      </w:pPr>
      <w:r>
        <w:rPr>
          <w:rFonts w:ascii="Times New Roman" w:cs="Times New Roman" w:eastAsia="Times New Roman" w:hAnsi="Times New Roman"/>
          <w:b/>
          <w:bCs/>
          <w:sz w:val="28"/>
          <w:szCs w:val="28"/>
        </w:rPr>
        <w:t xml:space="preserve">1. Administrative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80"/>
        <w:gridCol w:w="6480"/>
      </w:tblGrid>
      <w:tr>
        <w:tc>
          <w:tcPr>
            <w:tcW w:type="dxa" w:w="2880"/>
            <w:tcBorders>
              <w:top w:val="single" w:color="AAAAAA" w:sz="4"/>
              <w:left w:val="single" w:color="AAAAAA" w:sz="4"/>
              <w:bottom w:val="single" w:color="AAAAAA" w:sz="4"/>
              <w:right w:val="single" w:color="AAAAAA" w:sz="4"/>
            </w:tcBorders>
            <w:shd w:fill="F5F5F5" w:val="clear"/>
            <w:tcMar>
              <w:top w:type="dxa" w:w="80"/>
              <w:left w:type="dxa" w:w="120"/>
              <w:bottom w:type="dxa" w:w="80"/>
              <w:right w:type="dxa" w:w="120"/>
            </w:tcMar>
          </w:tcPr>
          <w:p>
            <w:r>
              <w:rPr>
                <w:rFonts w:ascii="Times New Roman" w:cs="Times New Roman" w:eastAsia="Times New Roman" w:hAnsi="Times New Roman"/>
                <w:b/>
                <w:bCs/>
                <w:sz w:val="22"/>
                <w:szCs w:val="22"/>
              </w:rPr>
              <w:t xml:space="preserve">Protocol version</w:t>
            </w:r>
          </w:p>
        </w:tc>
        <w:tc>
          <w:tcPr>
            <w:tcW w:type="dxa" w:w="6480"/>
            <w:tcBorders>
              <w:top w:val="single" w:color="AAAAAA" w:sz="4"/>
              <w:left w:val="single" w:color="AAAAAA" w:sz="4"/>
              <w:bottom w:val="single" w:color="AAAAAA" w:sz="4"/>
              <w:right w:val="single" w:color="AAAAAA" w:sz="4"/>
            </w:tcBorders>
            <w:tcMar>
              <w:top w:type="dxa" w:w="80"/>
              <w:left w:type="dxa" w:w="120"/>
              <w:bottom w:type="dxa" w:w="80"/>
              <w:right w:type="dxa" w:w="120"/>
            </w:tcMar>
          </w:tcPr>
          <w:p>
            <w:r>
              <w:rPr>
                <w:rFonts w:ascii="Times New Roman" w:cs="Times New Roman" w:eastAsia="Times New Roman" w:hAnsi="Times New Roman"/>
                <w:sz w:val="22"/>
                <w:szCs w:val="22"/>
              </w:rPr>
              <w:t xml:space="preserve">1.0 (16 February 2025)</w:t>
            </w:r>
          </w:p>
        </w:tc>
      </w:tr>
      <w:tr>
        <w:tc>
          <w:tcPr>
            <w:tcW w:type="dxa" w:w="2880"/>
            <w:tcBorders>
              <w:top w:val="single" w:color="AAAAAA" w:sz="4"/>
              <w:left w:val="single" w:color="AAAAAA" w:sz="4"/>
              <w:bottom w:val="single" w:color="AAAAAA" w:sz="4"/>
              <w:right w:val="single" w:color="AAAAAA" w:sz="4"/>
            </w:tcBorders>
            <w:shd w:fill="F5F5F5" w:val="clear"/>
            <w:tcMar>
              <w:top w:type="dxa" w:w="80"/>
              <w:left w:type="dxa" w:w="120"/>
              <w:bottom w:type="dxa" w:w="80"/>
              <w:right w:type="dxa" w:w="120"/>
            </w:tcMar>
          </w:tcPr>
          <w:p>
            <w:r>
              <w:rPr>
                <w:rFonts w:ascii="Times New Roman" w:cs="Times New Roman" w:eastAsia="Times New Roman" w:hAnsi="Times New Roman"/>
                <w:b/>
                <w:bCs/>
                <w:sz w:val="22"/>
                <w:szCs w:val="22"/>
              </w:rPr>
              <w:t xml:space="preserve">Trial registration</w:t>
            </w:r>
          </w:p>
        </w:tc>
        <w:tc>
          <w:tcPr>
            <w:tcW w:type="dxa" w:w="6480"/>
            <w:tcBorders>
              <w:top w:val="single" w:color="AAAAAA" w:sz="4"/>
              <w:left w:val="single" w:color="AAAAAA" w:sz="4"/>
              <w:bottom w:val="single" w:color="AAAAAA" w:sz="4"/>
              <w:right w:val="single" w:color="AAAAAA" w:sz="4"/>
            </w:tcBorders>
            <w:tcMar>
              <w:top w:type="dxa" w:w="80"/>
              <w:left w:type="dxa" w:w="120"/>
              <w:bottom w:type="dxa" w:w="80"/>
              <w:right w:type="dxa" w:w="120"/>
            </w:tcMar>
          </w:tcPr>
          <w:p>
            <w:r>
              <w:rPr>
                <w:rFonts w:ascii="Times New Roman" w:cs="Times New Roman" w:eastAsia="Times New Roman" w:hAnsi="Times New Roman"/>
                <w:sz w:val="22"/>
                <w:szCs w:val="22"/>
              </w:rPr>
              <w:t xml:space="preserve">Thai Clinical Trial Registry no. TCTR20250216013</w:t>
            </w:r>
          </w:p>
        </w:tc>
      </w:tr>
      <w:tr>
        <w:tc>
          <w:tcPr>
            <w:tcW w:type="dxa" w:w="2880"/>
            <w:tcBorders>
              <w:top w:val="single" w:color="AAAAAA" w:sz="4"/>
              <w:left w:val="single" w:color="AAAAAA" w:sz="4"/>
              <w:bottom w:val="single" w:color="AAAAAA" w:sz="4"/>
              <w:right w:val="single" w:color="AAAAAA" w:sz="4"/>
            </w:tcBorders>
            <w:shd w:fill="F5F5F5" w:val="clear"/>
            <w:tcMar>
              <w:top w:type="dxa" w:w="80"/>
              <w:left w:type="dxa" w:w="120"/>
              <w:bottom w:type="dxa" w:w="80"/>
              <w:right w:type="dxa" w:w="120"/>
            </w:tcMar>
          </w:tcPr>
          <w:p>
            <w:r>
              <w:rPr>
                <w:rFonts w:ascii="Times New Roman" w:cs="Times New Roman" w:eastAsia="Times New Roman" w:hAnsi="Times New Roman"/>
                <w:b/>
                <w:bCs/>
                <w:sz w:val="22"/>
                <w:szCs w:val="22"/>
              </w:rPr>
              <w:t xml:space="preserve">Registration date</w:t>
            </w:r>
          </w:p>
        </w:tc>
        <w:tc>
          <w:tcPr>
            <w:tcW w:type="dxa" w:w="6480"/>
            <w:tcBorders>
              <w:top w:val="single" w:color="AAAAAA" w:sz="4"/>
              <w:left w:val="single" w:color="AAAAAA" w:sz="4"/>
              <w:bottom w:val="single" w:color="AAAAAA" w:sz="4"/>
              <w:right w:val="single" w:color="AAAAAA" w:sz="4"/>
            </w:tcBorders>
            <w:tcMar>
              <w:top w:type="dxa" w:w="80"/>
              <w:left w:type="dxa" w:w="120"/>
              <w:bottom w:type="dxa" w:w="80"/>
              <w:right w:type="dxa" w:w="120"/>
            </w:tcMar>
          </w:tcPr>
          <w:p>
            <w:r>
              <w:rPr>
                <w:rFonts w:ascii="Times New Roman" w:cs="Times New Roman" w:eastAsia="Times New Roman" w:hAnsi="Times New Roman"/>
                <w:sz w:val="22"/>
                <w:szCs w:val="22"/>
              </w:rPr>
              <w:t xml:space="preserve">16 February 2025</w:t>
            </w:r>
          </w:p>
        </w:tc>
      </w:tr>
      <w:tr>
        <w:tc>
          <w:tcPr>
            <w:tcW w:type="dxa" w:w="2880"/>
            <w:tcBorders>
              <w:top w:val="single" w:color="AAAAAA" w:sz="4"/>
              <w:left w:val="single" w:color="AAAAAA" w:sz="4"/>
              <w:bottom w:val="single" w:color="AAAAAA" w:sz="4"/>
              <w:right w:val="single" w:color="AAAAAA" w:sz="4"/>
            </w:tcBorders>
            <w:shd w:fill="F5F5F5" w:val="clear"/>
            <w:tcMar>
              <w:top w:type="dxa" w:w="80"/>
              <w:left w:type="dxa" w:w="120"/>
              <w:bottom w:type="dxa" w:w="80"/>
              <w:right w:type="dxa" w:w="120"/>
            </w:tcMar>
          </w:tcPr>
          <w:p>
            <w:r>
              <w:rPr>
                <w:rFonts w:ascii="Times New Roman" w:cs="Times New Roman" w:eastAsia="Times New Roman" w:hAnsi="Times New Roman"/>
                <w:b/>
                <w:bCs/>
                <w:sz w:val="22"/>
                <w:szCs w:val="22"/>
              </w:rPr>
              <w:t xml:space="preserve">Trial status</w:t>
            </w:r>
          </w:p>
        </w:tc>
        <w:tc>
          <w:tcPr>
            <w:tcW w:type="dxa" w:w="6480"/>
            <w:tcBorders>
              <w:top w:val="single" w:color="AAAAAA" w:sz="4"/>
              <w:left w:val="single" w:color="AAAAAA" w:sz="4"/>
              <w:bottom w:val="single" w:color="AAAAAA" w:sz="4"/>
              <w:right w:val="single" w:color="AAAAAA" w:sz="4"/>
            </w:tcBorders>
            <w:tcMar>
              <w:top w:type="dxa" w:w="80"/>
              <w:left w:type="dxa" w:w="120"/>
              <w:bottom w:type="dxa" w:w="80"/>
              <w:right w:type="dxa" w:w="120"/>
            </w:tcMar>
          </w:tcPr>
          <w:p>
            <w:r>
              <w:rPr>
                <w:rFonts w:ascii="Times New Roman" w:cs="Times New Roman" w:eastAsia="Times New Roman" w:hAnsi="Times New Roman"/>
                <w:sz w:val="22"/>
                <w:szCs w:val="22"/>
              </w:rPr>
              <w:t xml:space="preserve">Completed (March 2026)</w:t>
            </w:r>
          </w:p>
        </w:tc>
      </w:tr>
      <w:tr>
        <w:tc>
          <w:tcPr>
            <w:tcW w:type="dxa" w:w="2880"/>
            <w:tcBorders>
              <w:top w:val="single" w:color="AAAAAA" w:sz="4"/>
              <w:left w:val="single" w:color="AAAAAA" w:sz="4"/>
              <w:bottom w:val="single" w:color="AAAAAA" w:sz="4"/>
              <w:right w:val="single" w:color="AAAAAA" w:sz="4"/>
            </w:tcBorders>
            <w:shd w:fill="F5F5F5" w:val="clear"/>
            <w:tcMar>
              <w:top w:type="dxa" w:w="80"/>
              <w:left w:type="dxa" w:w="120"/>
              <w:bottom w:type="dxa" w:w="80"/>
              <w:right w:type="dxa" w:w="120"/>
            </w:tcMar>
          </w:tcPr>
          <w:p>
            <w:r>
              <w:rPr>
                <w:rFonts w:ascii="Times New Roman" w:cs="Times New Roman" w:eastAsia="Times New Roman" w:hAnsi="Times New Roman"/>
                <w:b/>
                <w:bCs/>
                <w:sz w:val="22"/>
                <w:szCs w:val="22"/>
              </w:rPr>
              <w:t xml:space="preserve">Sponsor</w:t>
            </w:r>
          </w:p>
        </w:tc>
        <w:tc>
          <w:tcPr>
            <w:tcW w:type="dxa" w:w="6480"/>
            <w:tcBorders>
              <w:top w:val="single" w:color="AAAAAA" w:sz="4"/>
              <w:left w:val="single" w:color="AAAAAA" w:sz="4"/>
              <w:bottom w:val="single" w:color="AAAAAA" w:sz="4"/>
              <w:right w:val="single" w:color="AAAAAA" w:sz="4"/>
            </w:tcBorders>
            <w:tcMar>
              <w:top w:type="dxa" w:w="80"/>
              <w:left w:type="dxa" w:w="120"/>
              <w:bottom w:type="dxa" w:w="80"/>
              <w:right w:type="dxa" w:w="120"/>
            </w:tcMar>
          </w:tcPr>
          <w:p>
            <w:r>
              <w:rPr>
                <w:rFonts w:ascii="Times New Roman" w:cs="Times New Roman" w:eastAsia="Times New Roman" w:hAnsi="Times New Roman"/>
                <w:sz w:val="22"/>
                <w:szCs w:val="22"/>
              </w:rPr>
              <w:t xml:space="preserve">Bhumibol Adulyadej Hospital, Royal Thai Air Force, Bangkok, Thailand</w:t>
            </w:r>
          </w:p>
        </w:tc>
      </w:tr>
      <w:tr>
        <w:tc>
          <w:tcPr>
            <w:tcW w:type="dxa" w:w="2880"/>
            <w:tcBorders>
              <w:top w:val="single" w:color="AAAAAA" w:sz="4"/>
              <w:left w:val="single" w:color="AAAAAA" w:sz="4"/>
              <w:bottom w:val="single" w:color="AAAAAA" w:sz="4"/>
              <w:right w:val="single" w:color="AAAAAA" w:sz="4"/>
            </w:tcBorders>
            <w:shd w:fill="F5F5F5" w:val="clear"/>
            <w:tcMar>
              <w:top w:type="dxa" w:w="80"/>
              <w:left w:type="dxa" w:w="120"/>
              <w:bottom w:type="dxa" w:w="80"/>
              <w:right w:type="dxa" w:w="120"/>
            </w:tcMar>
          </w:tcPr>
          <w:p>
            <w:r>
              <w:rPr>
                <w:rFonts w:ascii="Times New Roman" w:cs="Times New Roman" w:eastAsia="Times New Roman" w:hAnsi="Times New Roman"/>
                <w:b/>
                <w:bCs/>
                <w:sz w:val="22"/>
                <w:szCs w:val="22"/>
              </w:rPr>
              <w:t xml:space="preserve">Funding source</w:t>
            </w:r>
          </w:p>
        </w:tc>
        <w:tc>
          <w:tcPr>
            <w:tcW w:type="dxa" w:w="6480"/>
            <w:tcBorders>
              <w:top w:val="single" w:color="AAAAAA" w:sz="4"/>
              <w:left w:val="single" w:color="AAAAAA" w:sz="4"/>
              <w:bottom w:val="single" w:color="AAAAAA" w:sz="4"/>
              <w:right w:val="single" w:color="AAAAAA" w:sz="4"/>
            </w:tcBorders>
            <w:tcMar>
              <w:top w:type="dxa" w:w="80"/>
              <w:left w:type="dxa" w:w="120"/>
              <w:bottom w:type="dxa" w:w="80"/>
              <w:right w:type="dxa" w:w="120"/>
            </w:tcMar>
          </w:tcPr>
          <w:p>
            <w:r>
              <w:rPr>
                <w:rFonts w:ascii="Times New Roman" w:cs="Times New Roman" w:eastAsia="Times New Roman" w:hAnsi="Times New Roman"/>
                <w:sz w:val="22"/>
                <w:szCs w:val="22"/>
              </w:rPr>
              <w:t xml:space="preserve">No monetary funding received. PCT test reagents provided in-kind by Roche Diagnostics (Thailand); funder had no role in design, conduct, analysis, or reporting</w:t>
            </w:r>
          </w:p>
        </w:tc>
      </w:tr>
      <w:tr>
        <w:tc>
          <w:tcPr>
            <w:tcW w:type="dxa" w:w="2880"/>
            <w:tcBorders>
              <w:top w:val="single" w:color="AAAAAA" w:sz="4"/>
              <w:left w:val="single" w:color="AAAAAA" w:sz="4"/>
              <w:bottom w:val="single" w:color="AAAAAA" w:sz="4"/>
              <w:right w:val="single" w:color="AAAAAA" w:sz="4"/>
            </w:tcBorders>
            <w:shd w:fill="F5F5F5" w:val="clear"/>
            <w:tcMar>
              <w:top w:type="dxa" w:w="80"/>
              <w:left w:type="dxa" w:w="120"/>
              <w:bottom w:type="dxa" w:w="80"/>
              <w:right w:type="dxa" w:w="120"/>
            </w:tcMar>
          </w:tcPr>
          <w:p>
            <w:r>
              <w:rPr>
                <w:rFonts w:ascii="Times New Roman" w:cs="Times New Roman" w:eastAsia="Times New Roman" w:hAnsi="Times New Roman"/>
                <w:b/>
                <w:bCs/>
                <w:sz w:val="22"/>
                <w:szCs w:val="22"/>
              </w:rPr>
              <w:t xml:space="preserve">Ethics approval</w:t>
            </w:r>
          </w:p>
        </w:tc>
        <w:tc>
          <w:tcPr>
            <w:tcW w:type="dxa" w:w="6480"/>
            <w:tcBorders>
              <w:top w:val="single" w:color="AAAAAA" w:sz="4"/>
              <w:left w:val="single" w:color="AAAAAA" w:sz="4"/>
              <w:bottom w:val="single" w:color="AAAAAA" w:sz="4"/>
              <w:right w:val="single" w:color="AAAAAA" w:sz="4"/>
            </w:tcBorders>
            <w:tcMar>
              <w:top w:type="dxa" w:w="80"/>
              <w:left w:type="dxa" w:w="120"/>
              <w:bottom w:type="dxa" w:w="80"/>
              <w:right w:type="dxa" w:w="120"/>
            </w:tcMar>
          </w:tcPr>
          <w:p>
            <w:r>
              <w:rPr>
                <w:rFonts w:ascii="Times New Roman" w:cs="Times New Roman" w:eastAsia="Times New Roman" w:hAnsi="Times New Roman"/>
                <w:sz w:val="22"/>
                <w:szCs w:val="22"/>
              </w:rPr>
              <w:t xml:space="preserve">Bhumibol Adulyadej Hospital IRB, approval no. 97/67 (31 October 2024)</w:t>
            </w:r>
          </w:p>
        </w:tc>
      </w:tr>
    </w:tbl>
    <w:p>
      <w:pPr>
        <w:spacing w:after="0"/>
      </w:pPr>
    </w:p>
    <w:p>
      <w:pPr>
        <w:pStyle w:val="Heading1"/>
        <w:spacing w:after="120" w:before="360"/>
      </w:pPr>
      <w:r>
        <w:rPr>
          <w:rFonts w:ascii="Times New Roman" w:cs="Times New Roman" w:eastAsia="Times New Roman" w:hAnsi="Times New Roman"/>
          <w:b/>
          <w:bCs/>
          <w:sz w:val="28"/>
          <w:szCs w:val="28"/>
        </w:rPr>
        <w:t xml:space="preserve">2. Investigators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80"/>
        <w:gridCol w:w="6480"/>
      </w:tblGrid>
      <w:tr>
        <w:tc>
          <w:tcPr>
            <w:tcW w:type="dxa" w:w="2880"/>
            <w:tcBorders>
              <w:top w:val="single" w:color="AAAAAA" w:sz="4"/>
              <w:left w:val="single" w:color="AAAAAA" w:sz="4"/>
              <w:bottom w:val="single" w:color="AAAAAA" w:sz="4"/>
              <w:right w:val="single" w:color="AAAAAA" w:sz="4"/>
            </w:tcBorders>
            <w:shd w:fill="F5F5F5" w:val="clear"/>
            <w:tcMar>
              <w:top w:type="dxa" w:w="80"/>
              <w:left w:type="dxa" w:w="120"/>
              <w:bottom w:type="dxa" w:w="80"/>
              <w:right w:type="dxa" w:w="120"/>
            </w:tcMar>
          </w:tcPr>
          <w:p>
            <w:r>
              <w:rPr>
                <w:rFonts w:ascii="Times New Roman" w:cs="Times New Roman" w:eastAsia="Times New Roman" w:hAnsi="Times New Roman"/>
                <w:b/>
                <w:bCs/>
                <w:sz w:val="22"/>
                <w:szCs w:val="22"/>
              </w:rPr>
              <w:t xml:space="preserve">Principal investigator</w:t>
            </w:r>
          </w:p>
        </w:tc>
        <w:tc>
          <w:tcPr>
            <w:tcW w:type="dxa" w:w="6480"/>
            <w:tcBorders>
              <w:top w:val="single" w:color="AAAAAA" w:sz="4"/>
              <w:left w:val="single" w:color="AAAAAA" w:sz="4"/>
              <w:bottom w:val="single" w:color="AAAAAA" w:sz="4"/>
              <w:right w:val="single" w:color="AAAAAA" w:sz="4"/>
            </w:tcBorders>
            <w:tcMar>
              <w:top w:type="dxa" w:w="80"/>
              <w:left w:type="dxa" w:w="120"/>
              <w:bottom w:type="dxa" w:w="80"/>
              <w:right w:type="dxa" w:w="120"/>
            </w:tcMar>
          </w:tcPr>
          <w:p>
            <w:r>
              <w:rPr>
                <w:rFonts w:ascii="Times New Roman" w:cs="Times New Roman" w:eastAsia="Times New Roman" w:hAnsi="Times New Roman"/>
                <w:sz w:val="22"/>
                <w:szCs w:val="22"/>
              </w:rPr>
              <w:t xml:space="preserve">Thien Meensuk, MD
Department of Medicine, Bhumibol Adulyadej Hospital, Royal Thai Air Force, Sai Mai, Bangkok, Thailand 10220
Email: Tmeensuk@gmail.com</w:t>
            </w:r>
          </w:p>
        </w:tc>
      </w:tr>
      <w:tr>
        <w:tc>
          <w:tcPr>
            <w:tcW w:type="dxa" w:w="2880"/>
            <w:tcBorders>
              <w:top w:val="single" w:color="AAAAAA" w:sz="4"/>
              <w:left w:val="single" w:color="AAAAAA" w:sz="4"/>
              <w:bottom w:val="single" w:color="AAAAAA" w:sz="4"/>
              <w:right w:val="single" w:color="AAAAAA" w:sz="4"/>
            </w:tcBorders>
            <w:shd w:fill="F5F5F5" w:val="clear"/>
            <w:tcMar>
              <w:top w:type="dxa" w:w="80"/>
              <w:left w:type="dxa" w:w="120"/>
              <w:bottom w:type="dxa" w:w="80"/>
              <w:right w:type="dxa" w:w="120"/>
            </w:tcMar>
          </w:tcPr>
          <w:p>
            <w:r>
              <w:rPr>
                <w:rFonts w:ascii="Times New Roman" w:cs="Times New Roman" w:eastAsia="Times New Roman" w:hAnsi="Times New Roman"/>
                <w:b/>
                <w:bCs/>
                <w:sz w:val="22"/>
                <w:szCs w:val="22"/>
              </w:rPr>
              <w:t xml:space="preserve">Corresponding author</w:t>
            </w:r>
          </w:p>
        </w:tc>
        <w:tc>
          <w:tcPr>
            <w:tcW w:type="dxa" w:w="6480"/>
            <w:tcBorders>
              <w:top w:val="single" w:color="AAAAAA" w:sz="4"/>
              <w:left w:val="single" w:color="AAAAAA" w:sz="4"/>
              <w:bottom w:val="single" w:color="AAAAAA" w:sz="4"/>
              <w:right w:val="single" w:color="AAAAAA" w:sz="4"/>
            </w:tcBorders>
            <w:tcMar>
              <w:top w:type="dxa" w:w="80"/>
              <w:left w:type="dxa" w:w="120"/>
              <w:bottom w:type="dxa" w:w="80"/>
              <w:right w:type="dxa" w:w="120"/>
            </w:tcMar>
          </w:tcPr>
          <w:p>
            <w:r>
              <w:rPr>
                <w:rFonts w:ascii="Times New Roman" w:cs="Times New Roman" w:eastAsia="Times New Roman" w:hAnsi="Times New Roman"/>
                <w:sz w:val="22"/>
                <w:szCs w:val="22"/>
              </w:rPr>
              <w:t xml:space="preserve">Natthakit Chavapradit, MD
Department of Medicine, Bhumibol Adulyadej Hospital, Royal Thai Air Force, Sai Mai, Bangkok, Thailand 10220
Tel: +66890269189
Email: natthakit_ou@hotmail.com</w:t>
            </w:r>
          </w:p>
        </w:tc>
      </w:tr>
    </w:tbl>
    <w:p>
      <w:pPr>
        <w:spacing w:after="0"/>
      </w:pPr>
    </w:p>
    <w:p>
      <w:pPr>
        <w:pStyle w:val="Heading1"/>
        <w:spacing w:after="120" w:before="360"/>
      </w:pPr>
      <w:r>
        <w:rPr>
          <w:rFonts w:ascii="Times New Roman" w:cs="Times New Roman" w:eastAsia="Times New Roman" w:hAnsi="Times New Roman"/>
          <w:b/>
          <w:bCs/>
          <w:sz w:val="28"/>
          <w:szCs w:val="28"/>
        </w:rPr>
        <w:t xml:space="preserve">3. Background and Rationale</w:t>
      </w:r>
    </w:p>
    <w:p>
      <w:pPr>
        <w:spacing w:after="120" w:line="480"/>
        <w:jc w:val="both"/>
      </w:pPr>
      <w:r>
        <w:rPr>
          <w:rFonts w:ascii="Times New Roman" w:cs="Times New Roman" w:eastAsia="Times New Roman" w:hAnsi="Times New Roman"/>
          <w:sz w:val="24"/>
          <w:szCs w:val="24"/>
        </w:rPr>
        <w:t xml:space="preserve">Sepsis is a life-threatening syndrome defined by organ dysfunction resulting from a dysregulated host response to infection. It accounts for approximately 166 million cases and 21.4 million deaths globally each year. Early administration of appropriate antibiotics is central to management; however, unnecessarily prolonged or broad-spectrum antibiotic use drives antimicrobial resistance without conferring additional survival benefit.</w:t>
      </w:r>
    </w:p>
    <w:p>
      <w:pPr>
        <w:spacing w:after="0"/>
      </w:pPr>
    </w:p>
    <w:p>
      <w:pPr>
        <w:spacing w:after="120" w:line="480"/>
        <w:jc w:val="both"/>
      </w:pPr>
      <w:r>
        <w:rPr>
          <w:rFonts w:ascii="Times New Roman" w:cs="Times New Roman" w:eastAsia="Times New Roman" w:hAnsi="Times New Roman"/>
          <w:sz w:val="24"/>
          <w:szCs w:val="24"/>
        </w:rPr>
        <w:t xml:space="preserve">Procalcitonin (PCT) is a serum biomarker that increases markedly in response to bacterial infection and falls as antimicrobial therapy takes effect. Serial PCT measurements are used to guide antibiotic discontinuation when values fall by 80% or more from the peak, or drop below an absolute threshold of 0.5 ng/mL. Prior randomised controlled trials of PCT-guided antibiotic stewardship have been conducted primarily in ICU populations. Evidence supporting structured PCT monitoring in community-acquired sepsis presenting to the Emergency Department is limited. This trial addresses that evidence gap.</w:t>
      </w:r>
    </w:p>
    <w:p>
      <w:pPr>
        <w:spacing w:after="0"/>
      </w:pPr>
    </w:p>
    <w:p>
      <w:pPr>
        <w:pStyle w:val="Heading1"/>
        <w:spacing w:after="120" w:before="360"/>
      </w:pPr>
      <w:r>
        <w:rPr>
          <w:rFonts w:ascii="Times New Roman" w:cs="Times New Roman" w:eastAsia="Times New Roman" w:hAnsi="Times New Roman"/>
          <w:b/>
          <w:bCs/>
          <w:sz w:val="28"/>
          <w:szCs w:val="28"/>
        </w:rPr>
        <w:t xml:space="preserve">4. Objectives</w:t>
      </w:r>
    </w:p>
    <w:p>
      <w:pPr>
        <w:pStyle w:val="Heading2"/>
        <w:spacing w:after="80" w:before="240"/>
      </w:pPr>
      <w:r>
        <w:rPr>
          <w:rFonts w:ascii="Times New Roman" w:cs="Times New Roman" w:eastAsia="Times New Roman" w:hAnsi="Times New Roman"/>
          <w:b/>
          <w:bCs/>
          <w:i/>
          <w:iCs/>
          <w:sz w:val="24"/>
          <w:szCs w:val="24"/>
        </w:rPr>
        <w:t xml:space="preserve">4.1 Primary Objective</w:t>
      </w:r>
    </w:p>
    <w:p>
      <w:pPr>
        <w:spacing w:after="120" w:line="480"/>
        <w:jc w:val="both"/>
      </w:pPr>
      <w:r>
        <w:rPr>
          <w:rFonts w:ascii="Times New Roman" w:cs="Times New Roman" w:eastAsia="Times New Roman" w:hAnsi="Times New Roman"/>
          <w:sz w:val="24"/>
          <w:szCs w:val="24"/>
        </w:rPr>
        <w:t xml:space="preserve">To determine whether a standardised PCT monitoring protocol (measurements on days 0, 2, and 5 of hospitalization) reduces the total duration of antibiotic therapy compared with standard clinical management in adults with community-acquired sepsis presenting to the Emergency Department.</w:t>
      </w:r>
    </w:p>
    <w:p>
      <w:pPr>
        <w:spacing w:after="0"/>
      </w:pPr>
    </w:p>
    <w:p>
      <w:pPr>
        <w:pStyle w:val="Heading2"/>
        <w:spacing w:after="80" w:before="240"/>
      </w:pPr>
      <w:r>
        <w:rPr>
          <w:rFonts w:ascii="Times New Roman" w:cs="Times New Roman" w:eastAsia="Times New Roman" w:hAnsi="Times New Roman"/>
          <w:b/>
          <w:bCs/>
          <w:i/>
          <w:iCs/>
          <w:sz w:val="24"/>
          <w:szCs w:val="24"/>
        </w:rPr>
        <w:t xml:space="preserve">4.2 Secondary Objectives</w:t>
      </w:r>
    </w:p>
    <w:p>
      <w:pPr>
        <w:pStyle w:val="ListParagraph"/>
        <w:numPr>
          <w:ilvl w:val="0"/>
          <w:numId w:val="2"/>
        </w:numPr>
        <w:spacing w:after="60" w:line="480"/>
      </w:pPr>
      <w:r>
        <w:rPr>
          <w:rFonts w:ascii="Times New Roman" w:cs="Times New Roman" w:eastAsia="Times New Roman" w:hAnsi="Times New Roman"/>
          <w:sz w:val="24"/>
          <w:szCs w:val="24"/>
        </w:rPr>
        <w:t xml:space="preserve">To evaluate the effect of PCT-guided therapy on hospital length of stay</w:t>
      </w:r>
    </w:p>
    <w:p>
      <w:pPr>
        <w:pStyle w:val="ListParagraph"/>
        <w:numPr>
          <w:ilvl w:val="0"/>
          <w:numId w:val="2"/>
        </w:numPr>
        <w:spacing w:after="60" w:line="480"/>
      </w:pPr>
      <w:r>
        <w:rPr>
          <w:rFonts w:ascii="Times New Roman" w:cs="Times New Roman" w:eastAsia="Times New Roman" w:hAnsi="Times New Roman"/>
          <w:sz w:val="24"/>
          <w:szCs w:val="24"/>
        </w:rPr>
        <w:t xml:space="preserve">To assess 28-day all-cause mortality</w:t>
      </w:r>
    </w:p>
    <w:p>
      <w:pPr>
        <w:pStyle w:val="ListParagraph"/>
        <w:numPr>
          <w:ilvl w:val="0"/>
          <w:numId w:val="2"/>
        </w:numPr>
        <w:spacing w:after="60" w:line="480"/>
      </w:pPr>
      <w:r>
        <w:rPr>
          <w:rFonts w:ascii="Times New Roman" w:cs="Times New Roman" w:eastAsia="Times New Roman" w:hAnsi="Times New Roman"/>
          <w:sz w:val="24"/>
          <w:szCs w:val="24"/>
        </w:rPr>
        <w:t xml:space="preserve">To compare the incidence of secondary infections caused by multidrug-resistant (MDR) organisms</w:t>
      </w:r>
    </w:p>
    <w:p>
      <w:pPr>
        <w:pStyle w:val="ListParagraph"/>
        <w:numPr>
          <w:ilvl w:val="0"/>
          <w:numId w:val="2"/>
        </w:numPr>
        <w:spacing w:after="60" w:line="480"/>
      </w:pPr>
      <w:r>
        <w:rPr>
          <w:rFonts w:ascii="Times New Roman" w:cs="Times New Roman" w:eastAsia="Times New Roman" w:hAnsi="Times New Roman"/>
          <w:sz w:val="24"/>
          <w:szCs w:val="24"/>
        </w:rPr>
        <w:t xml:space="preserve">To evaluate the rate of recurrent infection with the index pathogen</w:t>
      </w:r>
    </w:p>
    <w:p>
      <w:pPr>
        <w:pStyle w:val="ListParagraph"/>
        <w:numPr>
          <w:ilvl w:val="0"/>
          <w:numId w:val="2"/>
        </w:numPr>
        <w:spacing w:after="60" w:line="480"/>
      </w:pPr>
      <w:r>
        <w:rPr>
          <w:rFonts w:ascii="Times New Roman" w:cs="Times New Roman" w:eastAsia="Times New Roman" w:hAnsi="Times New Roman"/>
          <w:sz w:val="24"/>
          <w:szCs w:val="24"/>
        </w:rPr>
        <w:t xml:space="preserve">To compare the incidence of Clostridioides difficile infection</w:t>
      </w:r>
    </w:p>
    <w:p>
      <w:pPr>
        <w:spacing w:after="0"/>
      </w:pPr>
    </w:p>
    <w:p>
      <w:pPr>
        <w:pStyle w:val="Heading1"/>
        <w:spacing w:after="120" w:before="360"/>
      </w:pPr>
      <w:r>
        <w:rPr>
          <w:rFonts w:ascii="Times New Roman" w:cs="Times New Roman" w:eastAsia="Times New Roman" w:hAnsi="Times New Roman"/>
          <w:b/>
          <w:bCs/>
          <w:sz w:val="28"/>
          <w:szCs w:val="28"/>
        </w:rPr>
        <w:t xml:space="preserve">5. Trial Design</w:t>
      </w:r>
    </w:p>
    <w:p>
      <w:pPr>
        <w:spacing w:after="120" w:line="480"/>
        <w:jc w:val="both"/>
      </w:pPr>
      <w:r>
        <w:rPr>
          <w:rFonts w:ascii="Times New Roman" w:cs="Times New Roman" w:eastAsia="Times New Roman" w:hAnsi="Times New Roman"/>
          <w:sz w:val="24"/>
          <w:szCs w:val="24"/>
        </w:rPr>
        <w:t xml:space="preserve">This is a prospective, open-label, pragmatic, parallel-group, superiority randomised controlled trial with a 1:1 allocation ratio. The trial was conducted at the Emergency Department of Bhumibol Adulyadej Hospital, a tertiary care centre in Bangkok, Thailand, between February 2025 and March 2026. Participants were enrolled within 24 hours of initial sepsis diagnosis.</w:t>
      </w:r>
    </w:p>
    <w:p>
      <w:pPr>
        <w:spacing w:after="0"/>
      </w:pPr>
    </w:p>
    <w:p>
      <w:pPr>
        <w:pStyle w:val="Heading1"/>
        <w:spacing w:after="120" w:before="360"/>
      </w:pPr>
      <w:r>
        <w:rPr>
          <w:rFonts w:ascii="Times New Roman" w:cs="Times New Roman" w:eastAsia="Times New Roman" w:hAnsi="Times New Roman"/>
          <w:b/>
          <w:bCs/>
          <w:sz w:val="28"/>
          <w:szCs w:val="28"/>
        </w:rPr>
        <w:t xml:space="preserve">6. Participants</w:t>
      </w:r>
    </w:p>
    <w:p>
      <w:pPr>
        <w:pStyle w:val="Heading2"/>
        <w:spacing w:after="80" w:before="240"/>
      </w:pPr>
      <w:r>
        <w:rPr>
          <w:rFonts w:ascii="Times New Roman" w:cs="Times New Roman" w:eastAsia="Times New Roman" w:hAnsi="Times New Roman"/>
          <w:b/>
          <w:bCs/>
          <w:i/>
          <w:iCs/>
          <w:sz w:val="24"/>
          <w:szCs w:val="24"/>
        </w:rPr>
        <w:t xml:space="preserve">6.1 Inclusion Criteria</w:t>
      </w:r>
    </w:p>
    <w:p>
      <w:pPr>
        <w:pStyle w:val="ListParagraph"/>
        <w:numPr>
          <w:ilvl w:val="0"/>
          <w:numId w:val="2"/>
        </w:numPr>
        <w:spacing w:after="60" w:line="480"/>
      </w:pPr>
      <w:r>
        <w:rPr>
          <w:rFonts w:ascii="Times New Roman" w:cs="Times New Roman" w:eastAsia="Times New Roman" w:hAnsi="Times New Roman"/>
          <w:sz w:val="24"/>
          <w:szCs w:val="24"/>
        </w:rPr>
        <w:t xml:space="preserve">Age 18 years or older</w:t>
      </w:r>
    </w:p>
    <w:p>
      <w:pPr>
        <w:pStyle w:val="ListParagraph"/>
        <w:numPr>
          <w:ilvl w:val="0"/>
          <w:numId w:val="2"/>
        </w:numPr>
        <w:spacing w:after="60" w:line="480"/>
      </w:pPr>
      <w:r>
        <w:rPr>
          <w:rFonts w:ascii="Times New Roman" w:cs="Times New Roman" w:eastAsia="Times New Roman" w:hAnsi="Times New Roman"/>
          <w:sz w:val="24"/>
          <w:szCs w:val="24"/>
        </w:rPr>
        <w:t xml:space="preserve">Presenting to the Emergency Department with community-acquired infection at any site, enrolled within 24 hours of initial diagnosis</w:t>
      </w:r>
    </w:p>
    <w:p>
      <w:pPr>
        <w:pStyle w:val="ListParagraph"/>
        <w:numPr>
          <w:ilvl w:val="0"/>
          <w:numId w:val="2"/>
        </w:numPr>
        <w:spacing w:after="60" w:line="480"/>
      </w:pPr>
      <w:r>
        <w:rPr>
          <w:rFonts w:ascii="Times New Roman" w:cs="Times New Roman" w:eastAsia="Times New Roman" w:hAnsi="Times New Roman"/>
          <w:sz w:val="24"/>
          <w:szCs w:val="24"/>
        </w:rPr>
        <w:t xml:space="preserve">Meeting two or more SIRS criteria (temperature &gt;38°C or &lt;36°C; heart rate &gt;90 beats/min; respiratory rate &gt;20 breaths/min or PaCO₂ &lt;32 mmHg; WBC &gt;12,000/mm³ or &lt;4,000/mm³ or &gt;10% band forms)</w:t>
      </w:r>
    </w:p>
    <w:p>
      <w:pPr>
        <w:spacing w:after="0"/>
      </w:pPr>
    </w:p>
    <w:p>
      <w:pPr>
        <w:pStyle w:val="Heading2"/>
        <w:spacing w:after="80" w:before="240"/>
      </w:pPr>
      <w:r>
        <w:rPr>
          <w:rFonts w:ascii="Times New Roman" w:cs="Times New Roman" w:eastAsia="Times New Roman" w:hAnsi="Times New Roman"/>
          <w:b/>
          <w:bCs/>
          <w:i/>
          <w:iCs/>
          <w:sz w:val="24"/>
          <w:szCs w:val="24"/>
        </w:rPr>
        <w:t xml:space="preserve">6.2 Exclusion Criteria</w:t>
      </w:r>
    </w:p>
    <w:p>
      <w:pPr>
        <w:pStyle w:val="ListParagraph"/>
        <w:numPr>
          <w:ilvl w:val="0"/>
          <w:numId w:val="2"/>
        </w:numPr>
        <w:spacing w:after="60" w:line="480"/>
      </w:pPr>
      <w:r>
        <w:rPr>
          <w:rFonts w:ascii="Times New Roman" w:cs="Times New Roman" w:eastAsia="Times New Roman" w:hAnsi="Times New Roman"/>
          <w:sz w:val="24"/>
          <w:szCs w:val="24"/>
        </w:rPr>
        <w:t xml:space="preserve">Suspected sepsis not resulting from a bacterial infection</w:t>
      </w:r>
    </w:p>
    <w:p>
      <w:pPr>
        <w:numPr>
          <w:ilvl w:val="0"/>
          <w:numId w:val="2"/>
        </w:numPr>
        <w:spacing w:after="60" w:line="480" w:lineRule="auto"/>
      </w:pPr>
      <w:r>
        <w:rPr>
          <w:rFonts w:ascii="Times New Roman" w:hAnsi="Times New Roman" w:cs="Times New Roman"/>
          <w:sz w:val="24"/>
        </w:rPr>
        <w:t xml:space="preserve">Requiring antibiotic therapy for fewer than 5 days (as planned by treating physician)</w:t>
      </w:r>
    </w:p>
    <w:p>
      <w:pPr>
        <w:pStyle w:val="ListParagraph"/>
        <w:numPr>
          <w:ilvl w:val="0"/>
          <w:numId w:val="2"/>
        </w:numPr>
        <w:spacing w:after="60" w:line="480"/>
      </w:pPr>
      <w:r>
        <w:rPr>
          <w:rFonts w:ascii="Times New Roman" w:cs="Times New Roman" w:eastAsia="Times New Roman" w:hAnsi="Times New Roman"/>
          <w:sz w:val="24"/>
          <w:szCs w:val="24"/>
        </w:rPr>
        <w:t xml:space="preserve">Infection planned to require more than 21 days of antibiotic therapy (e.g., osteomyelitis, infective endocarditis)</w:t>
      </w:r>
    </w:p>
    <w:p>
      <w:pPr>
        <w:pStyle w:val="ListParagraph"/>
        <w:numPr>
          <w:ilvl w:val="0"/>
          <w:numId w:val="2"/>
        </w:numPr>
        <w:spacing w:after="60" w:line="480"/>
      </w:pPr>
      <w:r>
        <w:rPr>
          <w:rFonts w:ascii="Times New Roman" w:cs="Times New Roman" w:eastAsia="Times New Roman" w:hAnsi="Times New Roman"/>
          <w:sz w:val="24"/>
          <w:szCs w:val="24"/>
        </w:rPr>
        <w:t xml:space="preserve">Designated for palliative care at the time of admission</w:t>
      </w:r>
    </w:p>
    <w:p>
      <w:pPr>
        <w:spacing w:after="0"/>
      </w:pPr>
    </w:p>
    <w:p>
      <w:pPr>
        <w:pStyle w:val="Heading2"/>
        <w:spacing w:after="80" w:before="240"/>
      </w:pPr>
      <w:r>
        <w:rPr>
          <w:rFonts w:ascii="Times New Roman" w:cs="Times New Roman" w:eastAsia="Times New Roman" w:hAnsi="Times New Roman"/>
          <w:b/>
          <w:bCs/>
          <w:i/>
          <w:iCs/>
          <w:sz w:val="24"/>
          <w:szCs w:val="24"/>
        </w:rPr>
        <w:t xml:space="preserve">6.3 Withdrawal Criteria</w:t>
      </w:r>
    </w:p>
    <w:p>
      <w:pPr>
        <w:spacing w:after="120" w:line="480"/>
        <w:jc w:val="both"/>
      </w:pPr>
      <w:r>
        <w:rPr>
          <w:rFonts w:ascii="Times New Roman" w:cs="Times New Roman" w:eastAsia="Times New Roman" w:hAnsi="Times New Roman"/>
          <w:sz w:val="24"/>
          <w:szCs w:val="24"/>
        </w:rPr>
        <w:t xml:space="preserve">Participants were withdrawn from the study if they:</w:t>
      </w:r>
    </w:p>
    <w:p>
      <w:pPr>
        <w:pStyle w:val="ListParagraph"/>
        <w:numPr>
          <w:ilvl w:val="0"/>
          <w:numId w:val="2"/>
        </w:numPr>
        <w:spacing w:after="60" w:line="480"/>
      </w:pPr>
      <w:r>
        <w:rPr>
          <w:rFonts w:ascii="Times New Roman" w:cs="Times New Roman" w:eastAsia="Times New Roman" w:hAnsi="Times New Roman"/>
          <w:sz w:val="24"/>
          <w:szCs w:val="24"/>
        </w:rPr>
        <w:t xml:space="preserve">Developed a hospital-acquired infection before completing the initial antibiotic course</w:t>
      </w:r>
    </w:p>
    <w:p>
      <w:pPr>
        <w:pStyle w:val="ListParagraph"/>
        <w:numPr>
          <w:ilvl w:val="0"/>
          <w:numId w:val="2"/>
        </w:numPr>
        <w:spacing w:after="60" w:line="480"/>
      </w:pPr>
      <w:r>
        <w:rPr>
          <w:rFonts w:ascii="Times New Roman" w:cs="Times New Roman" w:eastAsia="Times New Roman" w:hAnsi="Times New Roman"/>
          <w:sz w:val="24"/>
          <w:szCs w:val="24"/>
        </w:rPr>
        <w:t xml:space="preserve">Were identified as having an infection requiring prolonged antibiotic therapy (&gt;21 days)</w:t>
      </w:r>
    </w:p>
    <w:p>
      <w:pPr>
        <w:pStyle w:val="ListParagraph"/>
        <w:numPr>
          <w:ilvl w:val="0"/>
          <w:numId w:val="2"/>
        </w:numPr>
        <w:spacing w:after="60" w:line="480"/>
      </w:pPr>
      <w:r>
        <w:rPr>
          <w:rFonts w:ascii="Times New Roman" w:cs="Times New Roman" w:eastAsia="Times New Roman" w:hAnsi="Times New Roman"/>
          <w:sz w:val="24"/>
          <w:szCs w:val="24"/>
        </w:rPr>
        <w:t xml:space="preserve">Transitioned to palliative care during the study period</w:t>
      </w:r>
    </w:p>
    <w:p>
      <w:pPr>
        <w:pStyle w:val="ListParagraph"/>
        <w:numPr>
          <w:ilvl w:val="0"/>
          <w:numId w:val="2"/>
        </w:numPr>
        <w:spacing w:after="60" w:line="480"/>
      </w:pPr>
      <w:r>
        <w:rPr>
          <w:rFonts w:ascii="Times New Roman" w:cs="Times New Roman" w:eastAsia="Times New Roman" w:hAnsi="Times New Roman"/>
          <w:sz w:val="24"/>
          <w:szCs w:val="24"/>
        </w:rPr>
        <w:t xml:space="preserve">Were transferred to another hospital before completion of the study</w:t>
      </w:r>
    </w:p>
    <w:p>
      <w:pPr>
        <w:spacing w:after="0"/>
      </w:pPr>
    </w:p>
    <w:p>
      <w:pPr>
        <w:pStyle w:val="Heading1"/>
        <w:spacing w:after="120" w:before="360"/>
      </w:pPr>
      <w:r>
        <w:rPr>
          <w:rFonts w:ascii="Times New Roman" w:cs="Times New Roman" w:eastAsia="Times New Roman" w:hAnsi="Times New Roman"/>
          <w:b/>
          <w:bCs/>
          <w:sz w:val="28"/>
          <w:szCs w:val="28"/>
        </w:rPr>
        <w:t xml:space="preserve">7. Randomisation and Allocation Concealment</w:t>
      </w:r>
    </w:p>
    <w:p>
      <w:pPr>
        <w:spacing w:after="120" w:line="480"/>
        <w:jc w:val="both"/>
      </w:pPr>
      <w:r>
        <w:rPr>
          <w:rFonts w:ascii="Times New Roman" w:cs="Times New Roman" w:eastAsia="Times New Roman" w:hAnsi="Times New Roman"/>
          <w:sz w:val="24"/>
          <w:szCs w:val="24"/>
        </w:rPr>
        <w:t xml:space="preserve">Participants were randomised in a 1:1 ratio using stratified block randomisation (block size of four). Stratification was performed by the presence or absence of (a) septic shock and (b) moderate-to-severe immunocompromised status. The randomisation sequence was computer-generated in advance using a secure online platform (https://www.sealedenvelope.com/simple-randomiser/v1/lists). Allocation concealment was maintained using sequentially numbered opaque sealed envelopes, opened only after participant enrolment and consent.</w:t>
      </w:r>
    </w:p>
    <w:p>
      <w:pPr>
        <w:spacing w:after="0"/>
      </w:pPr>
    </w:p>
    <w:p>
      <w:pPr>
        <w:pStyle w:val="Heading1"/>
        <w:spacing w:after="120" w:before="360"/>
      </w:pPr>
      <w:r>
        <w:rPr>
          <w:rFonts w:ascii="Times New Roman" w:cs="Times New Roman" w:eastAsia="Times New Roman" w:hAnsi="Times New Roman"/>
          <w:b/>
          <w:bCs/>
          <w:sz w:val="28"/>
          <w:szCs w:val="28"/>
        </w:rPr>
        <w:t xml:space="preserve">8. Interventions</w:t>
      </w:r>
    </w:p>
    <w:p>
      <w:pPr>
        <w:pStyle w:val="Heading2"/>
        <w:spacing w:after="80" w:before="240"/>
      </w:pPr>
      <w:r>
        <w:rPr>
          <w:rFonts w:ascii="Times New Roman" w:cs="Times New Roman" w:eastAsia="Times New Roman" w:hAnsi="Times New Roman"/>
          <w:b/>
          <w:bCs/>
          <w:i/>
          <w:iCs/>
          <w:sz w:val="24"/>
          <w:szCs w:val="24"/>
        </w:rPr>
        <w:t xml:space="preserve">8.1 PCT-Monitored Group (Intervention)</w:t>
      </w:r>
    </w:p>
    <w:p>
      <w:pPr>
        <w:spacing w:after="120" w:line="480"/>
        <w:jc w:val="both"/>
      </w:pPr>
      <w:r>
        <w:rPr>
          <w:rFonts w:ascii="Times New Roman" w:cs="Times New Roman" w:eastAsia="Times New Roman" w:hAnsi="Times New Roman"/>
          <w:sz w:val="24"/>
          <w:szCs w:val="24"/>
        </w:rPr>
        <w:t xml:space="preserve">Participants randomised to the intervention arm had serum procalcitonin (PCT) measured on day 0, day 2, and day 5 of hospitalization. PCT testing was arranged exclusively by the study investigators using a dedicated laboratory order code separate from routine clinical laboratory requests. All three PCT orders were placed in advance at the time of enrolment to ensure timely specimen collection on each scheduled day. PCT testing was performed using the cobas e 801 analyser (Roche Diagnostics) with a measuring range of 0.02–100 ng/mL. Values below the limit of detection were reported as &lt;0.02 ng/mL. Results were returned to the hospital laboratory information system and were accessible to the treating physician through the standard clinical computer system, in the same manner as any other laboratory result. The study investigators did not communicate PCT results directly to the treating physician, did not participate in clinical management decisions, and had no involvement in determining antibiotic duration or other treatment choices. All treatment decisions, including antibiotic selection, escalation, and cessation, remained entirely at the discretion of the treating physician based on their own clinical assessment, which could include review of the available PCT results if they chose to do so. The study team did not mandate, recommend, or restrict any specific response to PCT values.</w:t>
      </w:r>
    </w:p>
    <w:p>
      <w:pPr>
        <w:spacing w:after="0"/>
      </w:pPr>
    </w:p>
    <w:p>
      <w:pPr>
        <w:pStyle w:val="Heading2"/>
        <w:spacing w:after="80" w:before="240"/>
      </w:pPr>
      <w:r>
        <w:rPr>
          <w:rFonts w:ascii="Times New Roman" w:cs="Times New Roman" w:eastAsia="Times New Roman" w:hAnsi="Times New Roman"/>
          <w:b/>
          <w:bCs/>
          <w:i/>
          <w:iCs/>
          <w:sz w:val="24"/>
          <w:szCs w:val="24"/>
        </w:rPr>
        <w:t xml:space="preserve">8.2 Control Group (Comparator)</w:t>
      </w:r>
    </w:p>
    <w:p>
      <w:pPr>
        <w:spacing w:after="120" w:line="480"/>
        <w:jc w:val="both"/>
      </w:pPr>
      <w:r>
        <w:rPr>
          <w:rFonts w:ascii="Times New Roman" w:cs="Times New Roman" w:eastAsia="Times New Roman" w:hAnsi="Times New Roman"/>
          <w:sz w:val="24"/>
          <w:szCs w:val="24"/>
        </w:rPr>
        <w:t xml:space="preserve">Participants randomised to the control arm received standard sepsis care according to prevailing institutional guidelines and the treating physician’s clinical judgement. PCT testing was not performed in this group. Decisions regarding antibiotic duration were made by the treating physician without access to PCT results from this study.</w:t>
      </w:r>
    </w:p>
    <w:p>
      <w:pPr>
        <w:spacing w:after="0"/>
      </w:pPr>
    </w:p>
    <w:p>
      <w:pPr>
        <w:spacing w:after="120" w:line="480"/>
        <w:jc w:val="both"/>
      </w:pPr>
      <w:r>
        <w:rPr>
          <w:rFonts w:ascii="Times New Roman" w:cs="Times New Roman" w:eastAsia="Times New Roman" w:hAnsi="Times New Roman"/>
          <w:sz w:val="24"/>
          <w:szCs w:val="24"/>
        </w:rPr>
        <w:t xml:space="preserve">Both groups received all other aspects of standard sepsis management, including fluid resuscitation, vasopressor support, and source control, as indicated clinically.</w:t>
      </w:r>
    </w:p>
    <w:p>
      <w:pPr>
        <w:spacing w:after="0"/>
      </w:pPr>
    </w:p>
    <w:p>
      <w:pPr>
        <w:pStyle w:val="Heading1"/>
        <w:spacing w:after="120" w:before="360"/>
      </w:pPr>
      <w:r>
        <w:rPr>
          <w:rFonts w:ascii="Times New Roman" w:cs="Times New Roman" w:eastAsia="Times New Roman" w:hAnsi="Times New Roman"/>
          <w:b/>
          <w:bCs/>
          <w:sz w:val="28"/>
          <w:szCs w:val="28"/>
        </w:rPr>
        <w:t xml:space="preserve">9. Outcomes</w:t>
      </w:r>
    </w:p>
    <w:p>
      <w:pPr>
        <w:pStyle w:val="Heading2"/>
        <w:spacing w:after="80" w:before="240"/>
      </w:pPr>
      <w:r>
        <w:rPr>
          <w:rFonts w:ascii="Times New Roman" w:cs="Times New Roman" w:eastAsia="Times New Roman" w:hAnsi="Times New Roman"/>
          <w:b/>
          <w:bCs/>
          <w:i/>
          <w:iCs/>
          <w:sz w:val="24"/>
          <w:szCs w:val="24"/>
        </w:rPr>
        <w:t xml:space="preserve">9.1 Primary Outcome</w:t>
      </w:r>
    </w:p>
    <w:p>
      <w:pPr>
        <w:spacing w:after="120" w:line="480"/>
        <w:jc w:val="both"/>
      </w:pPr>
      <w:r>
        <w:rPr>
          <w:rFonts w:ascii="Times New Roman" w:cs="Times New Roman" w:eastAsia="Times New Roman" w:hAnsi="Times New Roman"/>
          <w:sz w:val="24"/>
          <w:szCs w:val="24"/>
        </w:rPr>
        <w:t xml:space="preserve">Total duration of antibiotic therapy (in days) administered for the index sepsis episode, from initiation to cessation of the initial antibiotic course.</w:t>
      </w:r>
    </w:p>
    <w:p>
      <w:pPr>
        <w:spacing w:after="0"/>
      </w:pPr>
    </w:p>
    <w:p>
      <w:pPr>
        <w:pStyle w:val="Heading2"/>
        <w:spacing w:after="80" w:before="240"/>
      </w:pPr>
      <w:r>
        <w:rPr>
          <w:rFonts w:ascii="Times New Roman" w:cs="Times New Roman" w:eastAsia="Times New Roman" w:hAnsi="Times New Roman"/>
          <w:b/>
          <w:bCs/>
          <w:i/>
          <w:iCs/>
          <w:sz w:val="24"/>
          <w:szCs w:val="24"/>
        </w:rPr>
        <w:t xml:space="preserve">9.2 Secondary Outcomes</w:t>
      </w:r>
    </w:p>
    <w:p>
      <w:pPr>
        <w:pStyle w:val="ListParagraph"/>
        <w:numPr>
          <w:ilvl w:val="0"/>
          <w:numId w:val="2"/>
        </w:numPr>
        <w:spacing w:after="60" w:line="480"/>
      </w:pPr>
      <w:r>
        <w:rPr>
          <w:rFonts w:ascii="Times New Roman" w:cs="Times New Roman" w:eastAsia="Times New Roman" w:hAnsi="Times New Roman"/>
          <w:sz w:val="24"/>
          <w:szCs w:val="24"/>
        </w:rPr>
        <w:t xml:space="preserve">Hospital length of stay (days from admission to discharge or 28-day censoring)</w:t>
      </w:r>
    </w:p>
    <w:p>
      <w:pPr>
        <w:pStyle w:val="ListParagraph"/>
        <w:numPr>
          <w:ilvl w:val="0"/>
          <w:numId w:val="2"/>
        </w:numPr>
        <w:spacing w:after="60" w:line="480"/>
      </w:pPr>
      <w:r>
        <w:rPr>
          <w:rFonts w:ascii="Times New Roman" w:cs="Times New Roman" w:eastAsia="Times New Roman" w:hAnsi="Times New Roman"/>
          <w:sz w:val="24"/>
          <w:szCs w:val="24"/>
        </w:rPr>
        <w:t xml:space="preserve">28-day all-cause mortality</w:t>
      </w:r>
    </w:p>
    <w:p>
      <w:pPr>
        <w:pStyle w:val="ListParagraph"/>
        <w:numPr>
          <w:ilvl w:val="0"/>
          <w:numId w:val="2"/>
        </w:numPr>
        <w:spacing w:after="60" w:line="480"/>
      </w:pPr>
      <w:r>
        <w:rPr>
          <w:rFonts w:ascii="Times New Roman" w:cs="Times New Roman" w:eastAsia="Times New Roman" w:hAnsi="Times New Roman"/>
          <w:sz w:val="24"/>
          <w:szCs w:val="24"/>
        </w:rPr>
        <w:t xml:space="preserve">Incidence of secondary infection with a multidrug-resistant (MDR) pathogen within 28 days</w:t>
      </w:r>
    </w:p>
    <w:p>
      <w:pPr>
        <w:pStyle w:val="ListParagraph"/>
        <w:numPr>
          <w:ilvl w:val="0"/>
          <w:numId w:val="2"/>
        </w:numPr>
        <w:spacing w:after="60" w:line="480"/>
      </w:pPr>
      <w:r>
        <w:rPr>
          <w:rFonts w:ascii="Times New Roman" w:cs="Times New Roman" w:eastAsia="Times New Roman" w:hAnsi="Times New Roman"/>
          <w:sz w:val="24"/>
          <w:szCs w:val="24"/>
        </w:rPr>
        <w:t xml:space="preserve">Recurrence of infection with the same index pathogen</w:t>
      </w:r>
    </w:p>
    <w:p>
      <w:pPr>
        <w:pStyle w:val="ListParagraph"/>
        <w:numPr>
          <w:ilvl w:val="0"/>
          <w:numId w:val="2"/>
        </w:numPr>
        <w:spacing w:after="60" w:line="480"/>
      </w:pPr>
      <w:r>
        <w:rPr>
          <w:rFonts w:ascii="Times New Roman" w:cs="Times New Roman" w:eastAsia="Times New Roman" w:hAnsi="Times New Roman"/>
          <w:sz w:val="24"/>
          <w:szCs w:val="24"/>
        </w:rPr>
        <w:t xml:space="preserve">Incidence of Clostridioides difficile infection</w:t>
      </w:r>
    </w:p>
    <w:p>
      <w:pPr>
        <w:spacing w:after="0"/>
      </w:pPr>
    </w:p>
    <w:p>
      <w:pPr>
        <w:pStyle w:val="Heading1"/>
        <w:spacing w:after="120" w:before="360"/>
      </w:pPr>
      <w:r>
        <w:rPr>
          <w:rFonts w:ascii="Times New Roman" w:cs="Times New Roman" w:eastAsia="Times New Roman" w:hAnsi="Times New Roman"/>
          <w:b/>
          <w:bCs/>
          <w:sz w:val="28"/>
          <w:szCs w:val="28"/>
        </w:rPr>
        <w:t xml:space="preserve">10. Sample Size</w:t>
      </w:r>
    </w:p>
    <w:p>
      <w:pPr>
        <w:spacing w:after="120" w:line="480"/>
        <w:jc w:val="both"/>
      </w:pPr>
      <w:r>
        <w:rPr>
          <w:rFonts w:ascii="Times New Roman" w:cs="Times New Roman" w:eastAsia="Times New Roman" w:hAnsi="Times New Roman"/>
          <w:sz w:val="24"/>
          <w:szCs w:val="24"/>
        </w:rPr>
        <w:t xml:space="preserve">The sample size was calculated to detect a difference in mean antibiotic duration between the PCT-monitored group (estimated mean 8.6 days, SD 5 days) and the control group (estimated mean 10.7 days, SD 4 days), based on prior published data. Assuming 80% statistical power and a two-sided type I error rate of 0.05, 73 participants per group were required for the primary modified intention-to-treat analysis. Accounting for an anticipated 20% withdrawal rate, the target enrolment was set at 90 participants per group (total n=180). Sample size calculations were performed using the n4Studies Plus application (version 1.4).</w:t>
      </w:r>
    </w:p>
    <w:p>
      <w:pPr>
        <w:spacing w:after="0"/>
      </w:pPr>
    </w:p>
    <w:p>
      <w:pPr>
        <w:pStyle w:val="Heading1"/>
        <w:spacing w:after="120" w:before="360"/>
      </w:pPr>
      <w:r>
        <w:rPr>
          <w:rFonts w:ascii="Times New Roman" w:cs="Times New Roman" w:eastAsia="Times New Roman" w:hAnsi="Times New Roman"/>
          <w:b/>
          <w:bCs/>
          <w:sz w:val="28"/>
          <w:szCs w:val="28"/>
        </w:rPr>
        <w:t xml:space="preserve">11. Statistical Analysis</w:t>
      </w:r>
    </w:p>
    <w:p>
      <w:pPr>
        <w:spacing w:after="120" w:line="480"/>
        <w:jc w:val="both"/>
      </w:pPr>
      <w:r>
        <w:rPr>
          <w:rFonts w:ascii="Times New Roman" w:cs="Times New Roman" w:eastAsia="Times New Roman" w:hAnsi="Times New Roman"/>
          <w:sz w:val="24"/>
          <w:szCs w:val="24"/>
        </w:rPr>
        <w:t xml:space="preserve">Descriptive statistics are presented as counts and percentages for categorical variables, and as mean ± standard deviation (SD) or median with interquartile range (IQR) for continuous variables. The primary outcome is compared between groups with the independent t-test and the Mann–Whitney U test.</w:t>
      </w:r>
    </w:p>
    <w:p>
      <w:pPr>
        <w:spacing w:after="0"/>
      </w:pPr>
    </w:p>
    <w:p>
      <w:pPr>
        <w:spacing w:after="120" w:line="480"/>
        <w:jc w:val="both"/>
      </w:pPr>
      <w:r>
        <w:rPr>
          <w:rFonts w:ascii="Times New Roman" w:cs="Times New Roman" w:eastAsia="Times New Roman" w:hAnsi="Times New Roman"/>
          <w:sz w:val="24"/>
          <w:szCs w:val="24"/>
        </w:rPr>
        <w:t xml:space="preserve">Categorical variables were compared using the chi-square test or Fisher’s exact test. Continuous variables were compared using the independent t-test or Mann–Whitney U test as appropriate.</w:t>
      </w:r>
    </w:p>
    <w:p>
      <w:pPr>
        <w:spacing w:after="0"/>
      </w:pPr>
    </w:p>
    <w:p>
      <w:pPr>
        <w:spacing w:after="120" w:line="480"/>
        <w:jc w:val="both"/>
      </w:pPr>
      <w:r>
        <w:rPr>
          <w:rFonts w:ascii="Times New Roman" w:cs="Times New Roman" w:eastAsia="Times New Roman" w:hAnsi="Times New Roman"/>
          <w:sz w:val="24"/>
          <w:szCs w:val="24"/>
        </w:rPr>
        <w:t xml:space="preserve">Pre-specified subgroup analyses were planned for participants with septic shock and moderate-to-severe immunocompromised status. No other subgroup or regression analyses were pre-specified. All analyses were performed using Stata version 17.0 (StataCorp LLC, College Station, TX, USA). Statistical significance was set at P&lt;0.05 (two-sided). No imputation was applied; complete case analysis was used.</w:t>
      </w:r>
    </w:p>
    <w:p>
      <w:pPr>
        <w:spacing w:after="0"/>
      </w:pPr>
    </w:p>
    <w:p>
      <w:pPr>
        <w:pStyle w:val="Heading1"/>
        <w:spacing w:after="120" w:before="360"/>
      </w:pPr>
      <w:r>
        <w:rPr>
          <w:rFonts w:ascii="Times New Roman" w:cs="Times New Roman" w:eastAsia="Times New Roman" w:hAnsi="Times New Roman"/>
          <w:b/>
          <w:bCs/>
          <w:sz w:val="28"/>
          <w:szCs w:val="28"/>
        </w:rPr>
        <w:t xml:space="preserve">12. Ethics</w:t>
      </w:r>
    </w:p>
    <w:p>
      <w:pPr>
        <w:spacing w:after="120" w:line="480"/>
        <w:jc w:val="both"/>
      </w:pPr>
      <w:r>
        <w:rPr>
          <w:rFonts w:ascii="Times New Roman" w:cs="Times New Roman" w:eastAsia="Times New Roman" w:hAnsi="Times New Roman"/>
          <w:sz w:val="24"/>
          <w:szCs w:val="24"/>
        </w:rPr>
        <w:t xml:space="preserve">The study was approved by the Institutional Review Board of Bhumibol Adulyadej Hospital, Royal Thai Air Force (approval no. 97/67, granted 31 October 2024). Written informed consent was obtained from all participants or their legally authorised representatives prior to enrolment. The trial was prospectively registered with the Thai Clinical Trial Registry (TCTR20250216013) on 16 February 2025. The study was conducted in accordance with the Declaration of Helsinki and applicable local regulations.</w:t>
      </w:r>
    </w:p>
    <w:p>
      <w:pPr>
        <w:spacing w:after="0"/>
      </w:pPr>
    </w:p>
    <w:p>
      <w:pPr>
        <w:pStyle w:val="Heading1"/>
        <w:spacing w:after="120" w:before="360"/>
      </w:pPr>
      <w:r>
        <w:rPr>
          <w:rFonts w:ascii="Times New Roman" w:cs="Times New Roman" w:eastAsia="Times New Roman" w:hAnsi="Times New Roman"/>
          <w:b/>
          <w:bCs/>
          <w:sz w:val="28"/>
          <w:szCs w:val="28"/>
        </w:rPr>
        <w:t xml:space="preserve">13. Data Collection</w:t>
      </w:r>
    </w:p>
    <w:p>
      <w:pPr>
        <w:spacing w:after="120" w:line="480"/>
        <w:jc w:val="both"/>
      </w:pPr>
      <w:r>
        <w:rPr>
          <w:rFonts w:ascii="Times New Roman" w:cs="Times New Roman" w:eastAsia="Times New Roman" w:hAnsi="Times New Roman"/>
          <w:sz w:val="24"/>
          <w:szCs w:val="24"/>
        </w:rPr>
        <w:t xml:space="preserve">Baseline demographic information, comorbidities, vital signs, laboratory findings (including WBC, haematocrit, creatinine, lactate, and SIRS criteria), infection source, culture results, and type of respiratory or vasopressor support were recorded at enrolment. Clinical outcomes were tracked through hospital discharge or up to 28 days from enrolment. PCT values on days 0, 2, and 5 were recorded for participants in the intervention group. Data were entered by the investigators and cross-checked for completeness.</w:t>
      </w:r>
    </w:p>
    <w:p>
      <w:pPr>
        <w:spacing w:after="0"/>
      </w:pPr>
    </w:p>
    <w:p>
      <w:pPr>
        <w:pStyle w:val="Heading1"/>
        <w:spacing w:after="120" w:before="360"/>
      </w:pPr>
      <w:r>
        <w:rPr>
          <w:rFonts w:ascii="Times New Roman" w:cs="Times New Roman" w:eastAsia="Times New Roman" w:hAnsi="Times New Roman"/>
          <w:b/>
          <w:bCs/>
          <w:sz w:val="28"/>
          <w:szCs w:val="28"/>
        </w:rPr>
        <w:t xml:space="preserve">14. Informed Consent</w:t>
      </w:r>
    </w:p>
    <w:p>
      <w:pPr>
        <w:spacing w:after="120" w:line="480"/>
        <w:jc w:val="both"/>
      </w:pPr>
      <w:r>
        <w:rPr>
          <w:rFonts w:ascii="Times New Roman" w:cs="Times New Roman" w:eastAsia="Times New Roman" w:hAnsi="Times New Roman"/>
          <w:sz w:val="24"/>
          <w:szCs w:val="24"/>
        </w:rPr>
        <w:t xml:space="preserve">Written informed consent was obtained from all participants or their legally authorised representatives prior to randomisation. Patients unable to provide consent at enrolment due to altered consciousness or critical illness were enrolled with proxy consent from a legally authorised representative; direct patient consent was sought as soon as capacity was regained.</w:t>
      </w:r>
    </w:p>
    <w:p>
      <w:pPr>
        <w:spacing w:after="0"/>
      </w:pPr>
    </w:p>
    <w:p>
      <w:pPr>
        <w:pStyle w:val="Heading1"/>
        <w:spacing w:after="120" w:before="360"/>
      </w:pPr>
      <w:r>
        <w:rPr>
          <w:rFonts w:ascii="Times New Roman" w:cs="Times New Roman" w:eastAsia="Times New Roman" w:hAnsi="Times New Roman"/>
          <w:b/>
          <w:bCs/>
          <w:sz w:val="28"/>
          <w:szCs w:val="28"/>
        </w:rPr>
        <w:t xml:space="preserve">15. Trial Monitoring</w:t>
      </w:r>
    </w:p>
    <w:p>
      <w:pPr>
        <w:spacing w:after="120" w:line="480"/>
        <w:jc w:val="both"/>
      </w:pPr>
      <w:r>
        <w:rPr>
          <w:rFonts w:ascii="Times New Roman" w:cs="Times New Roman" w:eastAsia="Times New Roman" w:hAnsi="Times New Roman"/>
          <w:sz w:val="24"/>
          <w:szCs w:val="24"/>
        </w:rPr>
        <w:t xml:space="preserve">This investigator-initiated trial did not have an independent data monitoring committee, given its pragmatic design, the established safety profile of PCT-guided antibiotic de-escalation from prior trials, and the absence of an experimental treatment arm (both groups received standard sepsis care; the intervention group additionally had PCT measured). Study investigators reviewed enrolment and withdrawal data on an ongoing basis throughout the trial period.</w:t>
      </w:r>
    </w:p>
    <w:p>
      <w:pPr>
        <w:spacing w:after="0"/>
      </w:pPr>
    </w:p>
    <w:p>
      <w:pPr>
        <w:pStyle w:val="Heading1"/>
        <w:spacing w:after="120" w:before="360"/>
      </w:pPr>
      <w:r>
        <w:rPr>
          <w:rFonts w:ascii="Times New Roman" w:cs="Times New Roman" w:eastAsia="Times New Roman" w:hAnsi="Times New Roman"/>
          <w:b/>
          <w:bCs/>
          <w:sz w:val="28"/>
          <w:szCs w:val="28"/>
        </w:rPr>
        <w:t xml:space="preserve">16. Dissemination Policy</w:t>
      </w:r>
    </w:p>
    <w:p>
      <w:pPr>
        <w:spacing w:after="120" w:line="480"/>
        <w:jc w:val="both"/>
      </w:pPr>
      <w:r>
        <w:rPr>
          <w:rFonts w:ascii="Times New Roman" w:cs="Times New Roman" w:eastAsia="Times New Roman" w:hAnsi="Times New Roman"/>
          <w:sz w:val="24"/>
          <w:szCs w:val="24"/>
        </w:rPr>
        <w:t xml:space="preserve">The results of this trial will be disseminated through peer-reviewed publication. Both investigators meet the ICMJE authorship criteria. There are no contractual restrictions on publication imposed by funders.</w:t>
      </w:r>
    </w:p>
    <w:p>
      <w:pPr>
        <w:spacing w:after="0"/>
      </w:pPr>
    </w:p>
    <w:p>
      <w:pPr>
        <w:pStyle w:val="Heading1"/>
        <w:spacing w:after="120" w:before="360"/>
      </w:pPr>
      <w:r>
        <w:rPr>
          <w:rFonts w:ascii="Times New Roman" w:cs="Times New Roman" w:eastAsia="Times New Roman" w:hAnsi="Times New Roman"/>
          <w:b/>
          <w:bCs/>
          <w:sz w:val="28"/>
          <w:szCs w:val="28"/>
        </w:rPr>
        <w:t xml:space="preserve">17. Protocol History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7200"/>
      </w:tblGrid>
      <w:tr>
        <w:tc>
          <w:tcPr>
            <w:tcW w:type="dxa" w:w="2160"/>
            <w:tcBorders>
              <w:top w:val="single" w:color="AAAAAA" w:sz="4"/>
              <w:left w:val="single" w:color="AAAAAA" w:sz="4"/>
              <w:bottom w:val="single" w:color="AAAAAA" w:sz="4"/>
              <w:right w:val="single" w:color="AAAAAA" w:sz="4"/>
            </w:tcBorders>
            <w:shd w:fill="F5F5F5" w:val="clear"/>
            <w:tcMar>
              <w:top w:type="dxa" w:w="80"/>
              <w:left w:type="dxa" w:w="120"/>
              <w:bottom w:type="dxa" w:w="80"/>
              <w:right w:type="dxa" w:w="120"/>
            </w:tcMar>
          </w:tcPr>
          <w:p>
            <w:r>
              <w:rPr>
                <w:rFonts w:ascii="Times New Roman" w:cs="Times New Roman" w:eastAsia="Times New Roman" w:hAnsi="Times New Roman"/>
                <w:b/>
                <w:bCs/>
                <w:sz w:val="22"/>
                <w:szCs w:val="22"/>
              </w:rPr>
              <w:t xml:space="preserve">Version</w:t>
            </w:r>
          </w:p>
        </w:tc>
        <w:tc>
          <w:tcPr>
            <w:tcW w:type="dxa" w:w="7200"/>
            <w:tcBorders>
              <w:top w:val="single" w:color="AAAAAA" w:sz="4"/>
              <w:left w:val="single" w:color="AAAAAA" w:sz="4"/>
              <w:bottom w:val="single" w:color="AAAAAA" w:sz="4"/>
              <w:right w:val="single" w:color="AAAAAA" w:sz="4"/>
            </w:tcBorders>
            <w:shd w:fill="F5F5F5" w:val="clear"/>
            <w:tcMar>
              <w:top w:type="dxa" w:w="80"/>
              <w:left w:type="dxa" w:w="120"/>
              <w:bottom w:type="dxa" w:w="80"/>
              <w:right w:type="dxa" w:w="120"/>
            </w:tcMar>
          </w:tcPr>
          <w:p>
            <w:r>
              <w:rPr>
                <w:rFonts w:ascii="Times New Roman" w:cs="Times New Roman" w:eastAsia="Times New Roman" w:hAnsi="Times New Roman"/>
                <w:b/>
                <w:bCs/>
                <w:sz w:val="22"/>
                <w:szCs w:val="22"/>
              </w:rPr>
              <w:t xml:space="preserve">Description</w:t>
            </w:r>
          </w:p>
        </w:tc>
      </w:tr>
      <w:tr>
        <w:tc>
          <w:tcPr>
            <w:tcW w:type="dxa" w:w="2160"/>
            <w:tcBorders>
              <w:top w:val="single" w:color="AAAAAA" w:sz="4"/>
              <w:left w:val="single" w:color="AAAAAA" w:sz="4"/>
              <w:bottom w:val="single" w:color="AAAAAA" w:sz="4"/>
              <w:right w:val="single" w:color="AAAAAA" w:sz="4"/>
            </w:tcBorders>
            <w:tcMar>
              <w:top w:type="dxa" w:w="80"/>
              <w:left w:type="dxa" w:w="120"/>
              <w:bottom w:type="dxa" w:w="80"/>
              <w:right w:type="dxa" w:w="120"/>
            </w:tcMar>
          </w:tcPr>
          <w:p>
            <w:r>
              <w:rPr>
                <w:rFonts w:ascii="Times New Roman" w:cs="Times New Roman" w:eastAsia="Times New Roman" w:hAnsi="Times New Roman"/>
                <w:sz w:val="22"/>
                <w:szCs w:val="22"/>
              </w:rPr>
              <w:t xml:space="preserve">1.0 (16 Feb 2025)</w:t>
            </w:r>
          </w:p>
        </w:tc>
        <w:tc>
          <w:tcPr>
            <w:tcW w:type="dxa" w:w="7200"/>
            <w:tcBorders>
              <w:top w:val="single" w:color="AAAAAA" w:sz="4"/>
              <w:left w:val="single" w:color="AAAAAA" w:sz="4"/>
              <w:bottom w:val="single" w:color="AAAAAA" w:sz="4"/>
              <w:right w:val="single" w:color="AAAAAA" w:sz="4"/>
            </w:tcBorders>
            <w:tcMar>
              <w:top w:type="dxa" w:w="80"/>
              <w:left w:type="dxa" w:w="120"/>
              <w:bottom w:type="dxa" w:w="80"/>
              <w:right w:type="dxa" w:w="120"/>
            </w:tcMar>
          </w:tcPr>
          <w:p>
            <w:r>
              <w:rPr>
                <w:rFonts w:ascii="Times New Roman" w:cs="Times New Roman" w:eastAsia="Times New Roman" w:hAnsi="Times New Roman"/>
                <w:sz w:val="22"/>
                <w:szCs w:val="22"/>
              </w:rPr>
              <w:t xml:space="preserve">Original protocol, prospectively registered prior to participant enrolment</w:t>
            </w:r>
          </w:p>
        </w:tc>
      </w:tr>
    </w:tbl>
    <w:p>
      <w:pPr>
        <w:spacing w:after="0"/>
      </w:pPr>
    </w:p>
    <w:p>
      <w:pPr>
        <w:pStyle w:val="Heading1"/>
        <w:spacing w:after="120" w:before="360"/>
      </w:pPr>
      <w:r>
        <w:rPr>
          <w:rFonts w:ascii="Times New Roman" w:cs="Times New Roman" w:eastAsia="Times New Roman" w:hAnsi="Times New Roman"/>
          <w:b/>
          <w:bCs/>
          <w:sz w:val="28"/>
          <w:szCs w:val="28"/>
        </w:rPr>
        <w:t xml:space="preserve">18. Investigator Signatures</w:t>
      </w:r>
    </w:p>
    <w:p>
      <w:pPr>
        <w:spacing w:after="120" w:line="480"/>
        <w:jc w:val="both"/>
      </w:pPr>
      <w:r>
        <w:rPr>
          <w:rFonts w:ascii="Times New Roman" w:cs="Times New Roman" w:eastAsia="Times New Roman" w:hAnsi="Times New Roman"/>
          <w:sz w:val="24"/>
          <w:szCs w:val="24"/>
        </w:rPr>
        <w:t xml:space="preserve">By registering this trial with the Thai Clinical Trial Registry (TCTR20250216013) on 16 February 2025, the investigators confirm that this protocol accurately describes the study as designed and conducted.</w:t>
      </w:r>
    </w:p>
    <w:p>
      <w:pPr>
        <w:spacing w:after="0"/>
      </w:pPr>
    </w:p>
    <w:p>
      <w:pPr>
        <w:spacing w:after="0"/>
      </w:pPr>
    </w:p>
    <w:p>
      <w:pPr>
        <w:spacing w:after="120" w:line="480"/>
        <w:jc w:val="both"/>
      </w:pPr>
      <w:r>
        <w:rPr>
          <w:rFonts w:ascii="Times New Roman" w:cs="Times New Roman" w:eastAsia="Times New Roman" w:hAnsi="Times New Roman"/>
          <w:sz w:val="24"/>
          <w:szCs w:val="24"/>
        </w:rPr>
        <w:t xml:space="preserve">Thien Meensuk, MD (Principal Investigator)</w:t>
      </w:r>
    </w:p>
    <w:p>
      <w:pPr>
        <w:spacing w:after="120" w:line="480"/>
        <w:jc w:val="both"/>
      </w:pPr>
      <w:r>
        <w:rPr>
          <w:rFonts w:ascii="Times New Roman" w:cs="Times New Roman" w:eastAsia="Times New Roman" w:hAnsi="Times New Roman"/>
          <w:sz w:val="24"/>
          <w:szCs w:val="24"/>
        </w:rPr>
        <w:t xml:space="preserve">Date: 16 February 2025</w:t>
      </w:r>
    </w:p>
    <w:p>
      <w:pPr>
        <w:spacing w:after="0"/>
      </w:pPr>
    </w:p>
    <w:p>
      <w:pPr>
        <w:spacing w:after="120" w:line="480"/>
        <w:jc w:val="both"/>
      </w:pPr>
      <w:r>
        <w:rPr>
          <w:rFonts w:ascii="Times New Roman" w:cs="Times New Roman" w:eastAsia="Times New Roman" w:hAnsi="Times New Roman"/>
          <w:sz w:val="24"/>
          <w:szCs w:val="24"/>
        </w:rPr>
        <w:t xml:space="preserve">Natthakit Chavapradit, MD (Co-investigator)</w:t>
      </w:r>
    </w:p>
    <w:p>
      <w:pPr>
        <w:spacing w:after="120" w:line="480"/>
        <w:jc w:val="both"/>
      </w:pPr>
      <w:r>
        <w:rPr>
          <w:rFonts w:ascii="Times New Roman" w:cs="Times New Roman" w:eastAsia="Times New Roman" w:hAnsi="Times New Roman"/>
          <w:sz w:val="24"/>
          <w:szCs w:val="24"/>
        </w:rPr>
        <w:t xml:space="preserve">Date: 16 February 2025</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2026-07-01T01:29:08.914Z</dcterms:created>
  <dcterms:modified xsi:type="dcterms:W3CDTF">2026-07-01T01:29:08.927Z</dcterms:modified>
</cp:coreProperties>
</file>

<file path=docProps/custom.xml><?xml version="1.0" encoding="utf-8"?>
<Properties xmlns="http://schemas.openxmlformats.org/officeDocument/2006/custom-properties" xmlns:vt="http://schemas.openxmlformats.org/officeDocument/2006/docPropsVTypes"/>
</file>