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-1134" w:type="dxa"/>
        <w:tblLook w:val="04A0" w:firstRow="1" w:lastRow="0" w:firstColumn="1" w:lastColumn="0" w:noHBand="0" w:noVBand="1"/>
      </w:tblPr>
      <w:tblGrid>
        <w:gridCol w:w="3686"/>
        <w:gridCol w:w="1843"/>
        <w:gridCol w:w="1701"/>
        <w:gridCol w:w="1275"/>
        <w:gridCol w:w="1701"/>
      </w:tblGrid>
      <w:tr w:rsidR="006C6798" w:rsidRPr="006C6798" w14:paraId="38C1BA2A" w14:textId="77777777" w:rsidTr="006C6798">
        <w:trPr>
          <w:trHeight w:val="276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50948" w14:textId="77777777" w:rsidR="006C6798" w:rsidRPr="006C6798" w:rsidRDefault="006C6798" w:rsidP="006C6798">
            <w:pPr>
              <w:spacing w:afterLines="0" w:after="312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Supplementary Table S1. Inter-rater reliability of assessment instruments and item-level ratings</w:t>
            </w:r>
          </w:p>
        </w:tc>
      </w:tr>
      <w:tr w:rsidR="006C6798" w:rsidRPr="006C6798" w14:paraId="06E3D89E" w14:textId="77777777" w:rsidTr="006C6798">
        <w:trPr>
          <w:trHeight w:val="528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0FC122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Assessment instrument / item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713A6D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Reliability statistic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DB31DA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Estimate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145242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A4948E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Exact agreement</w:t>
            </w:r>
          </w:p>
        </w:tc>
      </w:tr>
      <w:tr w:rsidR="006C6798" w:rsidRPr="006C6798" w14:paraId="236F6D28" w14:textId="77777777" w:rsidTr="006C6798">
        <w:trPr>
          <w:trHeight w:val="276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vAlign w:val="center"/>
            <w:hideMark/>
          </w:tcPr>
          <w:p w14:paraId="6DF9CE62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A. Scale-level reliability</w:t>
            </w:r>
          </w:p>
        </w:tc>
      </w:tr>
      <w:tr w:rsidR="006C6798" w:rsidRPr="006C6798" w14:paraId="4D960C5C" w14:textId="77777777" w:rsidTr="006C6798">
        <w:trPr>
          <w:trHeight w:val="27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BB4C36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GQS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675B55" w14:textId="14E45416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ICC</w:t>
            </w: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(2,1)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2789B2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0.905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DA45E2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0.875–0.930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B7CF3C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76.00%</w:t>
            </w:r>
          </w:p>
        </w:tc>
      </w:tr>
      <w:tr w:rsidR="006C6798" w:rsidRPr="006C6798" w14:paraId="21AAC5B8" w14:textId="77777777" w:rsidTr="006C6798">
        <w:trPr>
          <w:trHeight w:val="27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64FDEA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DISCERN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6DC158" w14:textId="167A9A79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ICC</w:t>
            </w: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(2,1)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9EFD73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0.935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6DEC42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0.924–0.945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0D84C2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22.70%</w:t>
            </w:r>
          </w:p>
        </w:tc>
      </w:tr>
      <w:tr w:rsidR="006C6798" w:rsidRPr="006C6798" w14:paraId="58B2D05F" w14:textId="77777777" w:rsidTr="006C6798">
        <w:trPr>
          <w:trHeight w:val="27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6FE303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PEMAT–Understandability (PEMAT-U)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64AFEC" w14:textId="7884DC8F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ICC</w:t>
            </w: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(2,1)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BDD5AA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0.835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BAA802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0.798–0.865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CC38FA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50.30%</w:t>
            </w:r>
          </w:p>
        </w:tc>
      </w:tr>
      <w:tr w:rsidR="006C6798" w:rsidRPr="006C6798" w14:paraId="6377E584" w14:textId="77777777" w:rsidTr="006C6798">
        <w:trPr>
          <w:trHeight w:val="27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F0A899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PEMAT–Actionability (PEMAT-A)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80D87D" w14:textId="1C0E5A8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ICC</w:t>
            </w: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(2,1)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FE0442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0.912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F63170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0.884–0.935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D3913F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77.30%</w:t>
            </w:r>
          </w:p>
        </w:tc>
      </w:tr>
      <w:tr w:rsidR="006C6798" w:rsidRPr="006C6798" w14:paraId="72C0F3E0" w14:textId="77777777" w:rsidTr="006C6798">
        <w:trPr>
          <w:trHeight w:val="27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ACEBAC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Content Coverage Score (0–8 total)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D9DC7B" w14:textId="6DB3BB31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ICC</w:t>
            </w: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(2,1)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EC40F6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0.873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84F4E3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0.840–0.900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B361EF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47.70%</w:t>
            </w:r>
          </w:p>
        </w:tc>
      </w:tr>
      <w:tr w:rsidR="006C6798" w:rsidRPr="006C6798" w14:paraId="6925CE68" w14:textId="77777777" w:rsidTr="006C6798">
        <w:trPr>
          <w:trHeight w:val="27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58C17F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041F58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3356B3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91E1CD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9047F7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C6798" w:rsidRPr="006C6798" w14:paraId="59AE944A" w14:textId="77777777" w:rsidTr="006C6798">
        <w:trPr>
          <w:trHeight w:val="276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vAlign w:val="center"/>
            <w:hideMark/>
          </w:tcPr>
          <w:p w14:paraId="6A6C5966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B. Binary item-level reliability</w:t>
            </w:r>
          </w:p>
        </w:tc>
      </w:tr>
      <w:tr w:rsidR="006C6798" w:rsidRPr="006C6798" w14:paraId="2CF84826" w14:textId="77777777" w:rsidTr="006C6798">
        <w:trPr>
          <w:trHeight w:val="27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7BCCDA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JAMA – Authorship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6E853D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Cohen’s 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FA37EC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0.902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402C81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0.849–0.949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F82D8C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95.30%</w:t>
            </w:r>
          </w:p>
        </w:tc>
      </w:tr>
      <w:tr w:rsidR="006C6798" w:rsidRPr="006C6798" w14:paraId="4ECCE540" w14:textId="77777777" w:rsidTr="006C6798">
        <w:trPr>
          <w:trHeight w:val="27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F4B00C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JAMA – Attribution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1298D3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Cohen’s 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7D8FAC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0.939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FD9C17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0.896–0.973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59F9B2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97.00%</w:t>
            </w:r>
          </w:p>
        </w:tc>
      </w:tr>
      <w:tr w:rsidR="006C6798" w:rsidRPr="006C6798" w14:paraId="152279F9" w14:textId="77777777" w:rsidTr="006C6798">
        <w:trPr>
          <w:trHeight w:val="27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839BF2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JAMA – Disclosure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0268A2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Cohen’s 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74E0E7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0.949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E4AD6D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0.910–0.985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DDE839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97.70%</w:t>
            </w:r>
          </w:p>
        </w:tc>
      </w:tr>
      <w:tr w:rsidR="006C6798" w:rsidRPr="006C6798" w14:paraId="156CF9A9" w14:textId="77777777" w:rsidTr="006C6798">
        <w:trPr>
          <w:trHeight w:val="27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ADFFD3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JAMA – Currency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3C2E99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Cohen’s 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D48177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0.949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77A2EC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0.909–0.985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B218C4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97.70%</w:t>
            </w:r>
          </w:p>
        </w:tc>
      </w:tr>
      <w:tr w:rsidR="006C6798" w:rsidRPr="006C6798" w14:paraId="1058D416" w14:textId="77777777" w:rsidTr="006C6798">
        <w:trPr>
          <w:trHeight w:val="27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B295CC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Content Coverage – Definition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297EF0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Cohen’s 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F79023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0.773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61451E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0.699–0.840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A53E6D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88.70%</w:t>
            </w:r>
          </w:p>
        </w:tc>
      </w:tr>
      <w:tr w:rsidR="006C6798" w:rsidRPr="006C6798" w14:paraId="7F3EBF5A" w14:textId="77777777" w:rsidTr="006C6798">
        <w:trPr>
          <w:trHeight w:val="27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CD0677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Content Coverage – Etiology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7DDF17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Cohen’s 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E469B9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0.722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B8950E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0.636–0.801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3B126E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87.30%</w:t>
            </w:r>
          </w:p>
        </w:tc>
      </w:tr>
      <w:tr w:rsidR="006C6798" w:rsidRPr="006C6798" w14:paraId="28D927A0" w14:textId="77777777" w:rsidTr="006C6798">
        <w:trPr>
          <w:trHeight w:val="27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3FE525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Content Coverage – Risk factors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468340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Cohen’s 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25FAAD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0.803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0EA32E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0.729–0.870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96D795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91.30%</w:t>
            </w:r>
          </w:p>
        </w:tc>
      </w:tr>
      <w:tr w:rsidR="006C6798" w:rsidRPr="006C6798" w14:paraId="3863ED7E" w14:textId="77777777" w:rsidTr="006C6798">
        <w:trPr>
          <w:trHeight w:val="27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D1FD51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Content Coverage – Core symptoms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EFDE3F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Cohen’s 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2DFE36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0.760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7E4A0A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0.678–0.837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EB352D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90.00%</w:t>
            </w:r>
          </w:p>
        </w:tc>
      </w:tr>
      <w:tr w:rsidR="006C6798" w:rsidRPr="006C6798" w14:paraId="4656CE02" w14:textId="77777777" w:rsidTr="006C6798">
        <w:trPr>
          <w:trHeight w:val="27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9AD536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Content Coverage – Assessment methods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F25BAD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Cohen’s 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B3B46C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0.734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1D4C08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0.648–0.815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FA9C9B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89.00%</w:t>
            </w:r>
          </w:p>
        </w:tc>
      </w:tr>
      <w:tr w:rsidR="006C6798" w:rsidRPr="006C6798" w14:paraId="14278889" w14:textId="77777777" w:rsidTr="006C6798">
        <w:trPr>
          <w:trHeight w:val="27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2A0B8E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Content Coverage – Treatment approaches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09FE7B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Cohen’s 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74A1DC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0.766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721AFC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0.689–0.834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8219E0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88.30%</w:t>
            </w:r>
          </w:p>
        </w:tc>
      </w:tr>
      <w:tr w:rsidR="006C6798" w:rsidRPr="006C6798" w14:paraId="0A6D8EC4" w14:textId="77777777" w:rsidTr="006C6798">
        <w:trPr>
          <w:trHeight w:val="27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ADA14C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Content Coverage – Prevention strategies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11BCEB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Cohen’s 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897B2E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0.791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477E90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0.717–0.859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CF0E8B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89.70%</w:t>
            </w:r>
          </w:p>
        </w:tc>
      </w:tr>
      <w:tr w:rsidR="006C6798" w:rsidRPr="006C6798" w14:paraId="25CA6636" w14:textId="77777777" w:rsidTr="006C6798">
        <w:trPr>
          <w:trHeight w:val="276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0AA562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Content Coverage – Adverse consequences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777293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Cohen’s 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73404D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0.553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76AE15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0.401–0.684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010285" w14:textId="77777777" w:rsidR="006C6798" w:rsidRPr="006C6798" w:rsidRDefault="006C6798" w:rsidP="006C6798">
            <w:pPr>
              <w:spacing w:afterLines="0" w:after="0"/>
              <w:jc w:val="center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90.00%</w:t>
            </w:r>
          </w:p>
        </w:tc>
      </w:tr>
      <w:tr w:rsidR="006C6798" w:rsidRPr="006C6798" w14:paraId="3B2BFD10" w14:textId="77777777" w:rsidTr="006C6798">
        <w:trPr>
          <w:trHeight w:val="276"/>
        </w:trPr>
        <w:tc>
          <w:tcPr>
            <w:tcW w:w="1020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FDA71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ICC = intraclass correlation coefficient; CI = confidence interval; GQS = Global Quality Scale; PEMAT = Patient Education Materials Assessment Tool for Audiovisual Materials; JAMA = Journal of the American Medical Association benchmark criteria.</w:t>
            </w:r>
          </w:p>
        </w:tc>
      </w:tr>
      <w:tr w:rsidR="006C6798" w:rsidRPr="006C6798" w14:paraId="65ACDCB7" w14:textId="77777777" w:rsidTr="006C6798">
        <w:trPr>
          <w:trHeight w:val="276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82AC0" w14:textId="232131F3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Scale-level reliability was assessed using a two-way random-effects model with absolute agreement and single-measure ICC [ICC</w:t>
            </w:r>
            <w:r>
              <w:rPr>
                <w:rFonts w:eastAsia="等线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(2,1)]. Binary item-level reliability was assessed using Cohen’s κ.</w:t>
            </w:r>
          </w:p>
        </w:tc>
      </w:tr>
      <w:tr w:rsidR="006C6798" w:rsidRPr="006C6798" w14:paraId="0FE6448B" w14:textId="77777777" w:rsidTr="006C6798">
        <w:trPr>
          <w:trHeight w:val="276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C57EF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The 95% CIs were estimated using percentile bootstrap resampling (10,000 iterations). Exact agreement represents the percentage of videos receiving identical ratings from both reviewers.</w:t>
            </w:r>
          </w:p>
        </w:tc>
      </w:tr>
      <w:tr w:rsidR="006C6798" w:rsidRPr="006C6798" w14:paraId="28C58CFE" w14:textId="77777777" w:rsidTr="006C6798">
        <w:trPr>
          <w:trHeight w:val="276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03E5F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 xml:space="preserve">The analysis included 300 videos (Douyin, n = 109; </w:t>
            </w:r>
            <w:proofErr w:type="spellStart"/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Bilibili</w:t>
            </w:r>
            <w:proofErr w:type="spellEnd"/>
            <w:r w:rsidRPr="006C6798">
              <w:rPr>
                <w:rFonts w:eastAsia="等线" w:cs="Times New Roman"/>
                <w:color w:val="000000"/>
                <w:kern w:val="0"/>
                <w:sz w:val="20"/>
                <w:szCs w:val="20"/>
              </w:rPr>
              <w:t>, n = 191).</w:t>
            </w:r>
          </w:p>
        </w:tc>
      </w:tr>
      <w:tr w:rsidR="006C6798" w:rsidRPr="006C6798" w14:paraId="582DF5F3" w14:textId="77777777" w:rsidTr="006C6798">
        <w:trPr>
          <w:trHeight w:val="276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EB4E1" w14:textId="77777777" w:rsidR="006C6798" w:rsidRPr="006C6798" w:rsidRDefault="006C6798" w:rsidP="006C6798">
            <w:pPr>
              <w:spacing w:afterLines="0" w:after="0"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6C6798">
              <w:rPr>
                <w:rFonts w:eastAsia="等线" w:cs="Times New Roman"/>
                <w:i/>
                <w:iCs/>
                <w:color w:val="000000"/>
                <w:kern w:val="0"/>
                <w:sz w:val="20"/>
                <w:szCs w:val="20"/>
              </w:rPr>
              <w:t>Note: The lower κ for the adverse-consequences domain should be interpreted together with its 90.0% exact agreement, because κ can be reduced when one response category is highly prevalent.</w:t>
            </w:r>
          </w:p>
        </w:tc>
      </w:tr>
    </w:tbl>
    <w:p w14:paraId="0F5AC9BE" w14:textId="59A56182" w:rsidR="00C34A7C" w:rsidRPr="006C6798" w:rsidRDefault="00C34A7C" w:rsidP="00EF2C77">
      <w:pPr>
        <w:spacing w:after="312"/>
      </w:pPr>
    </w:p>
    <w:sectPr w:rsidR="00C34A7C" w:rsidRPr="006C67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01CA3" w14:textId="77777777" w:rsidR="002C4DDF" w:rsidRDefault="002C4DDF" w:rsidP="004B05FD">
      <w:pPr>
        <w:spacing w:after="240"/>
      </w:pPr>
      <w:r>
        <w:separator/>
      </w:r>
    </w:p>
  </w:endnote>
  <w:endnote w:type="continuationSeparator" w:id="0">
    <w:p w14:paraId="7A2D79B7" w14:textId="77777777" w:rsidR="002C4DDF" w:rsidRDefault="002C4DDF" w:rsidP="004B05FD">
      <w:pPr>
        <w:spacing w:after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44EC3" w14:textId="77777777" w:rsidR="004B05FD" w:rsidRDefault="004B05FD">
    <w:pPr>
      <w:pStyle w:val="af0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5EE2D" w14:textId="77777777" w:rsidR="004B05FD" w:rsidRDefault="004B05FD">
    <w:pPr>
      <w:pStyle w:val="af0"/>
      <w:spacing w:after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80906" w14:textId="77777777" w:rsidR="004B05FD" w:rsidRDefault="004B05FD">
    <w:pPr>
      <w:pStyle w:val="af0"/>
      <w:spacing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C8D46" w14:textId="77777777" w:rsidR="002C4DDF" w:rsidRDefault="002C4DDF" w:rsidP="004B05FD">
      <w:pPr>
        <w:spacing w:after="240"/>
      </w:pPr>
      <w:r>
        <w:separator/>
      </w:r>
    </w:p>
  </w:footnote>
  <w:footnote w:type="continuationSeparator" w:id="0">
    <w:p w14:paraId="42C99E0A" w14:textId="77777777" w:rsidR="002C4DDF" w:rsidRDefault="002C4DDF" w:rsidP="004B05FD">
      <w:pPr>
        <w:spacing w:after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DB550" w14:textId="77777777" w:rsidR="004B05FD" w:rsidRDefault="004B05FD">
    <w:pPr>
      <w:pStyle w:val="ae"/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10843" w14:textId="77777777" w:rsidR="004B05FD" w:rsidRDefault="004B05FD">
    <w:pPr>
      <w:pStyle w:val="ae"/>
      <w:spacing w:after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C14F9" w14:textId="77777777" w:rsidR="004B05FD" w:rsidRDefault="004B05FD">
    <w:pPr>
      <w:pStyle w:val="ae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90FF7"/>
    <w:multiLevelType w:val="hybridMultilevel"/>
    <w:tmpl w:val="A6BE76BA"/>
    <w:lvl w:ilvl="0" w:tplc="E754375C">
      <w:start w:val="1"/>
      <w:numFmt w:val="decimal"/>
      <w:pStyle w:val="1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63251936">
    <w:abstractNumId w:val="0"/>
  </w:num>
  <w:num w:numId="2" w16cid:durableId="246505928">
    <w:abstractNumId w:val="0"/>
  </w:num>
  <w:num w:numId="3" w16cid:durableId="1191066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194"/>
    <w:rsid w:val="000813C0"/>
    <w:rsid w:val="000E2E39"/>
    <w:rsid w:val="001B3BF2"/>
    <w:rsid w:val="002A0238"/>
    <w:rsid w:val="002C1899"/>
    <w:rsid w:val="002C4DDF"/>
    <w:rsid w:val="002C77CD"/>
    <w:rsid w:val="004A32E3"/>
    <w:rsid w:val="004B05FD"/>
    <w:rsid w:val="00515D87"/>
    <w:rsid w:val="006260EF"/>
    <w:rsid w:val="006C6798"/>
    <w:rsid w:val="007060F7"/>
    <w:rsid w:val="00756857"/>
    <w:rsid w:val="00784C42"/>
    <w:rsid w:val="00B0293B"/>
    <w:rsid w:val="00C15FA0"/>
    <w:rsid w:val="00C34A7C"/>
    <w:rsid w:val="00EA16F4"/>
    <w:rsid w:val="00EF2C77"/>
    <w:rsid w:val="00F9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1C544A"/>
  <w15:chartTrackingRefBased/>
  <w15:docId w15:val="{5BED0E7B-E2E6-4E05-8A69-A179B1AD6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宋体" w:hAnsi="Times New Roman" w:cstheme="minorBidi"/>
        <w:kern w:val="2"/>
        <w:sz w:val="28"/>
        <w:szCs w:val="22"/>
        <w:lang w:val="en-US" w:eastAsia="zh-CN" w:bidi="ar-SA"/>
      </w:rPr>
    </w:rPrDefault>
    <w:pPrDefault>
      <w:pPr>
        <w:spacing w:afterLines="100" w:after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0F7"/>
  </w:style>
  <w:style w:type="paragraph" w:styleId="10">
    <w:name w:val="heading 1"/>
    <w:basedOn w:val="a"/>
    <w:next w:val="a"/>
    <w:link w:val="11"/>
    <w:uiPriority w:val="9"/>
    <w:qFormat/>
    <w:rsid w:val="007060F7"/>
    <w:pPr>
      <w:keepNext/>
      <w:keepLines/>
      <w:spacing w:before="480" w:after="80"/>
      <w:outlineLvl w:val="0"/>
    </w:pPr>
    <w:rPr>
      <w:rFonts w:eastAsia="Times New Roman" w:cstheme="majorBidi"/>
      <w:b/>
      <w:color w:val="000000" w:themeColor="text1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060F7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7060F7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5FA0"/>
    <w:pPr>
      <w:keepNext/>
      <w:keepLines/>
      <w:spacing w:before="80" w:after="40"/>
      <w:outlineLvl w:val="3"/>
    </w:pPr>
    <w:rPr>
      <w:rFonts w:eastAsiaTheme="minorEastAsia" w:cstheme="majorBidi"/>
      <w:color w:val="000000" w:themeColor="text1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2194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2194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2194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2194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219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a3"/>
    <w:rsid w:val="007060F7"/>
    <w:pPr>
      <w:numPr>
        <w:numId w:val="3"/>
      </w:numPr>
      <w:ind w:firstLineChars="0" w:firstLine="0"/>
      <w:jc w:val="left"/>
    </w:pPr>
    <w:rPr>
      <w:rFonts w:eastAsia="Times New Roman"/>
      <w:szCs w:val="28"/>
    </w:rPr>
  </w:style>
  <w:style w:type="paragraph" w:styleId="a3">
    <w:name w:val="List Paragraph"/>
    <w:basedOn w:val="a"/>
    <w:uiPriority w:val="34"/>
    <w:qFormat/>
    <w:rsid w:val="00784C42"/>
    <w:pPr>
      <w:ind w:firstLineChars="200" w:firstLine="420"/>
    </w:pPr>
  </w:style>
  <w:style w:type="paragraph" w:customStyle="1" w:styleId="12">
    <w:name w:val="1级标题"/>
    <w:basedOn w:val="10"/>
    <w:link w:val="13"/>
    <w:rsid w:val="007060F7"/>
    <w:pPr>
      <w:spacing w:after="100"/>
    </w:pPr>
    <w:rPr>
      <w:b w:val="0"/>
    </w:rPr>
  </w:style>
  <w:style w:type="character" w:customStyle="1" w:styleId="13">
    <w:name w:val="1级标题 字符"/>
    <w:basedOn w:val="11"/>
    <w:link w:val="12"/>
    <w:rsid w:val="007060F7"/>
    <w:rPr>
      <w:rFonts w:eastAsia="Times New Roman" w:cstheme="majorBidi"/>
      <w:b w:val="0"/>
      <w:color w:val="000000" w:themeColor="text1"/>
      <w:szCs w:val="48"/>
    </w:rPr>
  </w:style>
  <w:style w:type="character" w:customStyle="1" w:styleId="11">
    <w:name w:val="标题 1 字符"/>
    <w:basedOn w:val="a0"/>
    <w:link w:val="10"/>
    <w:uiPriority w:val="9"/>
    <w:rsid w:val="007060F7"/>
    <w:rPr>
      <w:rFonts w:eastAsia="Times New Roman" w:cstheme="majorBidi"/>
      <w:b/>
      <w:color w:val="000000" w:themeColor="text1"/>
      <w:szCs w:val="48"/>
    </w:rPr>
  </w:style>
  <w:style w:type="character" w:customStyle="1" w:styleId="20">
    <w:name w:val="标题 2 字符"/>
    <w:basedOn w:val="a0"/>
    <w:link w:val="2"/>
    <w:uiPriority w:val="9"/>
    <w:rsid w:val="007060F7"/>
    <w:rPr>
      <w:rFonts w:eastAsiaTheme="majorEastAsia" w:cstheme="majorBidi"/>
      <w:b/>
      <w:color w:val="000000" w:themeColor="text1"/>
      <w:szCs w:val="40"/>
    </w:rPr>
  </w:style>
  <w:style w:type="character" w:customStyle="1" w:styleId="30">
    <w:name w:val="标题 3 字符"/>
    <w:basedOn w:val="a0"/>
    <w:link w:val="3"/>
    <w:uiPriority w:val="9"/>
    <w:rsid w:val="007060F7"/>
    <w:rPr>
      <w:rFonts w:eastAsiaTheme="majorEastAsia" w:cstheme="majorBidi"/>
      <w:b/>
      <w:color w:val="000000" w:themeColor="text1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15FA0"/>
    <w:rPr>
      <w:rFonts w:eastAsiaTheme="minorEastAsia" w:cstheme="majorBidi"/>
      <w:color w:val="000000" w:themeColor="text1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92194"/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92194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92194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92194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92194"/>
    <w:rPr>
      <w:rFonts w:asciiTheme="minorHAnsi" w:eastAsiaTheme="majorEastAsia" w:hAnsiTheme="minorHAnsi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F9219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F92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F9219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7">
    <w:name w:val="副标题 字符"/>
    <w:basedOn w:val="a0"/>
    <w:link w:val="a6"/>
    <w:uiPriority w:val="11"/>
    <w:rsid w:val="00F92194"/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paragraph" w:styleId="a8">
    <w:name w:val="Quote"/>
    <w:basedOn w:val="a"/>
    <w:next w:val="a"/>
    <w:link w:val="a9"/>
    <w:uiPriority w:val="29"/>
    <w:qFormat/>
    <w:rsid w:val="00F921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F92194"/>
    <w:rPr>
      <w:i/>
      <w:iCs/>
      <w:color w:val="404040" w:themeColor="text1" w:themeTint="BF"/>
    </w:rPr>
  </w:style>
  <w:style w:type="character" w:styleId="aa">
    <w:name w:val="Intense Emphasis"/>
    <w:basedOn w:val="a0"/>
    <w:uiPriority w:val="21"/>
    <w:qFormat/>
    <w:rsid w:val="00F9219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21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9219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9219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B05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B05F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B05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B05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斌勋 蒋</dc:creator>
  <cp:keywords/>
  <dc:description/>
  <cp:lastModifiedBy>斌勋 蒋</cp:lastModifiedBy>
  <cp:revision>6</cp:revision>
  <dcterms:created xsi:type="dcterms:W3CDTF">2026-06-04T17:04:00Z</dcterms:created>
  <dcterms:modified xsi:type="dcterms:W3CDTF">2026-09-24T14:22:00Z</dcterms:modified>
</cp:coreProperties>
</file>