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BE79B">
      <w:pPr>
        <w:jc w:val="center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cs="Times New Roman"/>
          <w:b/>
          <w:sz w:val="21"/>
        </w:rPr>
        <w:t>Supplementary Table S1. Clinicopathological characteristics of the 15 lung adenocarcinoma patients included in the immunohistochemical validation cohort.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A365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D9D9D9"/>
          </w:tcPr>
          <w:p w14:paraId="7956C0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Characteristic</w:t>
            </w:r>
          </w:p>
        </w:tc>
        <w:tc>
          <w:tcPr>
            <w:tcW w:w="4320" w:type="dxa"/>
            <w:shd w:val="clear" w:color="auto" w:fill="D9D9D9"/>
          </w:tcPr>
          <w:p w14:paraId="3ECCD4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Value</w:t>
            </w:r>
          </w:p>
        </w:tc>
      </w:tr>
      <w:tr w14:paraId="4FA9D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30FA51C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Age (years), mean ± SD</w:t>
            </w:r>
          </w:p>
        </w:tc>
        <w:tc>
          <w:tcPr>
            <w:tcW w:w="4320" w:type="dxa"/>
          </w:tcPr>
          <w:p w14:paraId="06173F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57.9 ± 9.6</w:t>
            </w:r>
          </w:p>
        </w:tc>
      </w:tr>
      <w:tr w14:paraId="09241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875C6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Age (years), median (range)</w:t>
            </w:r>
          </w:p>
        </w:tc>
        <w:tc>
          <w:tcPr>
            <w:tcW w:w="4320" w:type="dxa"/>
          </w:tcPr>
          <w:p w14:paraId="4ECC29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58 (42–72)</w:t>
            </w:r>
          </w:p>
        </w:tc>
      </w:tr>
      <w:tr w14:paraId="5372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4B7163B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Sex, n (%)</w:t>
            </w:r>
          </w:p>
        </w:tc>
        <w:tc>
          <w:tcPr>
            <w:tcW w:w="4320" w:type="dxa"/>
          </w:tcPr>
          <w:p w14:paraId="11BDD4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7DB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6468428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Male</w:t>
            </w:r>
          </w:p>
        </w:tc>
        <w:tc>
          <w:tcPr>
            <w:tcW w:w="4320" w:type="dxa"/>
          </w:tcPr>
          <w:p w14:paraId="0F94A9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6 (40.0%)</w:t>
            </w:r>
          </w:p>
        </w:tc>
      </w:tr>
      <w:tr w14:paraId="2E4D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349A575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Female</w:t>
            </w:r>
          </w:p>
        </w:tc>
        <w:tc>
          <w:tcPr>
            <w:tcW w:w="4320" w:type="dxa"/>
          </w:tcPr>
          <w:p w14:paraId="51D269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9 (60.0%)</w:t>
            </w:r>
          </w:p>
        </w:tc>
      </w:tr>
      <w:tr w14:paraId="1698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1255E9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Clinical stage, n (%)</w:t>
            </w:r>
          </w:p>
        </w:tc>
        <w:tc>
          <w:tcPr>
            <w:tcW w:w="4320" w:type="dxa"/>
          </w:tcPr>
          <w:p w14:paraId="694F5A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8A4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6F1E490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Minimally invasive adenocarcinoma</w:t>
            </w:r>
          </w:p>
        </w:tc>
        <w:tc>
          <w:tcPr>
            <w:tcW w:w="4320" w:type="dxa"/>
          </w:tcPr>
          <w:p w14:paraId="58A3CC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5 (33.3%)</w:t>
            </w:r>
          </w:p>
        </w:tc>
      </w:tr>
      <w:tr w14:paraId="65C0A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1B4E4F3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Stage IA1</w:t>
            </w:r>
          </w:p>
        </w:tc>
        <w:tc>
          <w:tcPr>
            <w:tcW w:w="4320" w:type="dxa"/>
          </w:tcPr>
          <w:p w14:paraId="104BF9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5AD6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AEF259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Stage IA2</w:t>
            </w:r>
          </w:p>
        </w:tc>
        <w:tc>
          <w:tcPr>
            <w:tcW w:w="4320" w:type="dxa"/>
          </w:tcPr>
          <w:p w14:paraId="374486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5 (33.3%)</w:t>
            </w:r>
          </w:p>
        </w:tc>
      </w:tr>
      <w:tr w14:paraId="0EAE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2C5F03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Stage IB</w:t>
            </w:r>
          </w:p>
        </w:tc>
        <w:tc>
          <w:tcPr>
            <w:tcW w:w="4320" w:type="dxa"/>
          </w:tcPr>
          <w:p w14:paraId="7FB205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3 (20.0%)</w:t>
            </w:r>
          </w:p>
        </w:tc>
      </w:tr>
      <w:tr w14:paraId="29AF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2B5D7C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Stage IIB</w:t>
            </w:r>
          </w:p>
        </w:tc>
        <w:tc>
          <w:tcPr>
            <w:tcW w:w="4320" w:type="dxa"/>
          </w:tcPr>
          <w:p w14:paraId="1AC3F9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2B1AD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1D7BE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Pathological T stage, n (%)</w:t>
            </w:r>
          </w:p>
        </w:tc>
        <w:tc>
          <w:tcPr>
            <w:tcW w:w="4320" w:type="dxa"/>
          </w:tcPr>
          <w:p w14:paraId="7AF6C6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914B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5F044D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pT1mi</w:t>
            </w:r>
          </w:p>
        </w:tc>
        <w:tc>
          <w:tcPr>
            <w:tcW w:w="4320" w:type="dxa"/>
          </w:tcPr>
          <w:p w14:paraId="228C92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7F00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9F0F2C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pT1a</w:t>
            </w:r>
          </w:p>
        </w:tc>
        <w:tc>
          <w:tcPr>
            <w:tcW w:w="4320" w:type="dxa"/>
          </w:tcPr>
          <w:p w14:paraId="145A1E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74C8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0CEC38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pT1b</w:t>
            </w:r>
          </w:p>
        </w:tc>
        <w:tc>
          <w:tcPr>
            <w:tcW w:w="4320" w:type="dxa"/>
          </w:tcPr>
          <w:p w14:paraId="210EF0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6 (40.0%)</w:t>
            </w:r>
          </w:p>
        </w:tc>
      </w:tr>
      <w:tr w14:paraId="18A78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6564CA1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pT1c</w:t>
            </w:r>
          </w:p>
        </w:tc>
        <w:tc>
          <w:tcPr>
            <w:tcW w:w="4320" w:type="dxa"/>
          </w:tcPr>
          <w:p w14:paraId="5716EE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054D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577E0A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pT2</w:t>
            </w:r>
          </w:p>
        </w:tc>
        <w:tc>
          <w:tcPr>
            <w:tcW w:w="4320" w:type="dxa"/>
          </w:tcPr>
          <w:p w14:paraId="701DAB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4D0C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1CFD40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pT2a</w:t>
            </w:r>
          </w:p>
        </w:tc>
        <w:tc>
          <w:tcPr>
            <w:tcW w:w="4320" w:type="dxa"/>
          </w:tcPr>
          <w:p w14:paraId="490928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03C5D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7649C9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Not specified</w:t>
            </w:r>
          </w:p>
        </w:tc>
        <w:tc>
          <w:tcPr>
            <w:tcW w:w="4320" w:type="dxa"/>
          </w:tcPr>
          <w:p w14:paraId="338650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4 (26.7%)</w:t>
            </w:r>
          </w:p>
        </w:tc>
      </w:tr>
      <w:tr w14:paraId="227D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0E5D8B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Pathological N stage, n (%)</w:t>
            </w:r>
          </w:p>
        </w:tc>
        <w:tc>
          <w:tcPr>
            <w:tcW w:w="4320" w:type="dxa"/>
          </w:tcPr>
          <w:p w14:paraId="0BDA36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4D4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6F0E60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N0</w:t>
            </w:r>
          </w:p>
        </w:tc>
        <w:tc>
          <w:tcPr>
            <w:tcW w:w="4320" w:type="dxa"/>
          </w:tcPr>
          <w:p w14:paraId="066FF0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10 (66.7%)</w:t>
            </w:r>
          </w:p>
        </w:tc>
      </w:tr>
      <w:tr w14:paraId="3730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D434C6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N1</w:t>
            </w:r>
          </w:p>
        </w:tc>
        <w:tc>
          <w:tcPr>
            <w:tcW w:w="4320" w:type="dxa"/>
          </w:tcPr>
          <w:p w14:paraId="6DA2A5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1F07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49C1BFF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Not specified</w:t>
            </w:r>
          </w:p>
        </w:tc>
        <w:tc>
          <w:tcPr>
            <w:tcW w:w="4320" w:type="dxa"/>
          </w:tcPr>
          <w:p w14:paraId="1E01BF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4 (26.7%)</w:t>
            </w:r>
          </w:p>
        </w:tc>
      </w:tr>
      <w:tr w14:paraId="0ED0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8F8BCC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Pathological M stage, n (%)</w:t>
            </w:r>
          </w:p>
        </w:tc>
        <w:tc>
          <w:tcPr>
            <w:tcW w:w="4320" w:type="dxa"/>
          </w:tcPr>
          <w:p w14:paraId="1370BF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E8C1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3BEEE64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M0</w:t>
            </w:r>
          </w:p>
        </w:tc>
        <w:tc>
          <w:tcPr>
            <w:tcW w:w="4320" w:type="dxa"/>
          </w:tcPr>
          <w:p w14:paraId="556A38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9 (60.0%)</w:t>
            </w:r>
          </w:p>
        </w:tc>
      </w:tr>
      <w:tr w14:paraId="4AF9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9B78BE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Mx</w:t>
            </w:r>
          </w:p>
        </w:tc>
        <w:tc>
          <w:tcPr>
            <w:tcW w:w="4320" w:type="dxa"/>
          </w:tcPr>
          <w:p w14:paraId="79F97C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2 (13.3%)</w:t>
            </w:r>
          </w:p>
        </w:tc>
      </w:tr>
      <w:tr w14:paraId="1A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085FFF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Not specified</w:t>
            </w:r>
          </w:p>
        </w:tc>
        <w:tc>
          <w:tcPr>
            <w:tcW w:w="4320" w:type="dxa"/>
          </w:tcPr>
          <w:p w14:paraId="3488C7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4 (26.7%)</w:t>
            </w:r>
          </w:p>
        </w:tc>
      </w:tr>
      <w:tr w14:paraId="672A5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DE5306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VDAC1 immunohistochemical score, n (%)</w:t>
            </w:r>
          </w:p>
        </w:tc>
        <w:tc>
          <w:tcPr>
            <w:tcW w:w="4320" w:type="dxa"/>
          </w:tcPr>
          <w:p w14:paraId="31360A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3D1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1A20AFD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0</w:t>
            </w:r>
          </w:p>
        </w:tc>
        <w:tc>
          <w:tcPr>
            <w:tcW w:w="4320" w:type="dxa"/>
          </w:tcPr>
          <w:p w14:paraId="063B76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 (6.7%)</w:t>
            </w:r>
          </w:p>
        </w:tc>
      </w:tr>
      <w:tr w14:paraId="32D9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B75602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1</w:t>
            </w:r>
          </w:p>
        </w:tc>
        <w:tc>
          <w:tcPr>
            <w:tcW w:w="4320" w:type="dxa"/>
          </w:tcPr>
          <w:p w14:paraId="3C1BFB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7 (46.7%)</w:t>
            </w:r>
          </w:p>
        </w:tc>
      </w:tr>
      <w:tr w14:paraId="3C73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4BC635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2</w:t>
            </w:r>
          </w:p>
        </w:tc>
        <w:tc>
          <w:tcPr>
            <w:tcW w:w="4320" w:type="dxa"/>
          </w:tcPr>
          <w:p w14:paraId="3C2FFF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4 (26.7%)</w:t>
            </w:r>
          </w:p>
        </w:tc>
      </w:tr>
      <w:tr w14:paraId="3963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220C435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 xml:space="preserve">  3</w:t>
            </w:r>
          </w:p>
        </w:tc>
        <w:tc>
          <w:tcPr>
            <w:tcW w:w="4320" w:type="dxa"/>
          </w:tcPr>
          <w:p w14:paraId="1178AC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3 (20.0%)</w:t>
            </w:r>
          </w:p>
        </w:tc>
      </w:tr>
    </w:tbl>
    <w:p w14:paraId="10667FA8">
      <w:pPr>
        <w:rPr>
          <w:rFonts w:hint="default" w:ascii="Times New Roman" w:hAnsi="Times New Roman" w:cs="Times New Roman"/>
          <w:i/>
          <w:sz w:val="17"/>
        </w:rPr>
      </w:pPr>
      <w:r>
        <w:rPr>
          <w:rFonts w:hint="default" w:ascii="Times New Roman" w:hAnsi="Times New Roman" w:cs="Times New Roman"/>
          <w:i/>
          <w:sz w:val="17"/>
        </w:rPr>
        <w:t>SD, standard deviation. Immunohistochemical staining intensity for VDAC1 was scored as 0 (negative), 1 (weak), 2 (moderate), or 3 (strong). Degree of differentiation was not available for these archival specimens.</w:t>
      </w:r>
    </w:p>
    <w:p w14:paraId="321B0C24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1"/>
        </w:rPr>
        <w:t>Supplementary</w:t>
      </w:r>
      <w:r>
        <w:rPr>
          <w:rFonts w:hint="default" w:ascii="Times New Roman" w:hAnsi="Times New Roman" w:eastAsia="宋体" w:cs="Times New Roman"/>
          <w:b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21"/>
        </w:rPr>
        <w:t xml:space="preserve">Table </w:t>
      </w:r>
      <w:r>
        <w:rPr>
          <w:rFonts w:hint="default" w:ascii="Times New Roman" w:hAnsi="Times New Roman" w:eastAsia="宋体" w:cs="Times New Roman"/>
          <w:b/>
          <w:sz w:val="21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sz w:val="21"/>
        </w:rPr>
        <w:t>2. Univariate and multivariate Cox proportional hazards regression analyses for overall survival in the TCGA-LUAD cohort.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6BE9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shd w:val="clear" w:color="auto" w:fill="D9D9D9"/>
          </w:tcPr>
          <w:p w14:paraId="5DAC4D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Variable</w:t>
            </w:r>
          </w:p>
        </w:tc>
        <w:tc>
          <w:tcPr>
            <w:tcW w:w="1728" w:type="dxa"/>
            <w:shd w:val="clear" w:color="auto" w:fill="D9D9D9"/>
          </w:tcPr>
          <w:p w14:paraId="13A0E5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Univariate HR (95% CI)</w:t>
            </w:r>
          </w:p>
        </w:tc>
        <w:tc>
          <w:tcPr>
            <w:tcW w:w="1728" w:type="dxa"/>
            <w:shd w:val="clear" w:color="auto" w:fill="D9D9D9"/>
          </w:tcPr>
          <w:p w14:paraId="1A0B6F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Univariate P</w:t>
            </w:r>
          </w:p>
        </w:tc>
        <w:tc>
          <w:tcPr>
            <w:tcW w:w="1728" w:type="dxa"/>
            <w:shd w:val="clear" w:color="auto" w:fill="D9D9D9"/>
          </w:tcPr>
          <w:p w14:paraId="740B77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Multivariate HR (95% CI)</w:t>
            </w:r>
          </w:p>
        </w:tc>
        <w:tc>
          <w:tcPr>
            <w:tcW w:w="1728" w:type="dxa"/>
            <w:shd w:val="clear" w:color="auto" w:fill="D9D9D9"/>
          </w:tcPr>
          <w:p w14:paraId="1FA02D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Multivariate P</w:t>
            </w:r>
          </w:p>
        </w:tc>
      </w:tr>
      <w:tr w14:paraId="125E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3968D18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VDAC1 (per SD)</w:t>
            </w:r>
          </w:p>
        </w:tc>
        <w:tc>
          <w:tcPr>
            <w:tcW w:w="1728" w:type="dxa"/>
          </w:tcPr>
          <w:p w14:paraId="0894CA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1.41 (1.22–1.63)</w:t>
            </w:r>
          </w:p>
        </w:tc>
        <w:tc>
          <w:tcPr>
            <w:tcW w:w="1728" w:type="dxa"/>
          </w:tcPr>
          <w:p w14:paraId="7FF864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&lt; 0.001</w:t>
            </w:r>
          </w:p>
        </w:tc>
        <w:tc>
          <w:tcPr>
            <w:tcW w:w="1728" w:type="dxa"/>
          </w:tcPr>
          <w:p w14:paraId="395118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1.42 (1.23–1.65)</w:t>
            </w:r>
          </w:p>
        </w:tc>
        <w:tc>
          <w:tcPr>
            <w:tcW w:w="1728" w:type="dxa"/>
          </w:tcPr>
          <w:p w14:paraId="4E46EF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9"/>
              </w:rPr>
              <w:t>&lt; 0.001</w:t>
            </w:r>
          </w:p>
        </w:tc>
      </w:tr>
      <w:tr w14:paraId="20DFE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29E33AE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Age (per 10 years)</w:t>
            </w:r>
          </w:p>
        </w:tc>
        <w:tc>
          <w:tcPr>
            <w:tcW w:w="1728" w:type="dxa"/>
          </w:tcPr>
          <w:p w14:paraId="7891F8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1.06 (0.91–1.24)</w:t>
            </w:r>
          </w:p>
        </w:tc>
        <w:tc>
          <w:tcPr>
            <w:tcW w:w="1728" w:type="dxa"/>
          </w:tcPr>
          <w:p w14:paraId="1F68A3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0.450</w:t>
            </w:r>
          </w:p>
        </w:tc>
        <w:tc>
          <w:tcPr>
            <w:tcW w:w="1728" w:type="dxa"/>
          </w:tcPr>
          <w:p w14:paraId="4DFCBA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1.12 (0.96–1.30)</w:t>
            </w:r>
          </w:p>
        </w:tc>
        <w:tc>
          <w:tcPr>
            <w:tcW w:w="1728" w:type="dxa"/>
          </w:tcPr>
          <w:p w14:paraId="612AA5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0.161</w:t>
            </w:r>
          </w:p>
        </w:tc>
      </w:tr>
      <w:tr w14:paraId="04B3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2C522D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Sex (male vs female)</w:t>
            </w:r>
          </w:p>
        </w:tc>
        <w:tc>
          <w:tcPr>
            <w:tcW w:w="1728" w:type="dxa"/>
          </w:tcPr>
          <w:p w14:paraId="252EB8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1.07 (0.80–1.44)</w:t>
            </w:r>
          </w:p>
        </w:tc>
        <w:tc>
          <w:tcPr>
            <w:tcW w:w="1728" w:type="dxa"/>
          </w:tcPr>
          <w:p w14:paraId="539ECB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0.643</w:t>
            </w:r>
          </w:p>
        </w:tc>
        <w:tc>
          <w:tcPr>
            <w:tcW w:w="1728" w:type="dxa"/>
          </w:tcPr>
          <w:p w14:paraId="2977FA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0.92 (0.68–1.24)</w:t>
            </w:r>
          </w:p>
        </w:tc>
        <w:tc>
          <w:tcPr>
            <w:tcW w:w="1728" w:type="dxa"/>
          </w:tcPr>
          <w:p w14:paraId="4B2927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0.599</w:t>
            </w:r>
          </w:p>
        </w:tc>
      </w:tr>
      <w:tr w14:paraId="670F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5EFBCD5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Pathological stage (per increment)</w:t>
            </w:r>
          </w:p>
        </w:tc>
        <w:tc>
          <w:tcPr>
            <w:tcW w:w="1728" w:type="dxa"/>
          </w:tcPr>
          <w:p w14:paraId="5AF57D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1.64 (1.42–1.88)</w:t>
            </w:r>
          </w:p>
        </w:tc>
        <w:tc>
          <w:tcPr>
            <w:tcW w:w="1728" w:type="dxa"/>
          </w:tcPr>
          <w:p w14:paraId="4631F2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&lt; 0.001</w:t>
            </w:r>
          </w:p>
        </w:tc>
        <w:tc>
          <w:tcPr>
            <w:tcW w:w="1728" w:type="dxa"/>
          </w:tcPr>
          <w:p w14:paraId="68E1D3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1.68 (1.45–1.94)</w:t>
            </w:r>
          </w:p>
        </w:tc>
        <w:tc>
          <w:tcPr>
            <w:tcW w:w="1728" w:type="dxa"/>
          </w:tcPr>
          <w:p w14:paraId="72B659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9"/>
              </w:rPr>
              <w:t>&lt; 0.001</w:t>
            </w:r>
          </w:p>
        </w:tc>
      </w:tr>
    </w:tbl>
    <w:p w14:paraId="637C56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7"/>
        </w:rPr>
        <w:t>HR, hazard ratio; CI, confidence interval. VDAC1 was modeled as a continuous standardized variable (per standard-deviation increase); age as a continuous variable (per 10-year increase); sex as male versus female (reference: female); and pathological stage as an ordered variable (I, II, III, IV). A total of 486 patients with 177 death events were included in the multivariate model. P values were derived from the Wald test. Bold indicates the prognostic factor of primary interest.</w:t>
      </w:r>
    </w:p>
    <w:p w14:paraId="25A957ED">
      <w:pPr>
        <w:rPr>
          <w:rFonts w:hint="default" w:ascii="Times New Roman" w:hAnsi="Times New Roman" w:cs="Times New Roman"/>
          <w:i/>
          <w:sz w:val="17"/>
        </w:rPr>
      </w:pPr>
    </w:p>
    <w:bookmarkEnd w:id="0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D74555"/>
    <w:rsid w:val="1DF3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1703</Characters>
  <Lines>0</Lines>
  <Paragraphs>0</Paragraphs>
  <TotalTime>0</TotalTime>
  <ScaleCrop>false</ScaleCrop>
  <LinksUpToDate>false</LinksUpToDate>
  <CharactersWithSpaces>1981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JunL</cp:lastModifiedBy>
  <dcterms:modified xsi:type="dcterms:W3CDTF">2026-09-27T07:59:23Z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eyJoZGlkIjoiODE5NzdhNjk4MjViYmUzOGUyYWY2ODJmYWJmNzU0MjIiLCJ1c2VySWQiOiIzMDYzMjI5NzcifQ==</vt:lpwstr>
  </property>
  <property fmtid="{D5CDD505-2E9C-101B-9397-08002B2CF9AE}" pid="3" name="KSOProductBuildVer">
    <vt:lpwstr>2052-12.1.0.28802</vt:lpwstr>
  </property>
  <property fmtid="{D5CDD505-2E9C-101B-9397-08002B2CF9AE}" pid="4" name="ICV">
    <vt:lpwstr>8D0C7E8173564913A8522926DD3B49A7_12</vt:lpwstr>
  </property>
</Properties>
</file>