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5DAFB" w14:textId="005FA9A4" w:rsidR="00F54DB5" w:rsidRDefault="00033FAD" w:rsidP="009B350C">
      <w:pPr>
        <w:spacing w:after="0" w:line="360" w:lineRule="auto"/>
        <w:jc w:val="both"/>
        <w:rPr>
          <w:b/>
          <w:bCs/>
          <w:sz w:val="40"/>
          <w:szCs w:val="40"/>
        </w:rPr>
      </w:pPr>
      <w:r w:rsidRPr="00033FAD">
        <w:rPr>
          <w:rFonts w:hint="eastAsia"/>
          <w:b/>
          <w:bCs/>
          <w:sz w:val="40"/>
          <w:szCs w:val="40"/>
        </w:rPr>
        <w:t>Supplementary information</w:t>
      </w:r>
    </w:p>
    <w:p w14:paraId="16DDE6E8" w14:textId="77777777" w:rsidR="00742F74" w:rsidRPr="00742F74" w:rsidRDefault="00742F74" w:rsidP="009B350C">
      <w:pPr>
        <w:spacing w:after="0" w:line="360" w:lineRule="auto"/>
        <w:jc w:val="both"/>
        <w:rPr>
          <w:b/>
          <w:bCs/>
          <w:i/>
          <w:iCs/>
          <w:sz w:val="32"/>
          <w:szCs w:val="32"/>
        </w:rPr>
      </w:pPr>
      <w:r w:rsidRPr="00742F74">
        <w:rPr>
          <w:b/>
          <w:bCs/>
          <w:i/>
          <w:iCs/>
          <w:sz w:val="32"/>
          <w:szCs w:val="32"/>
        </w:rPr>
        <w:t>SI Results and Discussion</w:t>
      </w:r>
      <w:r w:rsidRPr="00742F74">
        <w:rPr>
          <w:rFonts w:hint="eastAsia"/>
          <w:b/>
          <w:bCs/>
          <w:i/>
          <w:iCs/>
          <w:sz w:val="32"/>
          <w:szCs w:val="32"/>
        </w:rPr>
        <w:t xml:space="preserve"> </w:t>
      </w:r>
    </w:p>
    <w:p w14:paraId="03FB0EE2" w14:textId="0BCEC811" w:rsidR="00742F74" w:rsidRPr="00742F74" w:rsidRDefault="00742F74" w:rsidP="009B350C">
      <w:pPr>
        <w:spacing w:after="0" w:line="360" w:lineRule="auto"/>
        <w:jc w:val="both"/>
        <w:rPr>
          <w:b/>
          <w:bCs/>
          <w:i/>
          <w:iCs/>
          <w:sz w:val="40"/>
          <w:szCs w:val="40"/>
        </w:rPr>
      </w:pPr>
      <w:r w:rsidRPr="00742F74">
        <w:rPr>
          <w:rFonts w:hint="eastAsia"/>
          <w:b/>
          <w:bCs/>
          <w:i/>
          <w:iCs/>
          <w:sz w:val="32"/>
          <w:szCs w:val="32"/>
        </w:rPr>
        <w:t>Supplementary Tables and Figures</w:t>
      </w:r>
    </w:p>
    <w:p w14:paraId="44B15945" w14:textId="77777777" w:rsidR="00742F74" w:rsidRDefault="00742F74" w:rsidP="009B350C">
      <w:pPr>
        <w:spacing w:after="0" w:line="360" w:lineRule="auto"/>
        <w:jc w:val="both"/>
        <w:rPr>
          <w:rFonts w:ascii="Aptos" w:hAnsi="Aptos"/>
          <w:b/>
          <w:bCs/>
        </w:rPr>
      </w:pPr>
    </w:p>
    <w:p w14:paraId="6A468E27" w14:textId="13DA9C78" w:rsidR="00033FAD" w:rsidRPr="00E752C4" w:rsidRDefault="00033FAD" w:rsidP="009B350C">
      <w:pPr>
        <w:spacing w:after="0" w:line="360" w:lineRule="auto"/>
        <w:jc w:val="both"/>
        <w:rPr>
          <w:rFonts w:ascii="Aptos" w:hAnsi="Aptos"/>
          <w:b/>
          <w:bCs/>
        </w:rPr>
      </w:pPr>
      <w:r w:rsidRPr="00E752C4">
        <w:rPr>
          <w:rFonts w:ascii="Aptos" w:hAnsi="Aptos"/>
          <w:b/>
          <w:bCs/>
        </w:rPr>
        <w:t xml:space="preserve">Microhabitats </w:t>
      </w:r>
      <w:r>
        <w:rPr>
          <w:rFonts w:ascii="Aptos" w:hAnsi="Aptos" w:hint="eastAsia"/>
          <w:b/>
          <w:bCs/>
        </w:rPr>
        <w:t>are associated with</w:t>
      </w:r>
      <w:r w:rsidRPr="00E752C4">
        <w:rPr>
          <w:rFonts w:ascii="Aptos" w:hAnsi="Aptos"/>
          <w:b/>
          <w:bCs/>
        </w:rPr>
        <w:t xml:space="preserve"> bacterial</w:t>
      </w:r>
      <w:r>
        <w:rPr>
          <w:rFonts w:ascii="Aptos" w:hAnsi="Aptos" w:hint="eastAsia"/>
          <w:b/>
          <w:bCs/>
        </w:rPr>
        <w:t xml:space="preserve"> and </w:t>
      </w:r>
      <w:r w:rsidRPr="00E752C4">
        <w:rPr>
          <w:rFonts w:ascii="Aptos" w:hAnsi="Aptos"/>
          <w:b/>
          <w:bCs/>
        </w:rPr>
        <w:t>archaeal community structure in acid mine drainage from an abandoned mine</w:t>
      </w:r>
    </w:p>
    <w:p w14:paraId="2FC857D2" w14:textId="77777777" w:rsidR="00033FAD" w:rsidRPr="001B1815" w:rsidRDefault="00033FAD" w:rsidP="009B350C">
      <w:pPr>
        <w:spacing w:after="0" w:line="360" w:lineRule="auto"/>
        <w:jc w:val="both"/>
        <w:rPr>
          <w:rFonts w:ascii="Aptos" w:hAnsi="Aptos"/>
        </w:rPr>
      </w:pPr>
    </w:p>
    <w:p w14:paraId="33DDD693" w14:textId="77777777" w:rsidR="00033FAD" w:rsidRPr="001B1815" w:rsidRDefault="00033FAD" w:rsidP="009B350C">
      <w:pPr>
        <w:spacing w:after="0" w:line="360" w:lineRule="auto"/>
        <w:jc w:val="both"/>
        <w:rPr>
          <w:rFonts w:ascii="Aptos" w:hAnsi="Aptos"/>
        </w:rPr>
      </w:pPr>
      <w:r w:rsidRPr="001B1815">
        <w:rPr>
          <w:rFonts w:ascii="Aptos" w:hAnsi="Aptos"/>
        </w:rPr>
        <w:t>Minji Kim</w:t>
      </w:r>
      <w:r w:rsidRPr="001B1815">
        <w:rPr>
          <w:rFonts w:ascii="Aptos" w:hAnsi="Aptos"/>
          <w:vertAlign w:val="superscript"/>
        </w:rPr>
        <w:t>1</w:t>
      </w:r>
      <w:r w:rsidRPr="009C6B36">
        <w:rPr>
          <w:rFonts w:eastAsia="굴림" w:cstheme="minorHAnsi"/>
          <w:color w:val="000000" w:themeColor="text1"/>
          <w:vertAlign w:val="superscript"/>
        </w:rPr>
        <w:t>§</w:t>
      </w:r>
      <w:r w:rsidRPr="001B1815">
        <w:rPr>
          <w:rFonts w:ascii="Aptos" w:hAnsi="Aptos"/>
        </w:rPr>
        <w:t xml:space="preserve">, </w:t>
      </w:r>
      <w:r w:rsidRPr="001B1815">
        <w:rPr>
          <w:rFonts w:ascii="Aptos" w:eastAsia="굴림" w:hAnsi="Aptos" w:cstheme="minorHAnsi"/>
          <w:color w:val="000000" w:themeColor="text1"/>
        </w:rPr>
        <w:t>So-Jeong Kim</w:t>
      </w:r>
      <w:r w:rsidRPr="001B1815">
        <w:rPr>
          <w:rFonts w:ascii="Aptos" w:eastAsia="굴림" w:hAnsi="Aptos" w:cstheme="minorHAnsi"/>
          <w:color w:val="000000" w:themeColor="text1"/>
          <w:vertAlign w:val="superscript"/>
        </w:rPr>
        <w:t>2</w:t>
      </w:r>
      <w:r w:rsidRPr="009C6B36">
        <w:rPr>
          <w:rFonts w:eastAsia="굴림" w:cstheme="minorHAnsi"/>
          <w:color w:val="000000" w:themeColor="text1"/>
          <w:vertAlign w:val="superscript"/>
        </w:rPr>
        <w:t>§</w:t>
      </w:r>
      <w:r w:rsidRPr="001B1815">
        <w:rPr>
          <w:rFonts w:ascii="Aptos" w:hAnsi="Aptos"/>
        </w:rPr>
        <w:t>, and Soo-Je Park</w:t>
      </w:r>
      <w:r w:rsidRPr="001B1815">
        <w:rPr>
          <w:rFonts w:ascii="Aptos" w:hAnsi="Aptos"/>
          <w:vertAlign w:val="superscript"/>
        </w:rPr>
        <w:t>1</w:t>
      </w:r>
      <w:r w:rsidRPr="001B1815">
        <w:rPr>
          <w:rFonts w:ascii="Aptos" w:hAnsi="Aptos"/>
        </w:rPr>
        <w:t>*</w:t>
      </w:r>
    </w:p>
    <w:p w14:paraId="607DA396" w14:textId="77777777" w:rsidR="00033FAD" w:rsidRPr="001B1815" w:rsidRDefault="00033FAD" w:rsidP="009B350C">
      <w:pPr>
        <w:spacing w:after="0" w:line="360" w:lineRule="auto"/>
        <w:jc w:val="both"/>
        <w:rPr>
          <w:rFonts w:ascii="Aptos" w:hAnsi="Aptos"/>
        </w:rPr>
      </w:pPr>
    </w:p>
    <w:p w14:paraId="4EF997B2" w14:textId="77777777" w:rsidR="00033FAD" w:rsidRPr="001B1815" w:rsidRDefault="00033FAD" w:rsidP="009B350C">
      <w:pPr>
        <w:spacing w:after="0" w:line="360" w:lineRule="auto"/>
        <w:jc w:val="both"/>
        <w:rPr>
          <w:rFonts w:ascii="Aptos" w:hAnsi="Aptos"/>
        </w:rPr>
      </w:pPr>
      <w:r w:rsidRPr="001B1815">
        <w:rPr>
          <w:rFonts w:ascii="Aptos" w:hAnsi="Aptos"/>
          <w:vertAlign w:val="superscript"/>
        </w:rPr>
        <w:t>1</w:t>
      </w:r>
      <w:r w:rsidRPr="001B1815">
        <w:rPr>
          <w:rFonts w:ascii="Aptos" w:hAnsi="Aptos"/>
        </w:rPr>
        <w:t xml:space="preserve">Department of Biology, Jeju National University, 102 </w:t>
      </w:r>
      <w:proofErr w:type="spellStart"/>
      <w:r w:rsidRPr="001B1815">
        <w:rPr>
          <w:rFonts w:ascii="Aptos" w:hAnsi="Aptos"/>
        </w:rPr>
        <w:t>Jejudaehak-ro</w:t>
      </w:r>
      <w:proofErr w:type="spellEnd"/>
      <w:r w:rsidRPr="001B1815">
        <w:rPr>
          <w:rFonts w:ascii="Aptos" w:hAnsi="Aptos"/>
        </w:rPr>
        <w:t>, Jeju 63243, South Korea</w:t>
      </w:r>
    </w:p>
    <w:p w14:paraId="583D5836" w14:textId="77777777" w:rsidR="00033FAD" w:rsidRPr="001B1815" w:rsidRDefault="00033FAD" w:rsidP="009B350C">
      <w:pPr>
        <w:spacing w:after="0" w:line="360" w:lineRule="auto"/>
        <w:jc w:val="both"/>
        <w:rPr>
          <w:rFonts w:ascii="Aptos" w:eastAsia="굴림" w:hAnsi="Aptos" w:cstheme="minorHAnsi"/>
          <w:color w:val="000000" w:themeColor="text1"/>
        </w:rPr>
      </w:pPr>
      <w:r w:rsidRPr="001B1815">
        <w:rPr>
          <w:rFonts w:ascii="Aptos" w:eastAsia="굴림" w:hAnsi="Aptos" w:cstheme="minorHAnsi"/>
          <w:color w:val="000000" w:themeColor="text1"/>
          <w:vertAlign w:val="superscript"/>
        </w:rPr>
        <w:t>2</w:t>
      </w:r>
      <w:r w:rsidRPr="001B1815">
        <w:rPr>
          <w:rFonts w:ascii="Aptos" w:eastAsia="굴림" w:hAnsi="Aptos" w:cstheme="minorHAnsi"/>
          <w:color w:val="000000" w:themeColor="text1"/>
        </w:rPr>
        <w:t>Geo-Environment Research Division, Korea Institute of Geoscience and Mineral Resources, Daejeon 34132, South Korea</w:t>
      </w:r>
    </w:p>
    <w:p w14:paraId="446DF392" w14:textId="77777777" w:rsidR="00033FAD" w:rsidRPr="001B1815" w:rsidRDefault="00033FAD" w:rsidP="009B350C">
      <w:pPr>
        <w:spacing w:after="0" w:line="360" w:lineRule="auto"/>
        <w:jc w:val="both"/>
        <w:rPr>
          <w:rFonts w:ascii="Aptos" w:hAnsi="Aptos"/>
        </w:rPr>
      </w:pPr>
    </w:p>
    <w:p w14:paraId="49260DB7" w14:textId="27A64326" w:rsidR="00033FAD" w:rsidRPr="001B1815" w:rsidRDefault="00033FAD" w:rsidP="009B350C">
      <w:pPr>
        <w:spacing w:after="0" w:line="360" w:lineRule="auto"/>
        <w:jc w:val="both"/>
        <w:rPr>
          <w:rFonts w:ascii="Aptos" w:hAnsi="Aptos"/>
        </w:rPr>
      </w:pPr>
      <w:r w:rsidRPr="001B1815">
        <w:rPr>
          <w:rFonts w:ascii="Aptos" w:hAnsi="Aptos"/>
        </w:rPr>
        <w:t>*Corresponding author: Soo-Je Park (Tel: +82-64-753-3524, Fax: +82-64-756-3541, Email: sjpark@jejunu.ac.kr)</w:t>
      </w:r>
    </w:p>
    <w:p w14:paraId="53E911FA" w14:textId="77777777" w:rsidR="00033FAD" w:rsidRDefault="00033FAD" w:rsidP="009B350C">
      <w:pPr>
        <w:spacing w:after="0" w:line="360" w:lineRule="auto"/>
        <w:jc w:val="both"/>
        <w:rPr>
          <w:rFonts w:ascii="Aptos" w:hAnsi="Aptos"/>
        </w:rPr>
      </w:pPr>
    </w:p>
    <w:p w14:paraId="2F637E43" w14:textId="77777777" w:rsidR="00033FAD" w:rsidRPr="009C6B36" w:rsidRDefault="00033FAD" w:rsidP="009B350C">
      <w:pPr>
        <w:spacing w:after="0" w:line="360" w:lineRule="auto"/>
        <w:jc w:val="both"/>
        <w:rPr>
          <w:rFonts w:eastAsia="굴림" w:cstheme="minorHAnsi"/>
          <w:color w:val="000000" w:themeColor="text1"/>
        </w:rPr>
      </w:pPr>
      <w:r w:rsidRPr="009C6B36">
        <w:rPr>
          <w:rFonts w:eastAsia="굴림" w:cstheme="minorHAnsi"/>
          <w:color w:val="000000" w:themeColor="text1"/>
          <w:vertAlign w:val="superscript"/>
        </w:rPr>
        <w:t>§</w:t>
      </w:r>
      <w:r w:rsidRPr="009C6B36">
        <w:rPr>
          <w:rFonts w:eastAsia="굴림" w:cstheme="minorHAnsi"/>
          <w:color w:val="000000" w:themeColor="text1"/>
        </w:rPr>
        <w:t>These authors made an equal contribution.</w:t>
      </w:r>
    </w:p>
    <w:p w14:paraId="16EF8D09" w14:textId="77777777" w:rsidR="00033FAD" w:rsidRDefault="00033FAD" w:rsidP="009B350C">
      <w:pPr>
        <w:spacing w:after="0" w:line="360" w:lineRule="auto"/>
        <w:jc w:val="both"/>
        <w:rPr>
          <w:rFonts w:ascii="Aptos" w:hAnsi="Aptos"/>
        </w:rPr>
      </w:pPr>
    </w:p>
    <w:p w14:paraId="7F024AB0" w14:textId="77777777" w:rsidR="00033FAD" w:rsidRPr="001B1815" w:rsidRDefault="00033FAD" w:rsidP="009B350C">
      <w:pPr>
        <w:spacing w:after="0" w:line="360" w:lineRule="auto"/>
        <w:jc w:val="both"/>
        <w:rPr>
          <w:rFonts w:ascii="Aptos" w:hAnsi="Aptos"/>
        </w:rPr>
      </w:pPr>
    </w:p>
    <w:p w14:paraId="15F83987" w14:textId="77777777" w:rsidR="00033FAD" w:rsidRPr="001B1815" w:rsidRDefault="00033FAD" w:rsidP="009B350C">
      <w:pPr>
        <w:spacing w:after="0" w:line="360" w:lineRule="auto"/>
        <w:jc w:val="both"/>
        <w:rPr>
          <w:rFonts w:ascii="Aptos" w:hAnsi="Aptos"/>
        </w:rPr>
      </w:pPr>
      <w:r w:rsidRPr="001B1815">
        <w:rPr>
          <w:rFonts w:ascii="Aptos" w:hAnsi="Aptos"/>
          <w:b/>
          <w:bCs/>
        </w:rPr>
        <w:t>Running title:</w:t>
      </w:r>
      <w:r w:rsidRPr="001B1815">
        <w:rPr>
          <w:rFonts w:ascii="Aptos" w:hAnsi="Aptos"/>
        </w:rPr>
        <w:t xml:space="preserve"> </w:t>
      </w:r>
      <w:r>
        <w:rPr>
          <w:rFonts w:ascii="Aptos" w:hAnsi="Aptos" w:hint="eastAsia"/>
        </w:rPr>
        <w:t>Microhabitats structure AMD prokaryotic communities</w:t>
      </w:r>
    </w:p>
    <w:p w14:paraId="6EC39F9F" w14:textId="77777777" w:rsidR="00033FAD" w:rsidRPr="001B1815" w:rsidRDefault="00033FAD" w:rsidP="009B350C">
      <w:pPr>
        <w:spacing w:after="0" w:line="360" w:lineRule="auto"/>
        <w:jc w:val="both"/>
        <w:rPr>
          <w:rFonts w:ascii="Aptos" w:hAnsi="Aptos"/>
        </w:rPr>
      </w:pPr>
    </w:p>
    <w:p w14:paraId="61CF7DB6" w14:textId="77777777" w:rsidR="00033FAD" w:rsidRDefault="00033FAD" w:rsidP="009B350C">
      <w:pPr>
        <w:spacing w:after="0" w:line="360" w:lineRule="auto"/>
        <w:jc w:val="both"/>
        <w:rPr>
          <w:rFonts w:ascii="Aptos" w:hAnsi="Aptos"/>
        </w:rPr>
      </w:pPr>
      <w:r w:rsidRPr="001B1815">
        <w:rPr>
          <w:rFonts w:ascii="Aptos" w:hAnsi="Aptos"/>
          <w:b/>
          <w:bCs/>
        </w:rPr>
        <w:t>Keywords:</w:t>
      </w:r>
      <w:r w:rsidRPr="009F247A">
        <w:rPr>
          <w:rFonts w:ascii="Aptos" w:hAnsi="Aptos"/>
          <w:bCs/>
        </w:rPr>
        <w:t xml:space="preserve"> </w:t>
      </w:r>
      <w:r w:rsidRPr="009F247A">
        <w:rPr>
          <w:rFonts w:ascii="Aptos" w:hAnsi="Aptos" w:hint="eastAsia"/>
          <w:bCs/>
        </w:rPr>
        <w:t>a</w:t>
      </w:r>
      <w:r>
        <w:rPr>
          <w:rFonts w:ascii="Aptos" w:hAnsi="Aptos" w:hint="eastAsia"/>
        </w:rPr>
        <w:t>cid mine drainage, microhabitats, amplicon, biofilm, acidophile, 16S rRNA gene</w:t>
      </w:r>
    </w:p>
    <w:p w14:paraId="1CB4C187" w14:textId="306AD2AF" w:rsidR="00E657C2" w:rsidRPr="00A60AF3" w:rsidRDefault="00033FAD" w:rsidP="000A02E9">
      <w:pPr>
        <w:spacing w:after="0" w:line="360" w:lineRule="auto"/>
        <w:jc w:val="both"/>
        <w:rPr>
          <w:b/>
          <w:bCs/>
          <w:sz w:val="32"/>
          <w:szCs w:val="32"/>
        </w:rPr>
      </w:pPr>
      <w:r w:rsidRPr="00A60AF3">
        <w:rPr>
          <w:sz w:val="32"/>
          <w:szCs w:val="32"/>
        </w:rPr>
        <w:br w:type="page"/>
      </w:r>
      <w:r w:rsidR="00E657C2" w:rsidRPr="00A60AF3">
        <w:rPr>
          <w:b/>
          <w:bCs/>
          <w:sz w:val="32"/>
          <w:szCs w:val="32"/>
        </w:rPr>
        <w:lastRenderedPageBreak/>
        <w:t xml:space="preserve">SI Results and </w:t>
      </w:r>
      <w:r w:rsidR="00F00395" w:rsidRPr="00A60AF3">
        <w:rPr>
          <w:b/>
          <w:bCs/>
          <w:sz w:val="32"/>
          <w:szCs w:val="32"/>
        </w:rPr>
        <w:t>D</w:t>
      </w:r>
      <w:r w:rsidR="00E657C2" w:rsidRPr="00A60AF3">
        <w:rPr>
          <w:b/>
          <w:bCs/>
          <w:sz w:val="32"/>
          <w:szCs w:val="32"/>
        </w:rPr>
        <w:t>iscussion</w:t>
      </w:r>
    </w:p>
    <w:p w14:paraId="5F43DD3E" w14:textId="14D4D5A3" w:rsidR="00E657C2" w:rsidRPr="00A60AF3" w:rsidRDefault="00F00395" w:rsidP="00D150D2">
      <w:pPr>
        <w:spacing w:after="0" w:line="360" w:lineRule="auto"/>
        <w:jc w:val="both"/>
        <w:rPr>
          <w:rFonts w:ascii="Aptos" w:hAnsi="Aptos"/>
          <w:b/>
          <w:bCs/>
          <w:i/>
          <w:iCs/>
        </w:rPr>
      </w:pPr>
      <w:r w:rsidRPr="00A60AF3">
        <w:rPr>
          <w:rFonts w:ascii="Aptos" w:hAnsi="Aptos"/>
          <w:b/>
          <w:bCs/>
          <w:i/>
          <w:iCs/>
        </w:rPr>
        <w:t>Sequence similarity of the dominant Unclassified Gammaproteobacteria ASVs</w:t>
      </w:r>
    </w:p>
    <w:p w14:paraId="07425FB1" w14:textId="63ED23B7" w:rsidR="00E657C2" w:rsidRDefault="00620D6F" w:rsidP="00D150D2">
      <w:pPr>
        <w:spacing w:after="0" w:line="360" w:lineRule="auto"/>
        <w:jc w:val="both"/>
        <w:rPr>
          <w:rFonts w:ascii="Aptos" w:hAnsi="Aptos"/>
        </w:rPr>
      </w:pPr>
      <w:r w:rsidRPr="00620D6F">
        <w:rPr>
          <w:rFonts w:ascii="Aptos" w:hAnsi="Aptos"/>
        </w:rPr>
        <w:t xml:space="preserve">ASV_1 was the most abundant ASV in the pooled dataset (139,268 reads; 19.43%) and exactly matched a 253-bp V4 sequence in the SILVA release 144 training set annotated as </w:t>
      </w:r>
      <w:proofErr w:type="spellStart"/>
      <w:r w:rsidRPr="00A60AF3">
        <w:rPr>
          <w:rFonts w:ascii="Aptos" w:hAnsi="Aptos"/>
          <w:i/>
        </w:rPr>
        <w:t>Ferrovum</w:t>
      </w:r>
      <w:proofErr w:type="spellEnd"/>
      <w:r w:rsidR="003E2B2C">
        <w:rPr>
          <w:rFonts w:ascii="Aptos" w:hAnsi="Aptos" w:hint="eastAsia"/>
          <w:i/>
        </w:rPr>
        <w:t xml:space="preserve"> </w:t>
      </w:r>
      <w:r w:rsidR="00742F74" w:rsidRPr="00742F74">
        <w:rPr>
          <w:rFonts w:ascii="Aptos" w:hAnsi="Aptos" w:hint="eastAsia"/>
        </w:rPr>
        <w:t>(</w:t>
      </w:r>
      <w:r w:rsidR="003E2B2C" w:rsidRPr="00742F74">
        <w:rPr>
          <w:rFonts w:ascii="Aptos" w:hAnsi="Aptos"/>
        </w:rPr>
        <w:t>Supplementary</w:t>
      </w:r>
      <w:r w:rsidR="003E2B2C" w:rsidRPr="00742F74">
        <w:rPr>
          <w:rFonts w:ascii="Aptos" w:hAnsi="Aptos" w:hint="eastAsia"/>
        </w:rPr>
        <w:t xml:space="preserve"> Figure S9)</w:t>
      </w:r>
      <w:r w:rsidRPr="00742F74">
        <w:rPr>
          <w:rFonts w:ascii="Aptos" w:hAnsi="Aptos"/>
        </w:rPr>
        <w:t>.</w:t>
      </w:r>
      <w:r w:rsidRPr="00620D6F">
        <w:rPr>
          <w:rFonts w:ascii="Aptos" w:hAnsi="Aptos"/>
        </w:rPr>
        <w:t xml:space="preserve"> However, DADA2 assigned ASV_1 only through Gammaproteobacteria, with genus-level bootstrap support of 46%, below </w:t>
      </w:r>
      <w:proofErr w:type="spellStart"/>
      <w:r w:rsidRPr="00620D6F">
        <w:rPr>
          <w:rFonts w:ascii="Aptos" w:hAnsi="Aptos"/>
        </w:rPr>
        <w:t>minBoot</w:t>
      </w:r>
      <w:proofErr w:type="spellEnd"/>
      <w:r w:rsidRPr="00620D6F">
        <w:rPr>
          <w:rFonts w:ascii="Aptos" w:hAnsi="Aptos"/>
        </w:rPr>
        <w:t xml:space="preserve"> = 80; it is therefore reported as Unclassified Gammaproteobacteria</w:t>
      </w:r>
      <w:r w:rsidR="003E2B2C">
        <w:rPr>
          <w:rFonts w:ascii="Aptos" w:hAnsi="Aptos" w:hint="eastAsia"/>
        </w:rPr>
        <w:t xml:space="preserve"> (see also </w:t>
      </w:r>
      <w:r w:rsidR="003E2B2C">
        <w:rPr>
          <w:rFonts w:ascii="Aptos" w:hAnsi="Aptos"/>
        </w:rPr>
        <w:t>Supplementary</w:t>
      </w:r>
      <w:r w:rsidR="003E2B2C">
        <w:rPr>
          <w:rFonts w:ascii="Aptos" w:hAnsi="Aptos" w:hint="eastAsia"/>
        </w:rPr>
        <w:t xml:space="preserve"> Table S8, and Figures S7)</w:t>
      </w:r>
      <w:r w:rsidRPr="00620D6F">
        <w:rPr>
          <w:rFonts w:ascii="Aptos" w:hAnsi="Aptos"/>
        </w:rPr>
        <w:t xml:space="preserve">. The short V4 sequence does not support definitive assignment to </w:t>
      </w:r>
      <w:proofErr w:type="spellStart"/>
      <w:r w:rsidRPr="00A60AF3">
        <w:rPr>
          <w:rFonts w:ascii="Aptos" w:hAnsi="Aptos"/>
          <w:i/>
          <w:iCs/>
        </w:rPr>
        <w:t>Ferrovum</w:t>
      </w:r>
      <w:proofErr w:type="spellEnd"/>
      <w:r w:rsidRPr="00620D6F">
        <w:rPr>
          <w:rFonts w:ascii="Aptos" w:hAnsi="Aptos"/>
        </w:rPr>
        <w:t xml:space="preserve"> Group II, Group III, or any other genome-defined lineage. Any group-level sequence-similarity result should be labeled provisional and accompanied by an explicit alignment, reference-sequence set, tree-building method, support values, and corresponding legend.</w:t>
      </w:r>
      <w:r>
        <w:rPr>
          <w:rFonts w:ascii="Aptos" w:hAnsi="Aptos"/>
        </w:rPr>
        <w:t xml:space="preserve"> </w:t>
      </w:r>
      <w:r w:rsidR="00E657C2">
        <w:rPr>
          <w:rFonts w:ascii="Aptos" w:hAnsi="Aptos"/>
        </w:rPr>
        <w:t xml:space="preserve">The genus </w:t>
      </w:r>
      <w:proofErr w:type="spellStart"/>
      <w:r w:rsidR="00E657C2">
        <w:rPr>
          <w:rFonts w:ascii="Aptos" w:hAnsi="Aptos"/>
          <w:i/>
          <w:iCs/>
        </w:rPr>
        <w:t>Ferrovum</w:t>
      </w:r>
      <w:proofErr w:type="spellEnd"/>
      <w:r w:rsidR="00E657C2">
        <w:rPr>
          <w:rFonts w:ascii="Aptos" w:hAnsi="Aptos"/>
        </w:rPr>
        <w:t xml:space="preserve"> was previously divided into six phylogenetic groups (Groups I–VI) by Ullrich et al. </w:t>
      </w:r>
      <w:r w:rsidR="00E657C2">
        <w:rPr>
          <w:rFonts w:ascii="Aptos" w:hAnsi="Aptos"/>
        </w:rPr>
        <w:fldChar w:fldCharType="begin"/>
      </w:r>
      <w:r w:rsidR="00742F74">
        <w:rPr>
          <w:rFonts w:ascii="Aptos" w:hAnsi="Aptos"/>
        </w:rPr>
        <w:instrText xml:space="preserve"> ADDIN EN.CITE &lt;EndNote&gt;&lt;Cite ExcludeAuth="1"&gt;&lt;Author&gt;Ullrich&lt;/Author&gt;&lt;Year&gt;2015&lt;/Year&gt;&lt;RecNum&gt;1&lt;/RecNum&gt;&lt;DisplayText&gt;&lt;style face="superscript"&gt;1&lt;/style&gt;&lt;/DisplayText&gt;&lt;record&gt;&lt;rec-number&gt;1&lt;/rec-number&gt;&lt;foreign-keys&gt;&lt;key app="EN" db-id="vv0rtdw5u9apvuevas9xrvdg5zdzwwpefd2a" timestamp="1782983816"&gt;1&lt;/key&gt;&lt;/foreign-keys&gt;&lt;ref-type name="Journal Article"&gt;17&lt;/ref-type&gt;&lt;contributors&gt;&lt;authors&gt;&lt;author&gt;Ullrich, Sophie R&lt;/author&gt;&lt;author&gt;Poehlein, Anja&lt;/author&gt;&lt;author&gt;Daniel, Rolf&lt;/author&gt;&lt;author&gt;Tischler, Judith S&lt;/author&gt;&lt;author&gt;Vogel, Sarah&lt;/author&gt;&lt;author&gt;Schlömann, Michael&lt;/author&gt;&lt;author&gt;Mühling, Martin&lt;/author&gt;&lt;/authors&gt;&lt;/contributors&gt;&lt;titles&gt;&lt;title&gt;Comparative genomics underlines the functional and taxonomic diversity of novel “Ferrovum” related iron oxidizing bacteria&lt;/title&gt;&lt;secondary-title&gt;Advanced Materials Research&lt;/secondary-title&gt;&lt;/titles&gt;&lt;periodical&gt;&lt;full-title&gt;Advanced Materials Research&lt;/full-title&gt;&lt;/periodical&gt;&lt;pages&gt;15-18&lt;/pages&gt;&lt;volume&gt;1130&lt;/volume&gt;&lt;dates&gt;&lt;year&gt;2015&lt;/year&gt;&lt;/dates&gt;&lt;isbn&gt;1662-8985&lt;/isbn&gt;&lt;urls&gt;&lt;/urls&gt;&lt;/record&gt;&lt;/Cite&gt;&lt;/EndNote&gt;</w:instrText>
      </w:r>
      <w:r w:rsidR="00E657C2">
        <w:rPr>
          <w:rFonts w:ascii="Aptos" w:hAnsi="Aptos"/>
        </w:rPr>
        <w:fldChar w:fldCharType="separate"/>
      </w:r>
      <w:r w:rsidR="00742F74" w:rsidRPr="00742F74">
        <w:rPr>
          <w:rFonts w:ascii="Aptos" w:hAnsi="Aptos"/>
          <w:noProof/>
          <w:vertAlign w:val="superscript"/>
        </w:rPr>
        <w:t>1</w:t>
      </w:r>
      <w:r w:rsidR="00E657C2">
        <w:rPr>
          <w:rFonts w:ascii="Aptos" w:hAnsi="Aptos"/>
        </w:rPr>
        <w:fldChar w:fldCharType="end"/>
      </w:r>
      <w:r w:rsidR="00E657C2">
        <w:rPr>
          <w:rFonts w:ascii="Aptos" w:hAnsi="Aptos"/>
        </w:rPr>
        <w:t xml:space="preserve">. However, genome sequences are currently available only for a limited number of lineages, and no genomes have yet been reported for Groups II and III </w:t>
      </w:r>
      <w:r w:rsidR="00E657C2">
        <w:rPr>
          <w:rFonts w:ascii="Aptos" w:hAnsi="Aptos"/>
        </w:rPr>
        <w:fldChar w:fldCharType="begin">
          <w:fldData xml:space="preserve">PEVuZE5vdGU+PENpdGU+PEF1dGhvcj5HcmV0dGVuYmVyZ2VyPC9BdXRob3I+PFllYXI+MjAyMDwv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</w:fldData>
        </w:fldChar>
      </w:r>
      <w:r w:rsidR="00742F74">
        <w:rPr>
          <w:rFonts w:ascii="Aptos" w:hAnsi="Aptos"/>
        </w:rPr>
        <w:instrText xml:space="preserve"> ADDIN EN.CITE </w:instrText>
      </w:r>
      <w:r w:rsidR="00742F74">
        <w:rPr>
          <w:rFonts w:ascii="Aptos" w:hAnsi="Aptos"/>
        </w:rPr>
        <w:fldChar w:fldCharType="begin">
          <w:fldData xml:space="preserve">PEVuZE5vdGU+PENpdGU+PEF1dGhvcj5HcmV0dGVuYmVyZ2VyPC9BdXRob3I+PFllYXI+MjAyMDwv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</w:fldData>
        </w:fldChar>
      </w:r>
      <w:r w:rsidR="00742F74">
        <w:rPr>
          <w:rFonts w:ascii="Aptos" w:hAnsi="Aptos"/>
        </w:rPr>
        <w:instrText xml:space="preserve"> ADDIN EN.CITE.DATA </w:instrText>
      </w:r>
      <w:r w:rsidR="00742F74">
        <w:rPr>
          <w:rFonts w:ascii="Aptos" w:hAnsi="Aptos"/>
        </w:rPr>
      </w:r>
      <w:r w:rsidR="00742F74">
        <w:rPr>
          <w:rFonts w:ascii="Aptos" w:hAnsi="Aptos"/>
        </w:rPr>
        <w:fldChar w:fldCharType="end"/>
      </w:r>
      <w:r w:rsidR="00E657C2">
        <w:rPr>
          <w:rFonts w:ascii="Aptos" w:hAnsi="Aptos"/>
        </w:rPr>
      </w:r>
      <w:r w:rsidR="00E657C2">
        <w:rPr>
          <w:rFonts w:ascii="Aptos" w:hAnsi="Aptos"/>
        </w:rPr>
        <w:fldChar w:fldCharType="separate"/>
      </w:r>
      <w:r w:rsidR="00742F74" w:rsidRPr="00742F74">
        <w:rPr>
          <w:rFonts w:ascii="Aptos" w:hAnsi="Aptos"/>
          <w:noProof/>
          <w:vertAlign w:val="superscript"/>
        </w:rPr>
        <w:t>2</w:t>
      </w:r>
      <w:r w:rsidR="00E657C2">
        <w:rPr>
          <w:rFonts w:ascii="Aptos" w:hAnsi="Aptos"/>
        </w:rPr>
        <w:fldChar w:fldCharType="end"/>
      </w:r>
      <w:r w:rsidR="00E657C2">
        <w:rPr>
          <w:rFonts w:ascii="Aptos" w:hAnsi="Aptos"/>
        </w:rPr>
        <w:t xml:space="preserve">. It should be noted that the “Group 2” designation used in earlier studies corresponds to Group VI in the </w:t>
      </w:r>
      <w:r w:rsidR="00DA7D5F">
        <w:rPr>
          <w:rFonts w:ascii="Aptos" w:hAnsi="Aptos" w:hint="eastAsia"/>
        </w:rPr>
        <w:t>updated</w:t>
      </w:r>
      <w:r w:rsidR="00DA7D5F">
        <w:rPr>
          <w:rFonts w:ascii="Aptos" w:hAnsi="Aptos"/>
        </w:rPr>
        <w:t xml:space="preserve"> </w:t>
      </w:r>
      <w:r w:rsidR="00E657C2">
        <w:rPr>
          <w:rFonts w:ascii="Aptos" w:hAnsi="Aptos"/>
        </w:rPr>
        <w:t>classification scheme</w:t>
      </w:r>
      <w:r w:rsidR="00DA7D5F">
        <w:rPr>
          <w:rFonts w:ascii="Aptos" w:hAnsi="Aptos" w:hint="eastAsia"/>
        </w:rPr>
        <w:t xml:space="preserve"> (</w:t>
      </w:r>
      <w:r w:rsidR="00DA7D5F">
        <w:rPr>
          <w:rFonts w:ascii="Aptos" w:hAnsi="Aptos"/>
        </w:rPr>
        <w:t>recently</w:t>
      </w:r>
      <w:r w:rsidR="00DA7D5F">
        <w:rPr>
          <w:rFonts w:ascii="Aptos" w:hAnsi="Aptos" w:hint="eastAsia"/>
        </w:rPr>
        <w:t xml:space="preserve"> </w:t>
      </w:r>
      <w:r w:rsidR="00DA7D5F">
        <w:rPr>
          <w:rFonts w:ascii="Aptos" w:hAnsi="Aptos"/>
        </w:rPr>
        <w:t>published</w:t>
      </w:r>
      <w:r w:rsidR="00DA7D5F">
        <w:rPr>
          <w:rFonts w:ascii="Aptos" w:hAnsi="Aptos" w:hint="eastAsia"/>
        </w:rPr>
        <w:t xml:space="preserve"> SILVA Release 144 database)</w:t>
      </w:r>
      <w:r w:rsidR="00E657C2">
        <w:rPr>
          <w:rFonts w:ascii="Aptos" w:hAnsi="Aptos"/>
        </w:rPr>
        <w:t xml:space="preserve"> and includes strains such as </w:t>
      </w:r>
      <w:proofErr w:type="spellStart"/>
      <w:r w:rsidR="00E657C2">
        <w:rPr>
          <w:rFonts w:ascii="Aptos" w:hAnsi="Aptos"/>
          <w:i/>
          <w:iCs/>
        </w:rPr>
        <w:t>Ferrovum</w:t>
      </w:r>
      <w:proofErr w:type="spellEnd"/>
      <w:r w:rsidR="00E657C2">
        <w:rPr>
          <w:rFonts w:ascii="Aptos" w:hAnsi="Aptos"/>
        </w:rPr>
        <w:t xml:space="preserve"> sp. JA12 and </w:t>
      </w:r>
      <w:proofErr w:type="spellStart"/>
      <w:r w:rsidR="00E657C2">
        <w:rPr>
          <w:rFonts w:ascii="Aptos" w:hAnsi="Aptos"/>
          <w:i/>
          <w:iCs/>
        </w:rPr>
        <w:t>Ferrovum</w:t>
      </w:r>
      <w:proofErr w:type="spellEnd"/>
      <w:r w:rsidR="00E657C2">
        <w:rPr>
          <w:rFonts w:ascii="Aptos" w:hAnsi="Aptos"/>
        </w:rPr>
        <w:t xml:space="preserve"> sp. PN-J185 </w:t>
      </w:r>
      <w:r w:rsidR="00E657C2">
        <w:rPr>
          <w:rFonts w:ascii="Aptos" w:hAnsi="Aptos"/>
        </w:rPr>
        <w:fldChar w:fldCharType="begin">
          <w:fldData xml:space="preserve">PEVuZE5vdGU+PENpdGU+PEF1dGhvcj5VbGxyaWNoPC9BdXRob3I+PFllYXI+MjAxNjwvWWVhcj48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</w:fldData>
        </w:fldChar>
      </w:r>
      <w:r w:rsidR="00742F74">
        <w:rPr>
          <w:rFonts w:ascii="Aptos" w:hAnsi="Aptos"/>
        </w:rPr>
        <w:instrText xml:space="preserve"> ADDIN EN.CITE </w:instrText>
      </w:r>
      <w:r w:rsidR="00742F74">
        <w:rPr>
          <w:rFonts w:ascii="Aptos" w:hAnsi="Aptos"/>
        </w:rPr>
        <w:fldChar w:fldCharType="begin">
          <w:fldData xml:space="preserve">PEVuZE5vdGU+PENpdGU+PEF1dGhvcj5VbGxyaWNoPC9BdXRob3I+PFllYXI+MjAxNjwvWWVhcj48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</w:fldData>
        </w:fldChar>
      </w:r>
      <w:r w:rsidR="00742F74">
        <w:rPr>
          <w:rFonts w:ascii="Aptos" w:hAnsi="Aptos"/>
        </w:rPr>
        <w:instrText xml:space="preserve"> ADDIN EN.CITE.DATA </w:instrText>
      </w:r>
      <w:r w:rsidR="00742F74">
        <w:rPr>
          <w:rFonts w:ascii="Aptos" w:hAnsi="Aptos"/>
        </w:rPr>
      </w:r>
      <w:r w:rsidR="00742F74">
        <w:rPr>
          <w:rFonts w:ascii="Aptos" w:hAnsi="Aptos"/>
        </w:rPr>
        <w:fldChar w:fldCharType="end"/>
      </w:r>
      <w:r w:rsidR="00E657C2">
        <w:rPr>
          <w:rFonts w:ascii="Aptos" w:hAnsi="Aptos"/>
        </w:rPr>
      </w:r>
      <w:r w:rsidR="00E657C2">
        <w:rPr>
          <w:rFonts w:ascii="Aptos" w:hAnsi="Aptos"/>
        </w:rPr>
        <w:fldChar w:fldCharType="separate"/>
      </w:r>
      <w:r w:rsidR="00742F74" w:rsidRPr="00742F74">
        <w:rPr>
          <w:rFonts w:ascii="Aptos" w:hAnsi="Aptos"/>
          <w:noProof/>
          <w:vertAlign w:val="superscript"/>
        </w:rPr>
        <w:t>3</w:t>
      </w:r>
      <w:r w:rsidR="00E657C2">
        <w:rPr>
          <w:rFonts w:ascii="Aptos" w:hAnsi="Aptos"/>
        </w:rPr>
        <w:fldChar w:fldCharType="end"/>
      </w:r>
      <w:r w:rsidR="00E657C2">
        <w:rPr>
          <w:rFonts w:ascii="Aptos" w:hAnsi="Aptos"/>
        </w:rPr>
        <w:t xml:space="preserve">. Consequently, the dominant </w:t>
      </w:r>
      <w:proofErr w:type="spellStart"/>
      <w:r w:rsidR="00E657C2">
        <w:rPr>
          <w:rFonts w:ascii="Aptos" w:hAnsi="Aptos"/>
          <w:i/>
          <w:iCs/>
        </w:rPr>
        <w:t>Ferrovum</w:t>
      </w:r>
      <w:proofErr w:type="spellEnd"/>
      <w:r w:rsidR="00E657C2">
        <w:rPr>
          <w:rFonts w:ascii="Aptos" w:hAnsi="Aptos"/>
        </w:rPr>
        <w:t xml:space="preserve"> populations identified in the present study belong to phylogenetic groups that remain genomically uncharacterized, making it difficult to infer their ecological functions based on currently available genomic information.</w:t>
      </w:r>
    </w:p>
    <w:p w14:paraId="5DB2E063" w14:textId="4E4BC08A" w:rsidR="00E657C2" w:rsidRDefault="00874F95" w:rsidP="00874F95">
      <w:pPr>
        <w:spacing w:after="0" w:line="360" w:lineRule="auto"/>
        <w:ind w:firstLine="720"/>
        <w:jc w:val="both"/>
        <w:rPr>
          <w:rFonts w:ascii="Aptos" w:hAnsi="Aptos"/>
        </w:rPr>
      </w:pPr>
      <w:r w:rsidRPr="00874F95">
        <w:rPr>
          <w:rFonts w:ascii="Aptos" w:hAnsi="Aptos"/>
        </w:rPr>
        <w:t xml:space="preserve">The dominant Unclassified Gammaproteobacteria ASVs showed different relative sequence-abundance patterns among the sampled water and biofilm categories. Because the V4 amplicons did not receive supported genus-level assignments, published genome traits of </w:t>
      </w:r>
      <w:proofErr w:type="spellStart"/>
      <w:r w:rsidRPr="00A60AF3">
        <w:rPr>
          <w:rFonts w:ascii="Aptos" w:hAnsi="Aptos"/>
          <w:i/>
        </w:rPr>
        <w:t>Ferrovum</w:t>
      </w:r>
      <w:proofErr w:type="spellEnd"/>
      <w:r w:rsidRPr="00874F95">
        <w:rPr>
          <w:rFonts w:ascii="Aptos" w:hAnsi="Aptos"/>
        </w:rPr>
        <w:t xml:space="preserve"> lineages cannot be transferred to these ASVs. Genome-resolved recovery and direct functional measurements would be required to test their identity and function. </w:t>
      </w:r>
    </w:p>
    <w:p w14:paraId="54A699BC" w14:textId="788762CD" w:rsidR="00E657C2" w:rsidRDefault="00E657C2" w:rsidP="00E657C2">
      <w:pPr>
        <w:spacing w:line="480" w:lineRule="auto"/>
        <w:rPr>
          <w:rFonts w:ascii="Aptos" w:hAnsi="Aptos"/>
        </w:rPr>
      </w:pPr>
    </w:p>
    <w:p w14:paraId="1664A64E" w14:textId="3B3171E0" w:rsidR="00E657C2" w:rsidRPr="008B7E7F" w:rsidRDefault="00E657C2" w:rsidP="008B7E7F">
      <w:pPr>
        <w:spacing w:after="0" w:line="360" w:lineRule="auto"/>
        <w:jc w:val="both"/>
        <w:rPr>
          <w:rFonts w:ascii="Aptos" w:hAnsi="Aptos"/>
          <w:b/>
          <w:bCs/>
        </w:rPr>
      </w:pPr>
      <w:r w:rsidRPr="008B7E7F">
        <w:rPr>
          <w:rFonts w:ascii="Aptos" w:hAnsi="Aptos" w:hint="eastAsia"/>
          <w:b/>
          <w:bCs/>
        </w:rPr>
        <w:t xml:space="preserve">SI </w:t>
      </w:r>
      <w:r w:rsidRPr="008B7E7F">
        <w:rPr>
          <w:rFonts w:ascii="Aptos" w:hAnsi="Aptos"/>
          <w:b/>
          <w:bCs/>
        </w:rPr>
        <w:t>References</w:t>
      </w:r>
    </w:p>
    <w:p w14:paraId="4D513DDD" w14:textId="77777777" w:rsidR="00742F74" w:rsidRPr="00742F74" w:rsidRDefault="00E657C2" w:rsidP="00742F74">
      <w:pPr>
        <w:pStyle w:val="EndNoteBibliography"/>
        <w:spacing w:after="0"/>
        <w:ind w:left="720" w:hanging="720"/>
      </w:pPr>
      <w:r>
        <w:fldChar w:fldCharType="begin"/>
      </w:r>
      <w:r>
        <w:instrText xml:space="preserve"> ADDIN EN.REFLIST </w:instrText>
      </w:r>
      <w:r>
        <w:fldChar w:fldCharType="separate"/>
      </w:r>
      <w:r w:rsidR="00742F74" w:rsidRPr="00742F74">
        <w:t>1</w:t>
      </w:r>
      <w:r w:rsidR="00742F74" w:rsidRPr="00742F74">
        <w:tab/>
        <w:t>Ullrich, S. R.</w:t>
      </w:r>
      <w:r w:rsidR="00742F74" w:rsidRPr="00742F74">
        <w:rPr>
          <w:i/>
        </w:rPr>
        <w:t xml:space="preserve"> et al.</w:t>
      </w:r>
      <w:r w:rsidR="00742F74" w:rsidRPr="00742F74">
        <w:t xml:space="preserve"> Comparative genomics underlines the functional and taxonomic diversity of novel “Ferrovum” related iron oxidizing bacteria. </w:t>
      </w:r>
      <w:r w:rsidR="00742F74" w:rsidRPr="00742F74">
        <w:rPr>
          <w:i/>
        </w:rPr>
        <w:t>Advanced Materials Research</w:t>
      </w:r>
      <w:r w:rsidR="00742F74" w:rsidRPr="00742F74">
        <w:t xml:space="preserve"> </w:t>
      </w:r>
      <w:r w:rsidR="00742F74" w:rsidRPr="00742F74">
        <w:rPr>
          <w:b/>
        </w:rPr>
        <w:t>1130</w:t>
      </w:r>
      <w:r w:rsidR="00742F74" w:rsidRPr="00742F74">
        <w:t>, 15–18 (2015).</w:t>
      </w:r>
    </w:p>
    <w:p w14:paraId="145A635D" w14:textId="77777777" w:rsidR="00742F74" w:rsidRPr="00742F74" w:rsidRDefault="00742F74" w:rsidP="00742F74">
      <w:pPr>
        <w:pStyle w:val="EndNoteBibliography"/>
        <w:spacing w:after="0"/>
        <w:ind w:left="720" w:hanging="720"/>
      </w:pPr>
      <w:r w:rsidRPr="00742F74">
        <w:t>2</w:t>
      </w:r>
      <w:r w:rsidRPr="00742F74">
        <w:tab/>
        <w:t xml:space="preserve">Grettenberger, C. L., Havig, J. R. &amp; Hamilton, T. L. Metabolic diversity and co-occurrence of multiple Ferrovum species at an acid mine drainage site. </w:t>
      </w:r>
      <w:r w:rsidRPr="00742F74">
        <w:rPr>
          <w:i/>
        </w:rPr>
        <w:t>BMC Microbiol</w:t>
      </w:r>
      <w:r w:rsidRPr="00742F74">
        <w:t xml:space="preserve"> </w:t>
      </w:r>
      <w:r w:rsidRPr="00742F74">
        <w:rPr>
          <w:b/>
        </w:rPr>
        <w:t>20</w:t>
      </w:r>
      <w:r w:rsidRPr="00742F74">
        <w:t xml:space="preserve">, 119, </w:t>
      </w:r>
      <w:r w:rsidRPr="00742F74">
        <w:lastRenderedPageBreak/>
        <w:t>doi:10.1186/s12866-020-01768-w (2020).</w:t>
      </w:r>
    </w:p>
    <w:p w14:paraId="0C5F0B3B" w14:textId="77777777" w:rsidR="00742F74" w:rsidRPr="00742F74" w:rsidRDefault="00742F74" w:rsidP="00742F74">
      <w:pPr>
        <w:pStyle w:val="EndNoteBibliography"/>
        <w:ind w:left="720" w:hanging="720"/>
      </w:pPr>
      <w:r w:rsidRPr="00742F74">
        <w:t>3</w:t>
      </w:r>
      <w:r w:rsidRPr="00742F74">
        <w:tab/>
        <w:t>Ullrich, S. R.</w:t>
      </w:r>
      <w:r w:rsidRPr="00742F74">
        <w:rPr>
          <w:i/>
        </w:rPr>
        <w:t xml:space="preserve"> et al.</w:t>
      </w:r>
      <w:r w:rsidRPr="00742F74">
        <w:t xml:space="preserve"> Gene Loss and Horizontal Gene Transfer Contributed to the Genome Evolution of the Extreme Acidophile "Ferrovum". </w:t>
      </w:r>
      <w:r w:rsidRPr="00742F74">
        <w:rPr>
          <w:i/>
        </w:rPr>
        <w:t>Front Microbiol</w:t>
      </w:r>
      <w:r w:rsidRPr="00742F74">
        <w:t xml:space="preserve"> </w:t>
      </w:r>
      <w:r w:rsidRPr="00742F74">
        <w:rPr>
          <w:b/>
        </w:rPr>
        <w:t>7</w:t>
      </w:r>
      <w:r w:rsidRPr="00742F74">
        <w:t>, 797, doi:10.3389/fmicb.2016.00797 (2016).</w:t>
      </w:r>
    </w:p>
    <w:p w14:paraId="019FCB4A" w14:textId="7A1ED85B" w:rsidR="00E657C2" w:rsidRDefault="00E657C2" w:rsidP="008B7E7F">
      <w:pPr>
        <w:spacing w:after="0" w:line="360" w:lineRule="auto"/>
        <w:jc w:val="both"/>
      </w:pPr>
      <w:r>
        <w:rPr>
          <w:rFonts w:ascii="Aptos" w:hAnsi="Aptos"/>
          <w:kern w:val="0"/>
        </w:rPr>
        <w:fldChar w:fldCharType="end"/>
      </w:r>
    </w:p>
    <w:p w14:paraId="714B3310" w14:textId="77777777" w:rsidR="00033FAD" w:rsidRDefault="00033FAD" w:rsidP="009B350C">
      <w:pPr>
        <w:spacing w:after="0" w:line="360" w:lineRule="auto"/>
        <w:jc w:val="both"/>
      </w:pPr>
    </w:p>
    <w:p w14:paraId="05585318" w14:textId="77777777" w:rsidR="003E0112" w:rsidRDefault="003E0112" w:rsidP="009B350C">
      <w:pPr>
        <w:spacing w:after="0" w:line="360" w:lineRule="auto"/>
        <w:jc w:val="both"/>
        <w:rPr>
          <w:rFonts w:ascii="Aptos" w:hAnsi="Aptos"/>
          <w:b/>
          <w:bCs/>
        </w:rPr>
        <w:sectPr w:rsidR="003E0112" w:rsidSect="00033FAD">
          <w:footerReference w:type="default" r:id="rId6"/>
          <w:pgSz w:w="11909" w:h="16834" w:code="9"/>
          <w:pgMar w:top="1440" w:right="1080" w:bottom="1440" w:left="1080" w:header="720" w:footer="720" w:gutter="0"/>
          <w:cols w:space="720"/>
          <w:docGrid w:linePitch="360"/>
        </w:sectPr>
      </w:pPr>
    </w:p>
    <w:p w14:paraId="6222191A" w14:textId="3CE1C740" w:rsidR="000A02E9" w:rsidRDefault="000A02E9" w:rsidP="009B350C">
      <w:pPr>
        <w:spacing w:after="0" w:line="360" w:lineRule="auto"/>
        <w:jc w:val="both"/>
        <w:rPr>
          <w:rFonts w:ascii="Aptos" w:hAnsi="Aptos"/>
        </w:rPr>
      </w:pPr>
      <w:r w:rsidRPr="00A60AF3">
        <w:rPr>
          <w:rFonts w:ascii="Aptos" w:hAnsi="Aptos"/>
          <w:b/>
          <w:bCs/>
          <w:sz w:val="32"/>
          <w:szCs w:val="32"/>
        </w:rPr>
        <w:lastRenderedPageBreak/>
        <w:t>Supplementary Tables and Figures</w:t>
      </w:r>
    </w:p>
    <w:p w14:paraId="71D000EB" w14:textId="77777777" w:rsidR="002637DD" w:rsidRPr="00A60AF3" w:rsidRDefault="002637DD" w:rsidP="002637DD">
      <w:pPr>
        <w:spacing w:after="0" w:line="276" w:lineRule="auto"/>
        <w:jc w:val="both"/>
        <w:rPr>
          <w:sz w:val="22"/>
          <w:szCs w:val="22"/>
        </w:rPr>
      </w:pPr>
      <w:r w:rsidRPr="004535B2">
        <w:rPr>
          <w:b/>
          <w:bCs/>
          <w:sz w:val="22"/>
          <w:szCs w:val="22"/>
        </w:rPr>
        <w:t xml:space="preserve">Supplementary </w:t>
      </w:r>
      <w:r w:rsidRPr="00A60AF3">
        <w:rPr>
          <w:b/>
          <w:sz w:val="22"/>
          <w:szCs w:val="22"/>
        </w:rPr>
        <w:t>Table S</w:t>
      </w:r>
      <w:r>
        <w:rPr>
          <w:rFonts w:hint="eastAsia"/>
          <w:b/>
          <w:sz w:val="22"/>
          <w:szCs w:val="22"/>
        </w:rPr>
        <w:t>1</w:t>
      </w:r>
      <w:r w:rsidRPr="00A60AF3">
        <w:rPr>
          <w:b/>
          <w:sz w:val="22"/>
          <w:szCs w:val="22"/>
        </w:rPr>
        <w:t>.</w:t>
      </w:r>
      <w:r w:rsidRPr="00A60AF3">
        <w:rPr>
          <w:sz w:val="22"/>
          <w:szCs w:val="22"/>
        </w:rPr>
        <w:t xml:space="preserve"> Physicochemical profiles for the three spatial Groups and community-sample mapping. Measurements are Group-level profiles and are reported descriptively; they are not used for inferential community–environment association.</w:t>
      </w:r>
    </w:p>
    <w:p w14:paraId="2E9BD8AC" w14:textId="44DB9C7A" w:rsidR="00E60264" w:rsidRDefault="00E60264" w:rsidP="00A60AF3">
      <w:pPr>
        <w:spacing w:after="0" w:line="276" w:lineRule="auto"/>
        <w:jc w:val="both"/>
        <w:rPr>
          <w:bCs/>
          <w:sz w:val="22"/>
          <w:szCs w:val="22"/>
        </w:rPr>
      </w:pPr>
    </w:p>
    <w:p w14:paraId="6CCCDA82" w14:textId="77777777" w:rsidR="00E60264" w:rsidRPr="00A60AF3" w:rsidRDefault="00E60264" w:rsidP="00A60AF3">
      <w:pPr>
        <w:spacing w:after="0" w:line="276" w:lineRule="auto"/>
        <w:jc w:val="both"/>
        <w:rPr>
          <w:sz w:val="22"/>
          <w:szCs w:val="22"/>
        </w:rPr>
      </w:pPr>
    </w:p>
    <w:p w14:paraId="3B5F92B1" w14:textId="3C78F0B1" w:rsidR="00E60264" w:rsidRDefault="00E60264" w:rsidP="00E60264">
      <w:pPr>
        <w:spacing w:after="0" w:line="276" w:lineRule="auto"/>
        <w:jc w:val="both"/>
        <w:rPr>
          <w:sz w:val="22"/>
          <w:szCs w:val="22"/>
        </w:rPr>
      </w:pPr>
      <w:r w:rsidRPr="004535B2">
        <w:rPr>
          <w:b/>
          <w:bCs/>
          <w:sz w:val="22"/>
          <w:szCs w:val="22"/>
        </w:rPr>
        <w:t xml:space="preserve">Supplementary </w:t>
      </w:r>
      <w:r w:rsidRPr="00A60AF3">
        <w:rPr>
          <w:b/>
          <w:sz w:val="22"/>
          <w:szCs w:val="22"/>
        </w:rPr>
        <w:t>Table S</w:t>
      </w:r>
      <w:r w:rsidR="0067730C">
        <w:rPr>
          <w:rFonts w:hint="eastAsia"/>
          <w:b/>
          <w:sz w:val="22"/>
          <w:szCs w:val="22"/>
        </w:rPr>
        <w:t>2</w:t>
      </w:r>
      <w:r w:rsidRPr="00A60AF3">
        <w:rPr>
          <w:b/>
          <w:sz w:val="22"/>
          <w:szCs w:val="22"/>
        </w:rPr>
        <w:t>.</w:t>
      </w:r>
      <w:r w:rsidRPr="00A60AF3">
        <w:rPr>
          <w:sz w:val="22"/>
          <w:szCs w:val="22"/>
        </w:rPr>
        <w:t xml:space="preserve"> </w:t>
      </w:r>
      <w:r w:rsidRPr="00A610F2">
        <w:rPr>
          <w:sz w:val="22"/>
          <w:szCs w:val="22"/>
        </w:rPr>
        <w:t xml:space="preserve">Per-sample read tracking through the DADA2 workflow. The table reports </w:t>
      </w:r>
      <w:proofErr w:type="gramStart"/>
      <w:r w:rsidRPr="00A610F2">
        <w:rPr>
          <w:sz w:val="22"/>
          <w:szCs w:val="22"/>
        </w:rPr>
        <w:t>read-pair</w:t>
      </w:r>
      <w:proofErr w:type="gramEnd"/>
      <w:r w:rsidRPr="00A610F2">
        <w:rPr>
          <w:sz w:val="22"/>
          <w:szCs w:val="22"/>
        </w:rPr>
        <w:t xml:space="preserve"> counts and retention at primer trimming, quality filtering, merging, chimera removal, and final length filtering, with denominators stated explicitly for each retention percentage</w:t>
      </w:r>
      <w:r w:rsidRPr="00A60AF3">
        <w:rPr>
          <w:sz w:val="22"/>
          <w:szCs w:val="22"/>
        </w:rPr>
        <w:t>.</w:t>
      </w:r>
    </w:p>
    <w:p w14:paraId="69DDD739" w14:textId="77777777" w:rsidR="00E60264" w:rsidRDefault="00E60264" w:rsidP="00E60264">
      <w:pPr>
        <w:spacing w:after="0" w:line="276" w:lineRule="auto"/>
        <w:jc w:val="both"/>
        <w:rPr>
          <w:sz w:val="22"/>
          <w:szCs w:val="22"/>
        </w:rPr>
      </w:pPr>
    </w:p>
    <w:p w14:paraId="078A606A" w14:textId="77777777" w:rsidR="0067730C" w:rsidRPr="00A60AF3" w:rsidRDefault="0067730C" w:rsidP="00E60264">
      <w:pPr>
        <w:spacing w:after="0" w:line="276" w:lineRule="auto"/>
        <w:jc w:val="both"/>
        <w:rPr>
          <w:sz w:val="22"/>
          <w:szCs w:val="22"/>
        </w:rPr>
      </w:pPr>
    </w:p>
    <w:p w14:paraId="78A6A20C" w14:textId="08C7AF9F" w:rsidR="00E60264" w:rsidRPr="00A60AF3" w:rsidRDefault="00E60264" w:rsidP="00E60264">
      <w:pPr>
        <w:spacing w:after="0" w:line="276" w:lineRule="auto"/>
        <w:jc w:val="both"/>
        <w:rPr>
          <w:sz w:val="22"/>
          <w:szCs w:val="22"/>
        </w:rPr>
      </w:pPr>
      <w:r w:rsidRPr="004535B2">
        <w:rPr>
          <w:b/>
          <w:bCs/>
          <w:sz w:val="22"/>
          <w:szCs w:val="22"/>
        </w:rPr>
        <w:t xml:space="preserve">Supplementary </w:t>
      </w:r>
      <w:r w:rsidRPr="00A60AF3">
        <w:rPr>
          <w:b/>
          <w:sz w:val="22"/>
          <w:szCs w:val="22"/>
        </w:rPr>
        <w:t>Table S</w:t>
      </w:r>
      <w:r w:rsidR="0067730C">
        <w:rPr>
          <w:rFonts w:hint="eastAsia"/>
          <w:b/>
          <w:sz w:val="22"/>
          <w:szCs w:val="22"/>
        </w:rPr>
        <w:t>3</w:t>
      </w:r>
      <w:r w:rsidRPr="00A60AF3">
        <w:rPr>
          <w:b/>
          <w:sz w:val="22"/>
          <w:szCs w:val="22"/>
        </w:rPr>
        <w:t>.</w:t>
      </w:r>
      <w:r w:rsidRPr="00A60AF3">
        <w:rPr>
          <w:sz w:val="22"/>
          <w:szCs w:val="22"/>
        </w:rPr>
        <w:t xml:space="preserve"> Continuous genus-level Levins’ niche breadth and aggregation sensitivity across three microhabitat Types. Equal-weighted Type means are the primary calculation; pooled counts within Type are the sensitivity calculation. No categorical generalist or specialist calls were assigned.</w:t>
      </w:r>
    </w:p>
    <w:p w14:paraId="4B03110F" w14:textId="77777777" w:rsidR="000A02E9" w:rsidRDefault="000A02E9" w:rsidP="00A60AF3">
      <w:pPr>
        <w:spacing w:after="0" w:line="276" w:lineRule="auto"/>
        <w:jc w:val="both"/>
        <w:rPr>
          <w:sz w:val="22"/>
          <w:szCs w:val="22"/>
        </w:rPr>
      </w:pPr>
    </w:p>
    <w:p w14:paraId="5CBB3060" w14:textId="77777777" w:rsidR="0067730C" w:rsidRDefault="0067730C" w:rsidP="00A60AF3">
      <w:pPr>
        <w:spacing w:after="0" w:line="276" w:lineRule="auto"/>
        <w:jc w:val="both"/>
        <w:rPr>
          <w:sz w:val="22"/>
          <w:szCs w:val="22"/>
        </w:rPr>
      </w:pPr>
    </w:p>
    <w:p w14:paraId="32BF100A" w14:textId="20A0D369" w:rsidR="00F46E0A" w:rsidRDefault="00F46E0A" w:rsidP="00F46E0A">
      <w:pPr>
        <w:spacing w:after="0" w:line="276" w:lineRule="auto"/>
        <w:jc w:val="both"/>
        <w:rPr>
          <w:bCs/>
          <w:sz w:val="22"/>
          <w:szCs w:val="22"/>
        </w:rPr>
      </w:pPr>
      <w:r w:rsidRPr="004535B2">
        <w:rPr>
          <w:b/>
          <w:bCs/>
          <w:sz w:val="22"/>
          <w:szCs w:val="22"/>
        </w:rPr>
        <w:t xml:space="preserve">Supplementary </w:t>
      </w:r>
      <w:r w:rsidRPr="00A60AF3">
        <w:rPr>
          <w:b/>
          <w:sz w:val="22"/>
          <w:szCs w:val="22"/>
        </w:rPr>
        <w:t>Table S</w:t>
      </w:r>
      <w:r w:rsidR="0067730C">
        <w:rPr>
          <w:rFonts w:hint="eastAsia"/>
          <w:b/>
          <w:sz w:val="22"/>
          <w:szCs w:val="22"/>
        </w:rPr>
        <w:t>4</w:t>
      </w:r>
      <w:r>
        <w:rPr>
          <w:rFonts w:hint="eastAsia"/>
          <w:b/>
          <w:sz w:val="22"/>
          <w:szCs w:val="22"/>
        </w:rPr>
        <w:t>.</w:t>
      </w:r>
      <w:r w:rsidRPr="00DF1C6F">
        <w:t xml:space="preserve"> </w:t>
      </w:r>
      <w:r w:rsidRPr="00A60AF3">
        <w:rPr>
          <w:bCs/>
          <w:sz w:val="22"/>
          <w:szCs w:val="22"/>
        </w:rPr>
        <w:t xml:space="preserve">Sample metadata, sequencing identifiers, microhabitat Type, spatial Group, and Group-level physicochemical profiles. The table maps </w:t>
      </w:r>
      <w:r>
        <w:rPr>
          <w:bCs/>
          <w:sz w:val="22"/>
          <w:szCs w:val="22"/>
        </w:rPr>
        <w:t>‘</w:t>
      </w:r>
      <w:proofErr w:type="spellStart"/>
      <w:r w:rsidRPr="00A60AF3">
        <w:rPr>
          <w:bCs/>
          <w:sz w:val="22"/>
          <w:szCs w:val="22"/>
        </w:rPr>
        <w:t>seq_ID</w:t>
      </w:r>
      <w:proofErr w:type="spellEnd"/>
      <w:r>
        <w:rPr>
          <w:bCs/>
          <w:sz w:val="22"/>
          <w:szCs w:val="22"/>
        </w:rPr>
        <w:t>’</w:t>
      </w:r>
      <w:r w:rsidRPr="00A60AF3">
        <w:rPr>
          <w:bCs/>
          <w:sz w:val="22"/>
          <w:szCs w:val="22"/>
        </w:rPr>
        <w:t xml:space="preserve"> and </w:t>
      </w:r>
      <w:r>
        <w:rPr>
          <w:bCs/>
          <w:sz w:val="22"/>
          <w:szCs w:val="22"/>
        </w:rPr>
        <w:t>‘</w:t>
      </w:r>
      <w:proofErr w:type="spellStart"/>
      <w:r>
        <w:rPr>
          <w:rFonts w:hint="eastAsia"/>
          <w:bCs/>
          <w:sz w:val="22"/>
          <w:szCs w:val="22"/>
        </w:rPr>
        <w:t>analysis_name</w:t>
      </w:r>
      <w:proofErr w:type="spellEnd"/>
      <w:r>
        <w:rPr>
          <w:bCs/>
          <w:sz w:val="22"/>
          <w:szCs w:val="22"/>
        </w:rPr>
        <w:t>’</w:t>
      </w:r>
      <w:r w:rsidRPr="00A60AF3">
        <w:rPr>
          <w:bCs/>
          <w:sz w:val="22"/>
          <w:szCs w:val="22"/>
        </w:rPr>
        <w:t xml:space="preserve"> to the seven community samples and to the three spatial Groups. Physicochemical measurements are Group-level profiles and are reported descriptively; they are not used for inferential community–environment association.</w:t>
      </w:r>
    </w:p>
    <w:p w14:paraId="529E2CC0" w14:textId="77777777" w:rsidR="00F46E0A" w:rsidRDefault="00F46E0A" w:rsidP="00A60AF3">
      <w:pPr>
        <w:spacing w:after="0" w:line="276" w:lineRule="auto"/>
        <w:jc w:val="both"/>
        <w:rPr>
          <w:sz w:val="22"/>
          <w:szCs w:val="22"/>
        </w:rPr>
      </w:pPr>
    </w:p>
    <w:p w14:paraId="3EA1C1BF" w14:textId="77777777" w:rsidR="0067730C" w:rsidRPr="00A60AF3" w:rsidRDefault="0067730C" w:rsidP="00A60AF3">
      <w:pPr>
        <w:spacing w:after="0" w:line="276" w:lineRule="auto"/>
        <w:jc w:val="both"/>
        <w:rPr>
          <w:sz w:val="22"/>
          <w:szCs w:val="22"/>
        </w:rPr>
      </w:pPr>
    </w:p>
    <w:p w14:paraId="4FB24743" w14:textId="380EC060" w:rsidR="000A02E9" w:rsidRPr="00A60AF3" w:rsidRDefault="00CA571C" w:rsidP="00A60AF3">
      <w:pPr>
        <w:spacing w:after="0" w:line="276" w:lineRule="auto"/>
        <w:jc w:val="both"/>
        <w:rPr>
          <w:sz w:val="22"/>
          <w:szCs w:val="22"/>
        </w:rPr>
      </w:pPr>
      <w:r w:rsidRPr="004535B2">
        <w:rPr>
          <w:b/>
          <w:bCs/>
          <w:sz w:val="22"/>
          <w:szCs w:val="22"/>
        </w:rPr>
        <w:t xml:space="preserve">Supplementary </w:t>
      </w:r>
      <w:r w:rsidR="000A02E9" w:rsidRPr="00A60AF3">
        <w:rPr>
          <w:b/>
          <w:sz w:val="22"/>
          <w:szCs w:val="22"/>
        </w:rPr>
        <w:t>Table S</w:t>
      </w:r>
      <w:r w:rsidR="0067730C">
        <w:rPr>
          <w:rFonts w:hint="eastAsia"/>
          <w:b/>
          <w:sz w:val="22"/>
          <w:szCs w:val="22"/>
        </w:rPr>
        <w:t>5</w:t>
      </w:r>
      <w:r w:rsidR="000A02E9" w:rsidRPr="00A60AF3">
        <w:rPr>
          <w:b/>
          <w:sz w:val="22"/>
          <w:szCs w:val="22"/>
        </w:rPr>
        <w:t>.</w:t>
      </w:r>
      <w:r w:rsidR="000A02E9" w:rsidRPr="00A60AF3">
        <w:rPr>
          <w:sz w:val="22"/>
          <w:szCs w:val="22"/>
        </w:rPr>
        <w:t xml:space="preserve"> </w:t>
      </w:r>
      <w:proofErr w:type="spellStart"/>
      <w:r w:rsidR="000A02E9" w:rsidRPr="00A60AF3">
        <w:rPr>
          <w:sz w:val="22"/>
          <w:szCs w:val="22"/>
        </w:rPr>
        <w:t>CPCoA</w:t>
      </w:r>
      <w:proofErr w:type="spellEnd"/>
      <w:r w:rsidR="000A02E9" w:rsidRPr="00A60AF3">
        <w:rPr>
          <w:sz w:val="22"/>
          <w:szCs w:val="22"/>
        </w:rPr>
        <w:t xml:space="preserve"> and PERMDISP summary. The primary </w:t>
      </w:r>
      <w:proofErr w:type="spellStart"/>
      <w:r w:rsidR="000A02E9" w:rsidRPr="00A60AF3">
        <w:rPr>
          <w:sz w:val="22"/>
          <w:szCs w:val="22"/>
        </w:rPr>
        <w:t>CPCoA</w:t>
      </w:r>
      <w:proofErr w:type="spellEnd"/>
      <w:r w:rsidR="000A02E9" w:rsidRPr="00A60AF3">
        <w:rPr>
          <w:sz w:val="22"/>
          <w:szCs w:val="22"/>
        </w:rPr>
        <w:t xml:space="preserve"> used square-root-transformed Bray–</w:t>
      </w:r>
      <w:proofErr w:type="gramStart"/>
      <w:r w:rsidR="000A02E9" w:rsidRPr="00A60AF3">
        <w:rPr>
          <w:sz w:val="22"/>
          <w:szCs w:val="22"/>
        </w:rPr>
        <w:t>Curtis</w:t>
      </w:r>
      <w:proofErr w:type="gramEnd"/>
      <w:r w:rsidR="000A02E9" w:rsidRPr="00A60AF3">
        <w:rPr>
          <w:sz w:val="22"/>
          <w:szCs w:val="22"/>
        </w:rPr>
        <w:t xml:space="preserve"> dissimilarities calculated after rarefaction to 88,397 reads per sample. The Type-constrained analysis is exploratory, with 5,039 enumerated </w:t>
      </w:r>
      <w:proofErr w:type="gramStart"/>
      <w:r w:rsidR="000A02E9" w:rsidRPr="00A60AF3">
        <w:rPr>
          <w:sz w:val="22"/>
          <w:szCs w:val="22"/>
        </w:rPr>
        <w:t>nonidentity</w:t>
      </w:r>
      <w:proofErr w:type="gramEnd"/>
      <w:r w:rsidR="000A02E9" w:rsidRPr="00A60AF3">
        <w:rPr>
          <w:sz w:val="22"/>
          <w:szCs w:val="22"/>
        </w:rPr>
        <w:t xml:space="preserve"> unrestricted sample permutations for </w:t>
      </w:r>
      <w:proofErr w:type="spellStart"/>
      <w:r w:rsidR="000A02E9" w:rsidRPr="00A60AF3">
        <w:rPr>
          <w:sz w:val="22"/>
          <w:szCs w:val="22"/>
        </w:rPr>
        <w:t>CPCoA</w:t>
      </w:r>
      <w:proofErr w:type="spellEnd"/>
      <w:r w:rsidR="000A02E9" w:rsidRPr="00A60AF3">
        <w:rPr>
          <w:sz w:val="22"/>
          <w:szCs w:val="22"/>
        </w:rPr>
        <w:t xml:space="preserve"> and 999 requested permutations for PERMDISP; physicochemical variables were not used as constraints.</w:t>
      </w:r>
    </w:p>
    <w:p w14:paraId="0564B4E1" w14:textId="77777777" w:rsidR="000A02E9" w:rsidRDefault="000A02E9" w:rsidP="00A60AF3">
      <w:pPr>
        <w:spacing w:after="0" w:line="276" w:lineRule="auto"/>
        <w:jc w:val="both"/>
        <w:rPr>
          <w:sz w:val="22"/>
          <w:szCs w:val="22"/>
        </w:rPr>
      </w:pPr>
    </w:p>
    <w:p w14:paraId="6BED1A00" w14:textId="77777777" w:rsidR="0067730C" w:rsidRDefault="0067730C" w:rsidP="00A60AF3">
      <w:pPr>
        <w:spacing w:after="0" w:line="276" w:lineRule="auto"/>
        <w:jc w:val="both"/>
        <w:rPr>
          <w:sz w:val="22"/>
          <w:szCs w:val="22"/>
        </w:rPr>
      </w:pPr>
    </w:p>
    <w:p w14:paraId="037BBF8F" w14:textId="28F6E45D" w:rsidR="000A02E9" w:rsidRPr="00A60AF3" w:rsidRDefault="00CA571C" w:rsidP="00A60AF3">
      <w:pPr>
        <w:spacing w:after="0" w:line="276" w:lineRule="auto"/>
        <w:jc w:val="both"/>
        <w:rPr>
          <w:sz w:val="22"/>
          <w:szCs w:val="22"/>
        </w:rPr>
      </w:pPr>
      <w:r w:rsidRPr="004535B2">
        <w:rPr>
          <w:b/>
          <w:bCs/>
          <w:sz w:val="22"/>
          <w:szCs w:val="22"/>
        </w:rPr>
        <w:t xml:space="preserve">Supplementary </w:t>
      </w:r>
      <w:r w:rsidR="000A02E9" w:rsidRPr="00A60AF3">
        <w:rPr>
          <w:b/>
          <w:sz w:val="22"/>
          <w:szCs w:val="22"/>
        </w:rPr>
        <w:t>Table S</w:t>
      </w:r>
      <w:r w:rsidR="0067730C">
        <w:rPr>
          <w:rFonts w:hint="eastAsia"/>
          <w:b/>
          <w:sz w:val="22"/>
          <w:szCs w:val="22"/>
        </w:rPr>
        <w:t>6</w:t>
      </w:r>
      <w:r w:rsidR="000A02E9" w:rsidRPr="00A60AF3">
        <w:rPr>
          <w:b/>
          <w:sz w:val="22"/>
          <w:szCs w:val="22"/>
        </w:rPr>
        <w:t>.</w:t>
      </w:r>
      <w:r w:rsidR="000A02E9" w:rsidRPr="00A60AF3">
        <w:rPr>
          <w:sz w:val="22"/>
          <w:szCs w:val="22"/>
        </w:rPr>
        <w:t xml:space="preserve"> Domain-level composition of Archaea and Bacteria per sample, reaggregated from the final ASV count table with canonical SILVA r144 taxonomy.</w:t>
      </w:r>
    </w:p>
    <w:p w14:paraId="1699B166" w14:textId="77777777" w:rsidR="00F46E0A" w:rsidRDefault="00F46E0A" w:rsidP="00A60AF3">
      <w:pPr>
        <w:spacing w:after="0" w:line="276" w:lineRule="auto"/>
        <w:jc w:val="both"/>
        <w:rPr>
          <w:sz w:val="22"/>
          <w:szCs w:val="22"/>
        </w:rPr>
      </w:pPr>
    </w:p>
    <w:p w14:paraId="1686D9A2" w14:textId="77777777" w:rsidR="0067730C" w:rsidRPr="00A60AF3" w:rsidRDefault="0067730C" w:rsidP="00A60AF3">
      <w:pPr>
        <w:spacing w:after="0" w:line="276" w:lineRule="auto"/>
        <w:jc w:val="both"/>
        <w:rPr>
          <w:sz w:val="22"/>
          <w:szCs w:val="22"/>
        </w:rPr>
      </w:pPr>
    </w:p>
    <w:p w14:paraId="1F9266E9" w14:textId="22A3942F" w:rsidR="000A02E9" w:rsidRPr="00A60AF3" w:rsidRDefault="00CA571C" w:rsidP="00A60AF3">
      <w:pPr>
        <w:spacing w:after="0" w:line="276" w:lineRule="auto"/>
        <w:jc w:val="both"/>
        <w:rPr>
          <w:sz w:val="22"/>
          <w:szCs w:val="22"/>
        </w:rPr>
      </w:pPr>
      <w:r w:rsidRPr="004535B2">
        <w:rPr>
          <w:b/>
          <w:bCs/>
          <w:sz w:val="22"/>
          <w:szCs w:val="22"/>
        </w:rPr>
        <w:t xml:space="preserve">Supplementary </w:t>
      </w:r>
      <w:r w:rsidR="000A02E9" w:rsidRPr="00A60AF3">
        <w:rPr>
          <w:b/>
          <w:sz w:val="22"/>
          <w:szCs w:val="22"/>
        </w:rPr>
        <w:t>Table S</w:t>
      </w:r>
      <w:r w:rsidR="0067730C">
        <w:rPr>
          <w:rFonts w:hint="eastAsia"/>
          <w:b/>
          <w:sz w:val="22"/>
          <w:szCs w:val="22"/>
        </w:rPr>
        <w:t>7</w:t>
      </w:r>
      <w:r w:rsidR="000A02E9" w:rsidRPr="00A60AF3">
        <w:rPr>
          <w:b/>
          <w:sz w:val="22"/>
          <w:szCs w:val="22"/>
        </w:rPr>
        <w:t>.</w:t>
      </w:r>
      <w:r w:rsidR="000A02E9" w:rsidRPr="00A60AF3">
        <w:rPr>
          <w:sz w:val="22"/>
          <w:szCs w:val="22"/>
        </w:rPr>
        <w:t xml:space="preserve"> Phylum-level relative abundance per sample. Formal values were reaggregated by exact ASV sequence </w:t>
      </w:r>
      <w:proofErr w:type="gramStart"/>
      <w:r w:rsidR="000A02E9" w:rsidRPr="00A60AF3">
        <w:rPr>
          <w:sz w:val="22"/>
          <w:szCs w:val="22"/>
        </w:rPr>
        <w:t>join to</w:t>
      </w:r>
      <w:proofErr w:type="gramEnd"/>
      <w:r w:rsidR="000A02E9" w:rsidRPr="00A60AF3">
        <w:rPr>
          <w:sz w:val="22"/>
          <w:szCs w:val="22"/>
        </w:rPr>
        <w:t xml:space="preserve"> the canonical SILVA r144 taxonomy table using DADA2 </w:t>
      </w:r>
      <w:proofErr w:type="spellStart"/>
      <w:r w:rsidR="000A02E9" w:rsidRPr="00A60AF3">
        <w:rPr>
          <w:sz w:val="22"/>
          <w:szCs w:val="22"/>
        </w:rPr>
        <w:t>assignTaxonomy</w:t>
      </w:r>
      <w:proofErr w:type="spellEnd"/>
      <w:r w:rsidR="000A02E9" w:rsidRPr="00A60AF3">
        <w:rPr>
          <w:sz w:val="22"/>
          <w:szCs w:val="22"/>
        </w:rPr>
        <w:t xml:space="preserve"> with </w:t>
      </w:r>
      <w:proofErr w:type="spellStart"/>
      <w:r w:rsidR="000A02E9" w:rsidRPr="00A60AF3">
        <w:rPr>
          <w:sz w:val="22"/>
          <w:szCs w:val="22"/>
        </w:rPr>
        <w:t>minBoot</w:t>
      </w:r>
      <w:proofErr w:type="spellEnd"/>
      <w:r w:rsidR="000A02E9" w:rsidRPr="00A60AF3">
        <w:rPr>
          <w:sz w:val="22"/>
          <w:szCs w:val="22"/>
        </w:rPr>
        <w:t xml:space="preserve"> = 80.</w:t>
      </w:r>
    </w:p>
    <w:p w14:paraId="4E82C54C" w14:textId="77777777" w:rsidR="000A02E9" w:rsidRDefault="000A02E9" w:rsidP="00A60AF3">
      <w:pPr>
        <w:spacing w:after="0" w:line="276" w:lineRule="auto"/>
        <w:jc w:val="both"/>
        <w:rPr>
          <w:sz w:val="22"/>
          <w:szCs w:val="22"/>
        </w:rPr>
      </w:pPr>
    </w:p>
    <w:p w14:paraId="7A3E3A6B" w14:textId="77777777" w:rsidR="0067730C" w:rsidRPr="00A60AF3" w:rsidRDefault="0067730C" w:rsidP="00A60AF3">
      <w:pPr>
        <w:spacing w:after="0" w:line="276" w:lineRule="auto"/>
        <w:jc w:val="both"/>
        <w:rPr>
          <w:sz w:val="22"/>
          <w:szCs w:val="22"/>
        </w:rPr>
      </w:pPr>
    </w:p>
    <w:p w14:paraId="6505E244" w14:textId="70EF1E34" w:rsidR="000A02E9" w:rsidRPr="00A60AF3" w:rsidRDefault="00CA571C" w:rsidP="00A60AF3">
      <w:pPr>
        <w:spacing w:after="0" w:line="276" w:lineRule="auto"/>
        <w:jc w:val="both"/>
        <w:rPr>
          <w:sz w:val="22"/>
          <w:szCs w:val="22"/>
        </w:rPr>
      </w:pPr>
      <w:r w:rsidRPr="004535B2">
        <w:rPr>
          <w:b/>
          <w:bCs/>
          <w:sz w:val="22"/>
          <w:szCs w:val="22"/>
        </w:rPr>
        <w:t xml:space="preserve">Supplementary </w:t>
      </w:r>
      <w:r w:rsidR="000A02E9" w:rsidRPr="00A60AF3">
        <w:rPr>
          <w:b/>
          <w:sz w:val="22"/>
          <w:szCs w:val="22"/>
        </w:rPr>
        <w:t>Table S</w:t>
      </w:r>
      <w:r w:rsidR="0067730C">
        <w:rPr>
          <w:rFonts w:hint="eastAsia"/>
          <w:b/>
          <w:sz w:val="22"/>
          <w:szCs w:val="22"/>
        </w:rPr>
        <w:t>8</w:t>
      </w:r>
      <w:r w:rsidR="000A02E9" w:rsidRPr="00A60AF3">
        <w:rPr>
          <w:b/>
          <w:sz w:val="22"/>
          <w:szCs w:val="22"/>
        </w:rPr>
        <w:t>.</w:t>
      </w:r>
      <w:r w:rsidR="000A02E9" w:rsidRPr="00A60AF3">
        <w:rPr>
          <w:sz w:val="22"/>
          <w:szCs w:val="22"/>
        </w:rPr>
        <w:t xml:space="preserve"> Formal SILVA r144 taxonomy and rank-specific bootstrap diagnostics for the 30 most abundant ASVs. Formal rank labels use DADA2 </w:t>
      </w:r>
      <w:proofErr w:type="spellStart"/>
      <w:r w:rsidR="000A02E9" w:rsidRPr="00A60AF3">
        <w:rPr>
          <w:sz w:val="22"/>
          <w:szCs w:val="22"/>
        </w:rPr>
        <w:t>assignTaxonomy</w:t>
      </w:r>
      <w:proofErr w:type="spellEnd"/>
      <w:r w:rsidR="000A02E9" w:rsidRPr="00A60AF3">
        <w:rPr>
          <w:sz w:val="22"/>
          <w:szCs w:val="22"/>
        </w:rPr>
        <w:t xml:space="preserve"> with </w:t>
      </w:r>
      <w:proofErr w:type="spellStart"/>
      <w:r w:rsidR="000A02E9" w:rsidRPr="00A60AF3">
        <w:rPr>
          <w:sz w:val="22"/>
          <w:szCs w:val="22"/>
        </w:rPr>
        <w:t>minBoot</w:t>
      </w:r>
      <w:proofErr w:type="spellEnd"/>
      <w:r w:rsidR="000A02E9" w:rsidRPr="00A60AF3">
        <w:rPr>
          <w:sz w:val="22"/>
          <w:szCs w:val="22"/>
        </w:rPr>
        <w:t xml:space="preserve"> = 80; adjacent bootstrap columns are diagnostic and do not replace the formal taxonomy.</w:t>
      </w:r>
    </w:p>
    <w:p w14:paraId="2DC63B52" w14:textId="77777777" w:rsidR="000A02E9" w:rsidRDefault="000A02E9" w:rsidP="00A60AF3">
      <w:pPr>
        <w:spacing w:after="0" w:line="276" w:lineRule="auto"/>
        <w:jc w:val="both"/>
        <w:rPr>
          <w:sz w:val="22"/>
          <w:szCs w:val="22"/>
        </w:rPr>
      </w:pPr>
    </w:p>
    <w:p w14:paraId="63CAE694" w14:textId="77777777" w:rsidR="00CA571C" w:rsidRDefault="00CA571C">
      <w:pPr>
        <w:rPr>
          <w:b/>
          <w:bCs/>
          <w:sz w:val="22"/>
          <w:szCs w:val="22"/>
        </w:rPr>
      </w:pPr>
      <w:r>
        <w:rPr>
          <w:b/>
          <w:bCs/>
          <w:sz w:val="22"/>
          <w:szCs w:val="22"/>
        </w:rPr>
        <w:br w:type="page"/>
      </w:r>
    </w:p>
    <w:p w14:paraId="1D6D7FDA" w14:textId="77777777" w:rsidR="007D6104" w:rsidRPr="00A60AF3" w:rsidRDefault="007D6104" w:rsidP="007D6104">
      <w:pPr>
        <w:spacing w:after="0" w:line="276" w:lineRule="auto"/>
        <w:jc w:val="both"/>
        <w:rPr>
          <w:b/>
          <w:bCs/>
          <w:sz w:val="22"/>
          <w:szCs w:val="22"/>
        </w:rPr>
      </w:pPr>
      <w:r w:rsidRPr="00A60AF3">
        <w:rPr>
          <w:b/>
          <w:bCs/>
          <w:sz w:val="22"/>
          <w:szCs w:val="22"/>
        </w:rPr>
        <w:lastRenderedPageBreak/>
        <w:t>Supplementary Figure S</w:t>
      </w:r>
      <w:r>
        <w:rPr>
          <w:rFonts w:hint="eastAsia"/>
          <w:b/>
          <w:bCs/>
          <w:sz w:val="22"/>
          <w:szCs w:val="22"/>
        </w:rPr>
        <w:t>1</w:t>
      </w:r>
      <w:r w:rsidRPr="00A60AF3">
        <w:rPr>
          <w:b/>
          <w:bCs/>
          <w:sz w:val="22"/>
          <w:szCs w:val="22"/>
        </w:rPr>
        <w:t xml:space="preserve">. </w:t>
      </w:r>
      <w:r w:rsidRPr="00A60AF3">
        <w:rPr>
          <w:sz w:val="22"/>
          <w:szCs w:val="22"/>
        </w:rPr>
        <w:t>Continuous genus-level standardized Levins’ niche breadth across the three microhabitat Types. (a) Standardized Levins’ niche breadth (B_A) is plotted against mean relative sequence abundance across seven samples for all 129 named genera. (b) B_A is shown for the 15 named genera with the greatest mean relative sequence abundance. Genus-level relative sequence abundances were calculated within each sample and then averaged within AMD precipitate-associated biofilm, wall-attached biofilm, and water, giving every sample equal weight. For each genus, B = 1/Σp_i² and B_A = (B − 1)</w:t>
      </w:r>
      <w:proofErr w:type="gramStart"/>
      <w:r w:rsidRPr="00A60AF3">
        <w:rPr>
          <w:sz w:val="22"/>
          <w:szCs w:val="22"/>
        </w:rPr>
        <w:t>/(</w:t>
      </w:r>
      <w:proofErr w:type="gramEnd"/>
      <w:r w:rsidRPr="00A60AF3">
        <w:rPr>
          <w:sz w:val="22"/>
          <w:szCs w:val="22"/>
        </w:rPr>
        <w:t xml:space="preserve">3 − 1), where </w:t>
      </w:r>
      <w:proofErr w:type="spellStart"/>
      <w:r w:rsidRPr="00A60AF3">
        <w:rPr>
          <w:sz w:val="22"/>
          <w:szCs w:val="22"/>
        </w:rPr>
        <w:t>p_i</w:t>
      </w:r>
      <w:proofErr w:type="spellEnd"/>
      <w:r w:rsidRPr="00A60AF3">
        <w:rPr>
          <w:sz w:val="22"/>
          <w:szCs w:val="22"/>
        </w:rPr>
        <w:t xml:space="preserve"> is the proportional representation among three Type-level mean abundances. Teal identifies the 15 most abundant named genera and gray the remaining named genera. Higher B_A indicates a more even relative sequence-abundance distribution among the three sampled Types. Values are continuous descriptive summaries; no generalist, intermediate, or specialist threshold was applied, and the figure does not measure physiological niche breadth or environmental tolerance.</w:t>
      </w:r>
    </w:p>
    <w:p w14:paraId="0CCE9D06" w14:textId="0201D8F1" w:rsidR="007D6104" w:rsidRPr="00A60AF3" w:rsidRDefault="004F4A51" w:rsidP="007D6104">
      <w:pPr>
        <w:spacing w:after="0" w:line="276" w:lineRule="auto"/>
        <w:jc w:val="both"/>
        <w:rPr>
          <w:b/>
          <w:bCs/>
          <w:sz w:val="22"/>
          <w:szCs w:val="22"/>
        </w:rPr>
      </w:pPr>
      <w:r>
        <w:rPr>
          <w:noProof/>
        </w:rPr>
        <w:drawing>
          <wp:inline distT="0" distB="0" distL="0" distR="0" wp14:anchorId="2B2CD3D9" wp14:editId="34505684">
            <wp:extent cx="6190615" cy="4376420"/>
            <wp:effectExtent l="0" t="0" r="635" b="5080"/>
            <wp:docPr id="1559193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93950" name=""/>
                    <pic:cNvPicPr/>
                  </pic:nvPicPr>
                  <pic:blipFill>
                    <a:blip r:embed="rId7"/>
                    <a:stretch>
                      <a:fillRect/>
                    </a:stretch>
                  </pic:blipFill>
                  <pic:spPr>
                    <a:xfrm>
                      <a:off x="0" y="0"/>
                      <a:ext cx="6190615" cy="4376420"/>
                    </a:xfrm>
                    <a:prstGeom prst="rect">
                      <a:avLst/>
                    </a:prstGeom>
                  </pic:spPr>
                </pic:pic>
              </a:graphicData>
            </a:graphic>
          </wp:inline>
        </w:drawing>
      </w:r>
    </w:p>
    <w:p w14:paraId="6D6AA5F3" w14:textId="77777777" w:rsidR="007D6104" w:rsidRDefault="007D6104" w:rsidP="007D6104">
      <w:pPr>
        <w:rPr>
          <w:b/>
          <w:bCs/>
          <w:sz w:val="22"/>
          <w:szCs w:val="22"/>
        </w:rPr>
      </w:pPr>
      <w:r>
        <w:rPr>
          <w:b/>
          <w:bCs/>
          <w:sz w:val="22"/>
          <w:szCs w:val="22"/>
        </w:rPr>
        <w:br w:type="page"/>
      </w:r>
    </w:p>
    <w:p w14:paraId="2F6D5304" w14:textId="77777777" w:rsidR="007D6104" w:rsidRPr="00A60AF3" w:rsidRDefault="007D6104" w:rsidP="007D6104">
      <w:pPr>
        <w:spacing w:after="0" w:line="276" w:lineRule="auto"/>
        <w:jc w:val="both"/>
        <w:rPr>
          <w:b/>
          <w:bCs/>
          <w:sz w:val="22"/>
          <w:szCs w:val="22"/>
        </w:rPr>
      </w:pPr>
      <w:r w:rsidRPr="00A60AF3">
        <w:rPr>
          <w:b/>
          <w:bCs/>
          <w:sz w:val="22"/>
          <w:szCs w:val="22"/>
        </w:rPr>
        <w:lastRenderedPageBreak/>
        <w:t>Supplementary Figure S</w:t>
      </w:r>
      <w:r>
        <w:rPr>
          <w:rFonts w:hint="eastAsia"/>
          <w:b/>
          <w:bCs/>
          <w:sz w:val="22"/>
          <w:szCs w:val="22"/>
        </w:rPr>
        <w:t>2</w:t>
      </w:r>
      <w:r w:rsidRPr="00A60AF3">
        <w:rPr>
          <w:b/>
          <w:bCs/>
          <w:sz w:val="22"/>
          <w:szCs w:val="22"/>
        </w:rPr>
        <w:t xml:space="preserve">. </w:t>
      </w:r>
      <w:r w:rsidRPr="00A60AF3">
        <w:rPr>
          <w:sz w:val="22"/>
          <w:szCs w:val="22"/>
        </w:rPr>
        <w:t>Sensitivity of continuous genus-level standardized Levins’ niche breadth to Type aggregation. Each point represents one of 129 named genera. The x-axis shows B_A calculated from equal-weighted Type means of sample relative sequence abundances (primary analysis); the y-axis shows B_A calculated after pooling genus counts within each Type (sensitivity analysis). The dashed line denotes equal values. Teal identifies the 15 named genera with the greatest mean relative sequence abundance; gray identifies the remaining genera. The median absolute difference in B_A was 0.022 and the maximum was 0.199. Pooled-read aggregation gives greater weight to Types represented by more samples and to samples with greater read depth. This sensitivity analysis is not an independent validation or a basis for categorical generalist or specialist assignment.</w:t>
      </w:r>
    </w:p>
    <w:p w14:paraId="2E00C5B9" w14:textId="1BEC358C" w:rsidR="007D6104" w:rsidRDefault="004F4A51" w:rsidP="007D6104">
      <w:pPr>
        <w:spacing w:after="0" w:line="276" w:lineRule="auto"/>
        <w:jc w:val="both"/>
        <w:rPr>
          <w:b/>
          <w:bCs/>
          <w:sz w:val="22"/>
          <w:szCs w:val="22"/>
        </w:rPr>
      </w:pPr>
      <w:r>
        <w:rPr>
          <w:noProof/>
        </w:rPr>
        <w:drawing>
          <wp:inline distT="0" distB="0" distL="0" distR="0" wp14:anchorId="64A007F7" wp14:editId="6A70D3C4">
            <wp:extent cx="4955935" cy="7007140"/>
            <wp:effectExtent l="0" t="0" r="0" b="3810"/>
            <wp:docPr id="702419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19970" name=""/>
                    <pic:cNvPicPr/>
                  </pic:nvPicPr>
                  <pic:blipFill>
                    <a:blip r:embed="rId8"/>
                    <a:stretch>
                      <a:fillRect/>
                    </a:stretch>
                  </pic:blipFill>
                  <pic:spPr>
                    <a:xfrm>
                      <a:off x="0" y="0"/>
                      <a:ext cx="4966612" cy="7022236"/>
                    </a:xfrm>
                    <a:prstGeom prst="rect">
                      <a:avLst/>
                    </a:prstGeom>
                  </pic:spPr>
                </pic:pic>
              </a:graphicData>
            </a:graphic>
          </wp:inline>
        </w:drawing>
      </w:r>
    </w:p>
    <w:p w14:paraId="77C6A4E8" w14:textId="1B800231" w:rsidR="000A02E9" w:rsidRPr="00A60AF3" w:rsidRDefault="000A02E9" w:rsidP="00A60AF3">
      <w:pPr>
        <w:spacing w:after="0" w:line="276" w:lineRule="auto"/>
        <w:jc w:val="both"/>
        <w:rPr>
          <w:b/>
          <w:bCs/>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3</w:t>
      </w:r>
      <w:r w:rsidRPr="00A60AF3">
        <w:rPr>
          <w:b/>
          <w:bCs/>
          <w:sz w:val="22"/>
          <w:szCs w:val="22"/>
        </w:rPr>
        <w:t xml:space="preserve">. </w:t>
      </w:r>
      <w:r w:rsidRPr="00A60AF3">
        <w:rPr>
          <w:sz w:val="22"/>
          <w:szCs w:val="22"/>
        </w:rPr>
        <w:t xml:space="preserve">Alpha diversity across </w:t>
      </w:r>
      <w:proofErr w:type="spellStart"/>
      <w:r w:rsidRPr="00A60AF3">
        <w:rPr>
          <w:sz w:val="22"/>
          <w:szCs w:val="22"/>
        </w:rPr>
        <w:t>Ilgwang</w:t>
      </w:r>
      <w:proofErr w:type="spellEnd"/>
      <w:r w:rsidRPr="00A60AF3">
        <w:rPr>
          <w:sz w:val="22"/>
          <w:szCs w:val="22"/>
        </w:rPr>
        <w:t xml:space="preserve"> AMD microhabitat Types. Alpha-diversity metrics were calculated from the DADA2 ASV table rarefied to 88,397 reads per sample. Points represent individual samples and horizontal segments show the Type median; sample sizes are displayed with the Type labels. Observed ASVs, Chao1, and ACE describe richness; Shannon diversity, Simpson diversity (1 − D), inverse Simpson diversity, and </w:t>
      </w:r>
      <w:proofErr w:type="spellStart"/>
      <w:r w:rsidRPr="00A60AF3">
        <w:rPr>
          <w:sz w:val="22"/>
          <w:szCs w:val="22"/>
        </w:rPr>
        <w:t>Pielou’s</w:t>
      </w:r>
      <w:proofErr w:type="spellEnd"/>
      <w:r w:rsidRPr="00A60AF3">
        <w:rPr>
          <w:sz w:val="22"/>
          <w:szCs w:val="22"/>
        </w:rPr>
        <w:t xml:space="preserve"> evenness describe diversity or evenness. Colors and symbols identify AMD precipitate-associated biofilm (</w:t>
      </w:r>
      <w:proofErr w:type="spellStart"/>
      <w:r w:rsidRPr="00A60AF3">
        <w:rPr>
          <w:sz w:val="22"/>
          <w:szCs w:val="22"/>
        </w:rPr>
        <w:t>P_biofilm</w:t>
      </w:r>
      <w:proofErr w:type="spellEnd"/>
      <w:r w:rsidRPr="00A60AF3">
        <w:rPr>
          <w:sz w:val="22"/>
          <w:szCs w:val="22"/>
        </w:rPr>
        <w:t>; n = 2), wall-attached biofilm (</w:t>
      </w:r>
      <w:proofErr w:type="spellStart"/>
      <w:r w:rsidRPr="00A60AF3">
        <w:rPr>
          <w:sz w:val="22"/>
          <w:szCs w:val="22"/>
        </w:rPr>
        <w:t>W_biofilm</w:t>
      </w:r>
      <w:proofErr w:type="spellEnd"/>
      <w:r w:rsidRPr="00A60AF3">
        <w:rPr>
          <w:sz w:val="22"/>
          <w:szCs w:val="22"/>
        </w:rPr>
        <w:t>; n = 3), and water (n = 2). Kruskal–</w:t>
      </w:r>
      <w:proofErr w:type="gramStart"/>
      <w:r w:rsidRPr="00A60AF3">
        <w:rPr>
          <w:sz w:val="22"/>
          <w:szCs w:val="22"/>
        </w:rPr>
        <w:t>Wallis</w:t>
      </w:r>
      <w:proofErr w:type="gramEnd"/>
      <w:r w:rsidRPr="00A60AF3">
        <w:rPr>
          <w:sz w:val="22"/>
          <w:szCs w:val="22"/>
        </w:rPr>
        <w:t xml:space="preserve"> comparisons are shown as exploratory descriptive patterns because Type sizes are small and unbalanced.</w:t>
      </w:r>
    </w:p>
    <w:p w14:paraId="1AB16034" w14:textId="4FCF04D7" w:rsidR="000A02E9" w:rsidRPr="00A60AF3" w:rsidRDefault="004F4A51" w:rsidP="00A60AF3">
      <w:pPr>
        <w:spacing w:after="0" w:line="276" w:lineRule="auto"/>
        <w:jc w:val="both"/>
        <w:rPr>
          <w:b/>
          <w:bCs/>
          <w:sz w:val="22"/>
          <w:szCs w:val="22"/>
        </w:rPr>
      </w:pPr>
      <w:r>
        <w:rPr>
          <w:noProof/>
        </w:rPr>
        <w:drawing>
          <wp:inline distT="0" distB="0" distL="0" distR="0" wp14:anchorId="0237FF99" wp14:editId="348EB149">
            <wp:extent cx="6190615" cy="4376420"/>
            <wp:effectExtent l="0" t="0" r="635" b="5080"/>
            <wp:docPr id="1109509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09399" name=""/>
                    <pic:cNvPicPr/>
                  </pic:nvPicPr>
                  <pic:blipFill>
                    <a:blip r:embed="rId9"/>
                    <a:stretch>
                      <a:fillRect/>
                    </a:stretch>
                  </pic:blipFill>
                  <pic:spPr>
                    <a:xfrm>
                      <a:off x="0" y="0"/>
                      <a:ext cx="6190615" cy="4376420"/>
                    </a:xfrm>
                    <a:prstGeom prst="rect">
                      <a:avLst/>
                    </a:prstGeom>
                  </pic:spPr>
                </pic:pic>
              </a:graphicData>
            </a:graphic>
          </wp:inline>
        </w:drawing>
      </w:r>
    </w:p>
    <w:p w14:paraId="612C049B" w14:textId="77777777" w:rsidR="00E83AF6" w:rsidRDefault="00E83AF6">
      <w:pPr>
        <w:rPr>
          <w:b/>
          <w:bCs/>
          <w:sz w:val="22"/>
          <w:szCs w:val="22"/>
        </w:rPr>
      </w:pPr>
      <w:r>
        <w:rPr>
          <w:b/>
          <w:bCs/>
          <w:sz w:val="22"/>
          <w:szCs w:val="22"/>
        </w:rPr>
        <w:br w:type="page"/>
      </w:r>
    </w:p>
    <w:p w14:paraId="21C4718D" w14:textId="18E0DC0F" w:rsidR="000A02E9" w:rsidRPr="00A60AF3" w:rsidRDefault="000A02E9" w:rsidP="00A60AF3">
      <w:pPr>
        <w:spacing w:after="0" w:line="276" w:lineRule="auto"/>
        <w:jc w:val="both"/>
        <w:rPr>
          <w:b/>
          <w:bCs/>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4</w:t>
      </w:r>
      <w:r w:rsidRPr="00A60AF3">
        <w:rPr>
          <w:b/>
          <w:bCs/>
          <w:sz w:val="22"/>
          <w:szCs w:val="22"/>
        </w:rPr>
        <w:t xml:space="preserve">. </w:t>
      </w:r>
      <w:r w:rsidRPr="00A60AF3">
        <w:rPr>
          <w:sz w:val="22"/>
          <w:szCs w:val="22"/>
        </w:rPr>
        <w:t>Pairwise Bray–</w:t>
      </w:r>
      <w:proofErr w:type="gramStart"/>
      <w:r w:rsidRPr="00A60AF3">
        <w:rPr>
          <w:sz w:val="22"/>
          <w:szCs w:val="22"/>
        </w:rPr>
        <w:t>Curtis</w:t>
      </w:r>
      <w:proofErr w:type="gramEnd"/>
      <w:r w:rsidRPr="00A60AF3">
        <w:rPr>
          <w:sz w:val="22"/>
          <w:szCs w:val="22"/>
        </w:rPr>
        <w:t xml:space="preserve"> dissimilarity among </w:t>
      </w:r>
      <w:proofErr w:type="spellStart"/>
      <w:r w:rsidRPr="00A60AF3">
        <w:rPr>
          <w:sz w:val="22"/>
          <w:szCs w:val="22"/>
        </w:rPr>
        <w:t>Ilgwang</w:t>
      </w:r>
      <w:proofErr w:type="spellEnd"/>
      <w:r w:rsidRPr="00A60AF3">
        <w:rPr>
          <w:sz w:val="22"/>
          <w:szCs w:val="22"/>
        </w:rPr>
        <w:t xml:space="preserve"> AMD microbial communities. The heatmap shows pairwise Bray–</w:t>
      </w:r>
      <w:proofErr w:type="gramStart"/>
      <w:r w:rsidRPr="00A60AF3">
        <w:rPr>
          <w:sz w:val="22"/>
          <w:szCs w:val="22"/>
        </w:rPr>
        <w:t>Curtis</w:t>
      </w:r>
      <w:proofErr w:type="gramEnd"/>
      <w:r w:rsidRPr="00A60AF3">
        <w:rPr>
          <w:sz w:val="22"/>
          <w:szCs w:val="22"/>
        </w:rPr>
        <w:t xml:space="preserve"> dissimilarities calculated from the final 663-ASV table rarefied to 88,397 reads per sample using </w:t>
      </w:r>
      <w:proofErr w:type="gramStart"/>
      <w:r w:rsidRPr="00A60AF3">
        <w:rPr>
          <w:sz w:val="22"/>
          <w:szCs w:val="22"/>
        </w:rPr>
        <w:t>vegan::</w:t>
      </w:r>
      <w:proofErr w:type="spellStart"/>
      <w:proofErr w:type="gramEnd"/>
      <w:r w:rsidRPr="00A60AF3">
        <w:rPr>
          <w:sz w:val="22"/>
          <w:szCs w:val="22"/>
        </w:rPr>
        <w:t>rrarefy</w:t>
      </w:r>
      <w:proofErr w:type="spellEnd"/>
      <w:r w:rsidRPr="00A60AF3">
        <w:rPr>
          <w:sz w:val="22"/>
          <w:szCs w:val="22"/>
        </w:rPr>
        <w:t xml:space="preserve"> (seed = 100). Rows and columns share the average-linkage hierarchical-clustering order, and values are printed in the corresponding cells. White indicates lower dissimilarity and dark blue indicates higher dissimilarity. The top and left annotation strips identify AMD precipitate-associated biofilm (</w:t>
      </w:r>
      <w:proofErr w:type="spellStart"/>
      <w:r w:rsidRPr="00A60AF3">
        <w:rPr>
          <w:sz w:val="22"/>
          <w:szCs w:val="22"/>
        </w:rPr>
        <w:t>P_biofilm</w:t>
      </w:r>
      <w:proofErr w:type="spellEnd"/>
      <w:r w:rsidRPr="00A60AF3">
        <w:rPr>
          <w:sz w:val="22"/>
          <w:szCs w:val="22"/>
        </w:rPr>
        <w:t>), wall-attached biofilm (</w:t>
      </w:r>
      <w:proofErr w:type="spellStart"/>
      <w:r w:rsidRPr="00A60AF3">
        <w:rPr>
          <w:sz w:val="22"/>
          <w:szCs w:val="22"/>
        </w:rPr>
        <w:t>W_biofilm</w:t>
      </w:r>
      <w:proofErr w:type="spellEnd"/>
      <w:r w:rsidRPr="00A60AF3">
        <w:rPr>
          <w:sz w:val="22"/>
          <w:szCs w:val="22"/>
        </w:rPr>
        <w:t xml:space="preserve">), and water. The </w:t>
      </w:r>
      <w:proofErr w:type="gramStart"/>
      <w:r w:rsidRPr="00A60AF3">
        <w:rPr>
          <w:sz w:val="22"/>
          <w:szCs w:val="22"/>
        </w:rPr>
        <w:t>mean</w:t>
      </w:r>
      <w:proofErr w:type="gramEnd"/>
      <w:r w:rsidRPr="00A60AF3">
        <w:rPr>
          <w:sz w:val="22"/>
          <w:szCs w:val="22"/>
        </w:rPr>
        <w:t xml:space="preserve"> within-Type dissimilarity was </w:t>
      </w:r>
      <w:proofErr w:type="gramStart"/>
      <w:r w:rsidRPr="00A60AF3">
        <w:rPr>
          <w:sz w:val="22"/>
          <w:szCs w:val="22"/>
        </w:rPr>
        <w:t>0.484</w:t>
      </w:r>
      <w:proofErr w:type="gramEnd"/>
      <w:r w:rsidRPr="00A60AF3">
        <w:rPr>
          <w:sz w:val="22"/>
          <w:szCs w:val="22"/>
        </w:rPr>
        <w:t xml:space="preserve"> and the </w:t>
      </w:r>
      <w:proofErr w:type="gramStart"/>
      <w:r w:rsidRPr="00A60AF3">
        <w:rPr>
          <w:sz w:val="22"/>
          <w:szCs w:val="22"/>
        </w:rPr>
        <w:t>mean</w:t>
      </w:r>
      <w:proofErr w:type="gramEnd"/>
      <w:r w:rsidRPr="00A60AF3">
        <w:rPr>
          <w:sz w:val="22"/>
          <w:szCs w:val="22"/>
        </w:rPr>
        <w:t xml:space="preserve"> between-Type dissimilarity was 0.654; between-Type means were 0.588 for precipitate-associated versus wall-attached biofilm, 0.656 for precipitate-associated biofilm versus water, and 0.719 for wall-attached biofilm versus water. These pairwise distances are summarized descriptively because distances from the same matrix are not statistically independent.</w:t>
      </w:r>
    </w:p>
    <w:p w14:paraId="0844ECB7" w14:textId="53F999CD" w:rsidR="000A02E9" w:rsidRPr="00A60AF3" w:rsidRDefault="004F4A51" w:rsidP="00A60AF3">
      <w:pPr>
        <w:spacing w:after="0" w:line="276" w:lineRule="auto"/>
        <w:jc w:val="both"/>
        <w:rPr>
          <w:b/>
          <w:bCs/>
          <w:sz w:val="22"/>
          <w:szCs w:val="22"/>
        </w:rPr>
      </w:pPr>
      <w:r>
        <w:rPr>
          <w:noProof/>
        </w:rPr>
        <w:drawing>
          <wp:inline distT="0" distB="0" distL="0" distR="0" wp14:anchorId="49185AB7" wp14:editId="57B925AA">
            <wp:extent cx="6190615" cy="4376420"/>
            <wp:effectExtent l="0" t="0" r="635" b="5080"/>
            <wp:docPr id="166517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71201" name=""/>
                    <pic:cNvPicPr/>
                  </pic:nvPicPr>
                  <pic:blipFill>
                    <a:blip r:embed="rId10"/>
                    <a:stretch>
                      <a:fillRect/>
                    </a:stretch>
                  </pic:blipFill>
                  <pic:spPr>
                    <a:xfrm>
                      <a:off x="0" y="0"/>
                      <a:ext cx="6190615" cy="4376420"/>
                    </a:xfrm>
                    <a:prstGeom prst="rect">
                      <a:avLst/>
                    </a:prstGeom>
                  </pic:spPr>
                </pic:pic>
              </a:graphicData>
            </a:graphic>
          </wp:inline>
        </w:drawing>
      </w:r>
    </w:p>
    <w:p w14:paraId="63C3DB79" w14:textId="77777777" w:rsidR="00E83AF6" w:rsidRDefault="00E83AF6">
      <w:pPr>
        <w:rPr>
          <w:b/>
          <w:bCs/>
          <w:sz w:val="22"/>
          <w:szCs w:val="22"/>
        </w:rPr>
      </w:pPr>
      <w:r>
        <w:rPr>
          <w:b/>
          <w:bCs/>
          <w:sz w:val="22"/>
          <w:szCs w:val="22"/>
        </w:rPr>
        <w:br w:type="page"/>
      </w:r>
    </w:p>
    <w:p w14:paraId="5739EEB0" w14:textId="0566DF27" w:rsidR="000A02E9" w:rsidRPr="00A60AF3" w:rsidRDefault="000A02E9" w:rsidP="00A60AF3">
      <w:pPr>
        <w:spacing w:after="0" w:line="276" w:lineRule="auto"/>
        <w:jc w:val="both"/>
        <w:rPr>
          <w:b/>
          <w:bCs/>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5</w:t>
      </w:r>
      <w:r w:rsidRPr="00A60AF3">
        <w:rPr>
          <w:b/>
          <w:bCs/>
          <w:sz w:val="22"/>
          <w:szCs w:val="22"/>
        </w:rPr>
        <w:t xml:space="preserve">. </w:t>
      </w:r>
      <w:r w:rsidRPr="00A60AF3">
        <w:rPr>
          <w:sz w:val="22"/>
          <w:szCs w:val="22"/>
        </w:rPr>
        <w:t xml:space="preserve">Bacterial and archaeal read fractions across </w:t>
      </w:r>
      <w:proofErr w:type="spellStart"/>
      <w:r w:rsidRPr="00A60AF3">
        <w:rPr>
          <w:sz w:val="22"/>
          <w:szCs w:val="22"/>
        </w:rPr>
        <w:t>Ilgwang</w:t>
      </w:r>
      <w:proofErr w:type="spellEnd"/>
      <w:r w:rsidRPr="00A60AF3">
        <w:rPr>
          <w:sz w:val="22"/>
          <w:szCs w:val="22"/>
        </w:rPr>
        <w:t xml:space="preserve"> AMD samples. (a) Stacked bars show the percentage of Bacteria and Archaea reads within each sample; each bar therefore sums to 100%. Labels above the bars report the archaeal percentage. (b) For each domain separately, bars show the percentage of all domain-assigned reads distributed among the seven samples; Bacteria and Archaea each therefore sum to 100% across samples in this panel. Sample-label colors and symbols identify AMD precipitate-associated biofilm (</w:t>
      </w:r>
      <w:proofErr w:type="spellStart"/>
      <w:r w:rsidRPr="00A60AF3">
        <w:rPr>
          <w:sz w:val="22"/>
          <w:szCs w:val="22"/>
        </w:rPr>
        <w:t>P_biofilm</w:t>
      </w:r>
      <w:proofErr w:type="spellEnd"/>
      <w:r w:rsidRPr="00A60AF3">
        <w:rPr>
          <w:sz w:val="22"/>
          <w:szCs w:val="22"/>
        </w:rPr>
        <w:t>), wall-attached biofilm (</w:t>
      </w:r>
      <w:proofErr w:type="spellStart"/>
      <w:r w:rsidRPr="00A60AF3">
        <w:rPr>
          <w:sz w:val="22"/>
          <w:szCs w:val="22"/>
        </w:rPr>
        <w:t>W_biofilm</w:t>
      </w:r>
      <w:proofErr w:type="spellEnd"/>
      <w:r w:rsidRPr="00A60AF3">
        <w:rPr>
          <w:sz w:val="22"/>
          <w:szCs w:val="22"/>
        </w:rPr>
        <w:t xml:space="preserve">), and water. Counts were directly reaggregated from </w:t>
      </w:r>
      <w:r w:rsidRPr="00F37EC6">
        <w:rPr>
          <w:sz w:val="22"/>
          <w:szCs w:val="22"/>
        </w:rPr>
        <w:t>seqtab_final_long.csv</w:t>
      </w:r>
      <w:r w:rsidRPr="00A60AF3">
        <w:rPr>
          <w:sz w:val="22"/>
          <w:szCs w:val="22"/>
        </w:rPr>
        <w:t xml:space="preserve"> joined by exact ASV sequence to the canonical SILVA </w:t>
      </w:r>
      <w:r w:rsidR="00CA571C">
        <w:rPr>
          <w:rFonts w:hint="eastAsia"/>
          <w:sz w:val="22"/>
          <w:szCs w:val="22"/>
        </w:rPr>
        <w:t xml:space="preserve">SSU Ref NR99 release </w:t>
      </w:r>
      <w:r w:rsidRPr="00A60AF3">
        <w:rPr>
          <w:sz w:val="22"/>
          <w:szCs w:val="22"/>
        </w:rPr>
        <w:t>144 taxonomy table (DADA2</w:t>
      </w:r>
      <w:r w:rsidR="00DF1C6F">
        <w:rPr>
          <w:rFonts w:hint="eastAsia"/>
          <w:sz w:val="22"/>
          <w:szCs w:val="22"/>
        </w:rPr>
        <w:t xml:space="preserve"> </w:t>
      </w:r>
      <w:proofErr w:type="spellStart"/>
      <w:r w:rsidRPr="00A60AF3">
        <w:rPr>
          <w:i/>
          <w:iCs/>
          <w:sz w:val="22"/>
          <w:szCs w:val="22"/>
        </w:rPr>
        <w:t>assignTaxonomy</w:t>
      </w:r>
      <w:proofErr w:type="spellEnd"/>
      <w:r w:rsidRPr="00A60AF3">
        <w:rPr>
          <w:sz w:val="22"/>
          <w:szCs w:val="22"/>
        </w:rPr>
        <w:t xml:space="preserve">; </w:t>
      </w:r>
      <w:proofErr w:type="spellStart"/>
      <w:r w:rsidRPr="00A60AF3">
        <w:rPr>
          <w:sz w:val="22"/>
          <w:szCs w:val="22"/>
        </w:rPr>
        <w:t>minBoot</w:t>
      </w:r>
      <w:proofErr w:type="spellEnd"/>
      <w:r w:rsidRPr="00A60AF3">
        <w:rPr>
          <w:sz w:val="22"/>
          <w:szCs w:val="22"/>
        </w:rPr>
        <w:t xml:space="preserve"> = 80): 610,601 Bacteria reads and 106,314 Archaea reads. Both panels are descriptive and use different denominators.</w:t>
      </w:r>
    </w:p>
    <w:p w14:paraId="6486B758" w14:textId="298E2451" w:rsidR="000A02E9" w:rsidRPr="00A60AF3" w:rsidRDefault="004F4A51" w:rsidP="00A60AF3">
      <w:pPr>
        <w:spacing w:after="0" w:line="276" w:lineRule="auto"/>
        <w:jc w:val="both"/>
        <w:rPr>
          <w:b/>
          <w:bCs/>
          <w:sz w:val="22"/>
          <w:szCs w:val="22"/>
        </w:rPr>
      </w:pPr>
      <w:r>
        <w:rPr>
          <w:noProof/>
        </w:rPr>
        <w:drawing>
          <wp:inline distT="0" distB="0" distL="0" distR="0" wp14:anchorId="38A21EAE" wp14:editId="109CEB0E">
            <wp:extent cx="6190615" cy="4376420"/>
            <wp:effectExtent l="0" t="0" r="635" b="5080"/>
            <wp:docPr id="166817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70520" name=""/>
                    <pic:cNvPicPr/>
                  </pic:nvPicPr>
                  <pic:blipFill>
                    <a:blip r:embed="rId11"/>
                    <a:stretch>
                      <a:fillRect/>
                    </a:stretch>
                  </pic:blipFill>
                  <pic:spPr>
                    <a:xfrm>
                      <a:off x="0" y="0"/>
                      <a:ext cx="6190615" cy="4376420"/>
                    </a:xfrm>
                    <a:prstGeom prst="rect">
                      <a:avLst/>
                    </a:prstGeom>
                  </pic:spPr>
                </pic:pic>
              </a:graphicData>
            </a:graphic>
          </wp:inline>
        </w:drawing>
      </w:r>
    </w:p>
    <w:p w14:paraId="20F05DD8" w14:textId="77777777" w:rsidR="00466E4C" w:rsidRDefault="00466E4C">
      <w:pPr>
        <w:rPr>
          <w:b/>
          <w:bCs/>
          <w:sz w:val="22"/>
          <w:szCs w:val="22"/>
        </w:rPr>
      </w:pPr>
      <w:r>
        <w:rPr>
          <w:b/>
          <w:bCs/>
          <w:sz w:val="22"/>
          <w:szCs w:val="22"/>
        </w:rPr>
        <w:br w:type="page"/>
      </w:r>
    </w:p>
    <w:p w14:paraId="1F3489E8" w14:textId="568B9B61" w:rsidR="000A02E9" w:rsidRPr="00A60AF3" w:rsidRDefault="000A02E9" w:rsidP="00A60AF3">
      <w:pPr>
        <w:spacing w:after="0" w:line="276" w:lineRule="auto"/>
        <w:jc w:val="both"/>
        <w:rPr>
          <w:b/>
          <w:bCs/>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6</w:t>
      </w:r>
      <w:r w:rsidRPr="00A60AF3">
        <w:rPr>
          <w:b/>
          <w:bCs/>
          <w:sz w:val="22"/>
          <w:szCs w:val="22"/>
        </w:rPr>
        <w:t xml:space="preserve">. </w:t>
      </w:r>
      <w:r w:rsidRPr="00A60AF3">
        <w:rPr>
          <w:sz w:val="22"/>
          <w:szCs w:val="22"/>
        </w:rPr>
        <w:t xml:space="preserve">Phylum-level composition of </w:t>
      </w:r>
      <w:proofErr w:type="spellStart"/>
      <w:r w:rsidRPr="00A60AF3">
        <w:rPr>
          <w:sz w:val="22"/>
          <w:szCs w:val="22"/>
        </w:rPr>
        <w:t>Ilgwang</w:t>
      </w:r>
      <w:proofErr w:type="spellEnd"/>
      <w:r w:rsidRPr="00A60AF3">
        <w:rPr>
          <w:sz w:val="22"/>
          <w:szCs w:val="22"/>
        </w:rPr>
        <w:t xml:space="preserve"> AMD microbial communities. Stacked bars show relative abundance of the eight most abundant confidently assigned phyla, ranked by dataset-wide mean, together with Unclassified and Others for each sample. Samples are arranged by AMD precipitate-associated biofilm (</w:t>
      </w:r>
      <w:proofErr w:type="spellStart"/>
      <w:r w:rsidRPr="00A60AF3">
        <w:rPr>
          <w:sz w:val="22"/>
          <w:szCs w:val="22"/>
        </w:rPr>
        <w:t>P_biofilm</w:t>
      </w:r>
      <w:proofErr w:type="spellEnd"/>
      <w:r w:rsidRPr="00A60AF3">
        <w:rPr>
          <w:sz w:val="22"/>
          <w:szCs w:val="22"/>
        </w:rPr>
        <w:t>), wall-attached biofilm (</w:t>
      </w:r>
      <w:proofErr w:type="spellStart"/>
      <w:r w:rsidRPr="00A60AF3">
        <w:rPr>
          <w:sz w:val="22"/>
          <w:szCs w:val="22"/>
        </w:rPr>
        <w:t>W_biofilm</w:t>
      </w:r>
      <w:proofErr w:type="spellEnd"/>
      <w:r w:rsidRPr="00A60AF3">
        <w:rPr>
          <w:sz w:val="22"/>
          <w:szCs w:val="22"/>
        </w:rPr>
        <w:t xml:space="preserve">), and water. ASVs were classified against SILVA release 144 using DADA2 </w:t>
      </w:r>
      <w:proofErr w:type="spellStart"/>
      <w:r w:rsidRPr="00A60AF3">
        <w:rPr>
          <w:sz w:val="22"/>
          <w:szCs w:val="22"/>
        </w:rPr>
        <w:t>assignTaxonomy</w:t>
      </w:r>
      <w:proofErr w:type="spellEnd"/>
      <w:r w:rsidRPr="00A60AF3">
        <w:rPr>
          <w:sz w:val="22"/>
          <w:szCs w:val="22"/>
        </w:rPr>
        <w:t xml:space="preserve"> with </w:t>
      </w:r>
      <w:proofErr w:type="spellStart"/>
      <w:r w:rsidRPr="00A60AF3">
        <w:rPr>
          <w:sz w:val="22"/>
          <w:szCs w:val="22"/>
        </w:rPr>
        <w:t>minBoot</w:t>
      </w:r>
      <w:proofErr w:type="spellEnd"/>
      <w:r w:rsidRPr="00A60AF3">
        <w:rPr>
          <w:sz w:val="22"/>
          <w:szCs w:val="22"/>
        </w:rPr>
        <w:t xml:space="preserve"> = 80. Others </w:t>
      </w:r>
      <w:proofErr w:type="gramStart"/>
      <w:r w:rsidRPr="00A60AF3">
        <w:rPr>
          <w:sz w:val="22"/>
          <w:szCs w:val="22"/>
        </w:rPr>
        <w:t>combines</w:t>
      </w:r>
      <w:proofErr w:type="gramEnd"/>
      <w:r w:rsidRPr="00A60AF3">
        <w:rPr>
          <w:sz w:val="22"/>
          <w:szCs w:val="22"/>
        </w:rPr>
        <w:t xml:space="preserve"> confidently assigned phyla outside the eight displayed categories, whereas Unclassified denotes ASVs without a confident phylum-level call at this threshold. Each sample bar </w:t>
      </w:r>
      <w:proofErr w:type="gramStart"/>
      <w:r w:rsidRPr="00A60AF3">
        <w:rPr>
          <w:sz w:val="22"/>
          <w:szCs w:val="22"/>
        </w:rPr>
        <w:t>sums</w:t>
      </w:r>
      <w:proofErr w:type="gramEnd"/>
      <w:r w:rsidRPr="00A60AF3">
        <w:rPr>
          <w:sz w:val="22"/>
          <w:szCs w:val="22"/>
        </w:rPr>
        <w:t xml:space="preserve"> to 100%; profiles are compositional and descriptive.</w:t>
      </w:r>
    </w:p>
    <w:p w14:paraId="3D9B4214" w14:textId="4D13FEE8" w:rsidR="000A02E9" w:rsidRPr="00A60AF3" w:rsidRDefault="004F4A51" w:rsidP="00A60AF3">
      <w:pPr>
        <w:spacing w:after="0" w:line="276" w:lineRule="auto"/>
        <w:jc w:val="both"/>
        <w:rPr>
          <w:b/>
          <w:bCs/>
          <w:sz w:val="22"/>
          <w:szCs w:val="22"/>
        </w:rPr>
      </w:pPr>
      <w:r>
        <w:rPr>
          <w:noProof/>
        </w:rPr>
        <w:drawing>
          <wp:inline distT="0" distB="0" distL="0" distR="0" wp14:anchorId="6F844D40" wp14:editId="5C3A8364">
            <wp:extent cx="6190615" cy="4376420"/>
            <wp:effectExtent l="0" t="0" r="635" b="5080"/>
            <wp:docPr id="182758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83102" name=""/>
                    <pic:cNvPicPr/>
                  </pic:nvPicPr>
                  <pic:blipFill>
                    <a:blip r:embed="rId12"/>
                    <a:stretch>
                      <a:fillRect/>
                    </a:stretch>
                  </pic:blipFill>
                  <pic:spPr>
                    <a:xfrm>
                      <a:off x="0" y="0"/>
                      <a:ext cx="6190615" cy="4376420"/>
                    </a:xfrm>
                    <a:prstGeom prst="rect">
                      <a:avLst/>
                    </a:prstGeom>
                  </pic:spPr>
                </pic:pic>
              </a:graphicData>
            </a:graphic>
          </wp:inline>
        </w:drawing>
      </w:r>
    </w:p>
    <w:p w14:paraId="3063CB89" w14:textId="77777777" w:rsidR="00E95371" w:rsidRDefault="00E95371">
      <w:pPr>
        <w:rPr>
          <w:b/>
          <w:bCs/>
          <w:sz w:val="22"/>
          <w:szCs w:val="22"/>
        </w:rPr>
      </w:pPr>
      <w:r>
        <w:rPr>
          <w:b/>
          <w:bCs/>
          <w:sz w:val="22"/>
          <w:szCs w:val="22"/>
        </w:rPr>
        <w:br w:type="page"/>
      </w:r>
    </w:p>
    <w:p w14:paraId="2636BB44" w14:textId="3294AED7" w:rsidR="00CE3A0A" w:rsidRPr="00A60AF3" w:rsidRDefault="000A02E9" w:rsidP="00CA571C">
      <w:pPr>
        <w:spacing w:after="0" w:line="276" w:lineRule="auto"/>
        <w:jc w:val="both"/>
        <w:rPr>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7</w:t>
      </w:r>
      <w:r w:rsidRPr="00A60AF3">
        <w:rPr>
          <w:b/>
          <w:bCs/>
          <w:sz w:val="22"/>
          <w:szCs w:val="22"/>
        </w:rPr>
        <w:t xml:space="preserve">. </w:t>
      </w:r>
      <w:r w:rsidRPr="00A60AF3">
        <w:rPr>
          <w:sz w:val="22"/>
          <w:szCs w:val="22"/>
        </w:rPr>
        <w:t xml:space="preserve">Taxonomic resolution and genus-level bootstrap support of the 15 most abundant ASVs. Rows show the 15 ASVs with the highest pooled relative abundance. Aligned columns report ASV rank and identifier, genus assignment or nearest confidently assigned higher rank, pooled relative abundance (%), and bootstrap support at the genus-level classification step. Taxonomy was assigned with DADA2 and SILVA release 144; the dashed line marks </w:t>
      </w:r>
      <w:proofErr w:type="spellStart"/>
      <w:r w:rsidRPr="00A60AF3">
        <w:rPr>
          <w:sz w:val="22"/>
          <w:szCs w:val="22"/>
        </w:rPr>
        <w:t>minBoot</w:t>
      </w:r>
      <w:proofErr w:type="spellEnd"/>
      <w:r w:rsidRPr="00A60AF3">
        <w:rPr>
          <w:sz w:val="22"/>
          <w:szCs w:val="22"/>
        </w:rPr>
        <w:t xml:space="preserve"> = 80. Labels beginning with Unclassified show the nearest confidently assigned higher rank. ASV_1 accounted for 19.43% of pooled reads, had genus-level bootstrap support of 46%, and is consequently reported as Unclassified Gammaproteobacteria. The diagnostic V4 sequence </w:t>
      </w:r>
      <w:proofErr w:type="gramStart"/>
      <w:r w:rsidRPr="00A60AF3">
        <w:rPr>
          <w:sz w:val="22"/>
          <w:szCs w:val="22"/>
        </w:rPr>
        <w:t>match to</w:t>
      </w:r>
      <w:proofErr w:type="gramEnd"/>
      <w:r w:rsidRPr="00A60AF3">
        <w:rPr>
          <w:sz w:val="22"/>
          <w:szCs w:val="22"/>
        </w:rPr>
        <w:t xml:space="preserve"> </w:t>
      </w:r>
      <w:proofErr w:type="spellStart"/>
      <w:r w:rsidRPr="00A60AF3">
        <w:rPr>
          <w:i/>
          <w:iCs/>
          <w:sz w:val="22"/>
          <w:szCs w:val="22"/>
        </w:rPr>
        <w:t>Ferrovum</w:t>
      </w:r>
      <w:proofErr w:type="spellEnd"/>
      <w:r w:rsidRPr="00A60AF3">
        <w:rPr>
          <w:sz w:val="22"/>
          <w:szCs w:val="22"/>
        </w:rPr>
        <w:t xml:space="preserve"> </w:t>
      </w:r>
      <w:proofErr w:type="gramStart"/>
      <w:r w:rsidRPr="00A60AF3">
        <w:rPr>
          <w:sz w:val="22"/>
          <w:szCs w:val="22"/>
        </w:rPr>
        <w:t>does</w:t>
      </w:r>
      <w:proofErr w:type="gramEnd"/>
      <w:r w:rsidRPr="00A60AF3">
        <w:rPr>
          <w:sz w:val="22"/>
          <w:szCs w:val="22"/>
        </w:rPr>
        <w:t xml:space="preserve"> not establish </w:t>
      </w:r>
      <w:proofErr w:type="spellStart"/>
      <w:r w:rsidRPr="00A60AF3">
        <w:rPr>
          <w:i/>
          <w:iCs/>
          <w:sz w:val="22"/>
          <w:szCs w:val="22"/>
        </w:rPr>
        <w:t>Ferrovum</w:t>
      </w:r>
      <w:proofErr w:type="spellEnd"/>
      <w:r w:rsidRPr="00A60AF3">
        <w:rPr>
          <w:sz w:val="22"/>
          <w:szCs w:val="22"/>
        </w:rPr>
        <w:t xml:space="preserve"> membership.</w:t>
      </w:r>
    </w:p>
    <w:p w14:paraId="1CBAF367" w14:textId="1326EF10" w:rsidR="00CE3A0A" w:rsidRPr="00A60AF3" w:rsidRDefault="004F4A51" w:rsidP="00CA571C">
      <w:pPr>
        <w:spacing w:after="0" w:line="276" w:lineRule="auto"/>
        <w:jc w:val="both"/>
        <w:rPr>
          <w:sz w:val="22"/>
          <w:szCs w:val="22"/>
        </w:rPr>
      </w:pPr>
      <w:r>
        <w:rPr>
          <w:noProof/>
        </w:rPr>
        <w:drawing>
          <wp:inline distT="0" distB="0" distL="0" distR="0" wp14:anchorId="648DCD6C" wp14:editId="72E1827D">
            <wp:extent cx="6190615" cy="4376420"/>
            <wp:effectExtent l="0" t="0" r="635" b="5080"/>
            <wp:docPr id="124583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31891" name=""/>
                    <pic:cNvPicPr/>
                  </pic:nvPicPr>
                  <pic:blipFill>
                    <a:blip r:embed="rId13"/>
                    <a:stretch>
                      <a:fillRect/>
                    </a:stretch>
                  </pic:blipFill>
                  <pic:spPr>
                    <a:xfrm>
                      <a:off x="0" y="0"/>
                      <a:ext cx="6190615" cy="4376420"/>
                    </a:xfrm>
                    <a:prstGeom prst="rect">
                      <a:avLst/>
                    </a:prstGeom>
                  </pic:spPr>
                </pic:pic>
              </a:graphicData>
            </a:graphic>
          </wp:inline>
        </w:drawing>
      </w:r>
    </w:p>
    <w:p w14:paraId="5CC63623" w14:textId="77777777" w:rsidR="00E95371" w:rsidRDefault="00E95371">
      <w:pPr>
        <w:rPr>
          <w:b/>
          <w:bCs/>
          <w:sz w:val="22"/>
          <w:szCs w:val="22"/>
        </w:rPr>
      </w:pPr>
      <w:r>
        <w:rPr>
          <w:b/>
          <w:bCs/>
          <w:sz w:val="22"/>
          <w:szCs w:val="22"/>
        </w:rPr>
        <w:br w:type="page"/>
      </w:r>
    </w:p>
    <w:p w14:paraId="32532E7A" w14:textId="74972B22" w:rsidR="00E83AF6" w:rsidRPr="00A60AF3" w:rsidRDefault="00E83AF6" w:rsidP="00E83AF6">
      <w:pPr>
        <w:spacing w:after="0" w:line="276" w:lineRule="auto"/>
        <w:jc w:val="both"/>
        <w:rPr>
          <w:b/>
          <w:bCs/>
          <w:sz w:val="22"/>
          <w:szCs w:val="22"/>
        </w:rPr>
      </w:pPr>
      <w:r w:rsidRPr="00A60AF3">
        <w:rPr>
          <w:b/>
          <w:bCs/>
          <w:sz w:val="22"/>
          <w:szCs w:val="22"/>
        </w:rPr>
        <w:lastRenderedPageBreak/>
        <w:t xml:space="preserve">Supplementary Figure </w:t>
      </w:r>
      <w:r w:rsidR="007D6104" w:rsidRPr="00A60AF3">
        <w:rPr>
          <w:b/>
          <w:bCs/>
          <w:sz w:val="22"/>
          <w:szCs w:val="22"/>
        </w:rPr>
        <w:t>S</w:t>
      </w:r>
      <w:r w:rsidR="007D6104">
        <w:rPr>
          <w:rFonts w:hint="eastAsia"/>
          <w:b/>
          <w:bCs/>
          <w:sz w:val="22"/>
          <w:szCs w:val="22"/>
        </w:rPr>
        <w:t>8</w:t>
      </w:r>
      <w:r w:rsidRPr="00A60AF3">
        <w:rPr>
          <w:b/>
          <w:bCs/>
          <w:sz w:val="22"/>
          <w:szCs w:val="22"/>
        </w:rPr>
        <w:t xml:space="preserve">. </w:t>
      </w:r>
      <w:r w:rsidRPr="00A60AF3">
        <w:rPr>
          <w:sz w:val="22"/>
          <w:szCs w:val="22"/>
        </w:rPr>
        <w:t xml:space="preserve">Descriptive overlap of detected ASVs among the three microhabitat Types. An ASV was considered detected in a Type when at least one read occurred in at least one sample assigned to that Type, without abundance or prevalence threshold. Of the 663 ASVs, 102 were detected only in AMD precipitate-associated biofilm, 127 only in wall-attached biofilm, and 133 only in water. Eighty-four were detected only in the two biofilm Types, 24 only in AMD precipitate-associated biofilm and water, 31 only in wall-attached biofilm and water, and 162 (24.4%) in all three Types. Circle areas are schematic and not scaled to </w:t>
      </w:r>
      <w:proofErr w:type="gramStart"/>
      <w:r w:rsidRPr="00A60AF3">
        <w:rPr>
          <w:sz w:val="22"/>
          <w:szCs w:val="22"/>
        </w:rPr>
        <w:t>counts</w:t>
      </w:r>
      <w:proofErr w:type="gramEnd"/>
      <w:r w:rsidRPr="00A60AF3">
        <w:rPr>
          <w:sz w:val="22"/>
          <w:szCs w:val="22"/>
        </w:rPr>
        <w:t>. These values describe sequence detection under the stated rule and do not estimate ecological occupancy or formal Type-specific cores.</w:t>
      </w:r>
    </w:p>
    <w:p w14:paraId="4B1865C6" w14:textId="57ADF80D" w:rsidR="00CE3A0A" w:rsidRPr="00E7790A" w:rsidRDefault="004F4A51" w:rsidP="00CE3A0A">
      <w:pPr>
        <w:spacing w:after="0" w:line="276" w:lineRule="auto"/>
        <w:jc w:val="both"/>
        <w:rPr>
          <w:rFonts w:ascii="Aptos" w:hAnsi="Aptos"/>
        </w:rPr>
      </w:pPr>
      <w:r>
        <w:rPr>
          <w:noProof/>
        </w:rPr>
        <w:drawing>
          <wp:inline distT="0" distB="0" distL="0" distR="0" wp14:anchorId="0983754E" wp14:editId="3A95294A">
            <wp:extent cx="5056229" cy="7148945"/>
            <wp:effectExtent l="0" t="0" r="0" b="0"/>
            <wp:docPr id="1608776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76447" name=""/>
                    <pic:cNvPicPr/>
                  </pic:nvPicPr>
                  <pic:blipFill>
                    <a:blip r:embed="rId14"/>
                    <a:stretch>
                      <a:fillRect/>
                    </a:stretch>
                  </pic:blipFill>
                  <pic:spPr>
                    <a:xfrm>
                      <a:off x="0" y="0"/>
                      <a:ext cx="5060114" cy="7154438"/>
                    </a:xfrm>
                    <a:prstGeom prst="rect">
                      <a:avLst/>
                    </a:prstGeom>
                  </pic:spPr>
                </pic:pic>
              </a:graphicData>
            </a:graphic>
          </wp:inline>
        </w:drawing>
      </w:r>
    </w:p>
    <w:p w14:paraId="6F24DF9A" w14:textId="77777777" w:rsidR="002B34D3" w:rsidRDefault="002B34D3" w:rsidP="00CE3A0A">
      <w:pPr>
        <w:spacing w:after="0" w:line="276" w:lineRule="auto"/>
        <w:jc w:val="both"/>
        <w:rPr>
          <w:rFonts w:ascii="Aptos" w:hAnsi="Aptos"/>
        </w:rPr>
        <w:sectPr w:rsidR="002B34D3" w:rsidSect="00D56414">
          <w:pgSz w:w="11909" w:h="16834" w:code="9"/>
          <w:pgMar w:top="1440" w:right="1080" w:bottom="1440" w:left="1080" w:header="720" w:footer="720" w:gutter="0"/>
          <w:cols w:space="720"/>
          <w:docGrid w:linePitch="360"/>
        </w:sectPr>
      </w:pPr>
    </w:p>
    <w:p w14:paraId="387F6E55" w14:textId="010567D6" w:rsidR="00C41A37" w:rsidRDefault="00C41A37" w:rsidP="00E95371">
      <w:pPr>
        <w:spacing w:after="0" w:line="276" w:lineRule="auto"/>
        <w:jc w:val="both"/>
        <w:rPr>
          <w:rFonts w:ascii="Aptos" w:hAnsi="Aptos"/>
        </w:rPr>
      </w:pPr>
      <w:r w:rsidRPr="00742F74">
        <w:rPr>
          <w:rFonts w:ascii="Aptos" w:hAnsi="Aptos"/>
          <w:b/>
          <w:bCs/>
        </w:rPr>
        <w:lastRenderedPageBreak/>
        <w:t xml:space="preserve">Supplementary Figure </w:t>
      </w:r>
      <w:r w:rsidR="003E2B2C" w:rsidRPr="00742F74">
        <w:rPr>
          <w:rFonts w:ascii="Aptos" w:hAnsi="Aptos"/>
          <w:b/>
          <w:bCs/>
        </w:rPr>
        <w:t>S</w:t>
      </w:r>
      <w:r w:rsidR="003E2B2C" w:rsidRPr="00742F74">
        <w:rPr>
          <w:rFonts w:ascii="Aptos" w:hAnsi="Aptos" w:hint="eastAsia"/>
          <w:b/>
          <w:bCs/>
        </w:rPr>
        <w:t>9</w:t>
      </w:r>
      <w:r w:rsidRPr="00742F74">
        <w:rPr>
          <w:rFonts w:ascii="Aptos" w:hAnsi="Aptos"/>
          <w:b/>
          <w:bCs/>
        </w:rPr>
        <w:t>.</w:t>
      </w:r>
      <w:r>
        <w:rPr>
          <w:rFonts w:ascii="Aptos" w:hAnsi="Aptos"/>
        </w:rPr>
        <w:t xml:space="preserve"> a) Neighbor-joining phylogenetic tree based on 16S rRNA gene sequences showing the relationships between </w:t>
      </w:r>
      <w:proofErr w:type="spellStart"/>
      <w:r>
        <w:rPr>
          <w:rFonts w:ascii="Aptos" w:hAnsi="Aptos"/>
          <w:i/>
          <w:iCs/>
        </w:rPr>
        <w:t>Ferrovum</w:t>
      </w:r>
      <w:proofErr w:type="spellEnd"/>
      <w:r>
        <w:rPr>
          <w:rFonts w:ascii="Aptos" w:hAnsi="Aptos"/>
        </w:rPr>
        <w:t xml:space="preserve">-related ASVs recovered from the </w:t>
      </w:r>
      <w:proofErr w:type="spellStart"/>
      <w:r>
        <w:rPr>
          <w:rFonts w:ascii="Aptos" w:hAnsi="Aptos"/>
        </w:rPr>
        <w:t>Ilgwang</w:t>
      </w:r>
      <w:proofErr w:type="spellEnd"/>
      <w:r>
        <w:rPr>
          <w:rFonts w:ascii="Aptos" w:hAnsi="Aptos"/>
        </w:rPr>
        <w:t xml:space="preserve"> acid mine drainage (AMD) </w:t>
      </w:r>
      <w:r w:rsidRPr="00AC3C12">
        <w:rPr>
          <w:rFonts w:ascii="Aptos" w:hAnsi="Aptos"/>
        </w:rPr>
        <w:t xml:space="preserve">site and representative </w:t>
      </w:r>
      <w:proofErr w:type="spellStart"/>
      <w:r w:rsidRPr="00AC3C12">
        <w:rPr>
          <w:rFonts w:ascii="Aptos" w:hAnsi="Aptos"/>
          <w:i/>
          <w:iCs/>
        </w:rPr>
        <w:t>Ferrovum</w:t>
      </w:r>
      <w:proofErr w:type="spellEnd"/>
      <w:r w:rsidRPr="00AC3C12">
        <w:rPr>
          <w:rFonts w:ascii="Aptos" w:hAnsi="Aptos"/>
        </w:rPr>
        <w:t xml:space="preserve"> reference sequences. ASVs identified in this study are shown in </w:t>
      </w:r>
      <w:r w:rsidRPr="00AC3C12">
        <w:rPr>
          <w:rFonts w:ascii="Aptos" w:hAnsi="Aptos"/>
          <w:b/>
          <w:bCs/>
        </w:rPr>
        <w:t>bold</w:t>
      </w:r>
      <w:r w:rsidRPr="00AC3C12">
        <w:rPr>
          <w:rFonts w:ascii="Aptos" w:hAnsi="Aptos"/>
        </w:rPr>
        <w:t xml:space="preserve">. Representative sequences of the </w:t>
      </w:r>
      <w:proofErr w:type="spellStart"/>
      <w:r w:rsidRPr="00AC3C12">
        <w:rPr>
          <w:rFonts w:ascii="Aptos" w:hAnsi="Aptos"/>
          <w:i/>
          <w:iCs/>
        </w:rPr>
        <w:t>Ferrovum</w:t>
      </w:r>
      <w:proofErr w:type="spellEnd"/>
      <w:r w:rsidRPr="00AC3C12">
        <w:rPr>
          <w:rFonts w:ascii="Aptos" w:hAnsi="Aptos"/>
        </w:rPr>
        <w:t xml:space="preserve"> phylogenetic groups described by Ullrich et al. </w:t>
      </w:r>
      <w:r w:rsidRPr="008B7E7F">
        <w:rPr>
          <w:rFonts w:ascii="Aptos" w:hAnsi="Aptos"/>
        </w:rPr>
        <w:t>(1)</w:t>
      </w:r>
      <w:r w:rsidRPr="00AC3C12">
        <w:rPr>
          <w:rFonts w:ascii="Aptos" w:hAnsi="Aptos"/>
        </w:rPr>
        <w:t xml:space="preserve"> were inclu</w:t>
      </w:r>
      <w:r>
        <w:rPr>
          <w:rFonts w:ascii="Aptos" w:hAnsi="Aptos"/>
        </w:rPr>
        <w:t xml:space="preserve">ded for comparison, and the tree was rooted using </w:t>
      </w:r>
      <w:r>
        <w:rPr>
          <w:rFonts w:ascii="Aptos" w:hAnsi="Aptos"/>
          <w:i/>
          <w:iCs/>
        </w:rPr>
        <w:t>Nitrosomonas europaea</w:t>
      </w:r>
      <w:r>
        <w:rPr>
          <w:rFonts w:ascii="Aptos" w:hAnsi="Aptos"/>
        </w:rPr>
        <w:t xml:space="preserve"> ATCC 25978. Bootstrap values (&gt;50%) based on 1,000 replicates are shown at branch nodes. The scale bar indicates 0.01 nucleotide substitutions per site. b) Heatmap of the relative abundances of </w:t>
      </w:r>
      <w:proofErr w:type="spellStart"/>
      <w:r>
        <w:rPr>
          <w:rFonts w:ascii="Aptos" w:hAnsi="Aptos"/>
          <w:i/>
          <w:iCs/>
        </w:rPr>
        <w:t>Ferrovum</w:t>
      </w:r>
      <w:proofErr w:type="spellEnd"/>
      <w:r>
        <w:rPr>
          <w:rFonts w:ascii="Aptos" w:hAnsi="Aptos"/>
        </w:rPr>
        <w:t xml:space="preserve">-related ASVs identified from the </w:t>
      </w:r>
      <w:proofErr w:type="spellStart"/>
      <w:r>
        <w:rPr>
          <w:rFonts w:ascii="Aptos" w:hAnsi="Aptos"/>
        </w:rPr>
        <w:t>Ilgwang</w:t>
      </w:r>
      <w:proofErr w:type="spellEnd"/>
      <w:r>
        <w:rPr>
          <w:rFonts w:ascii="Aptos" w:hAnsi="Aptos"/>
        </w:rPr>
        <w:t xml:space="preserve"> AMD site. Color intensity represents the relative abundance (%) of each ASV in individual samples.</w:t>
      </w:r>
    </w:p>
    <w:p w14:paraId="11F32D35" w14:textId="1757AF2F" w:rsidR="00C41A37" w:rsidRDefault="00AC3C12" w:rsidP="009B350C">
      <w:pPr>
        <w:spacing w:after="0" w:line="360" w:lineRule="auto"/>
        <w:jc w:val="both"/>
      </w:pPr>
      <w:r>
        <w:rPr>
          <w:rFonts w:hint="eastAsia"/>
        </w:rPr>
        <w:t>(a)</w:t>
      </w:r>
    </w:p>
    <w:p w14:paraId="422C92EF" w14:textId="51A36B49" w:rsidR="00AC3C12" w:rsidRDefault="00AC3C12" w:rsidP="009B350C">
      <w:pPr>
        <w:spacing w:after="0" w:line="360" w:lineRule="auto"/>
        <w:jc w:val="both"/>
      </w:pPr>
      <w:r>
        <w:rPr>
          <w:noProof/>
        </w:rPr>
        <w:drawing>
          <wp:inline distT="0" distB="0" distL="0" distR="0" wp14:anchorId="7E636305" wp14:editId="4CCE230B">
            <wp:extent cx="4376406" cy="6316688"/>
            <wp:effectExtent l="0" t="0" r="5715" b="8255"/>
            <wp:docPr id="1805114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7065" cy="6346506"/>
                    </a:xfrm>
                    <a:prstGeom prst="rect">
                      <a:avLst/>
                    </a:prstGeom>
                    <a:noFill/>
                  </pic:spPr>
                </pic:pic>
              </a:graphicData>
            </a:graphic>
          </wp:inline>
        </w:drawing>
      </w:r>
    </w:p>
    <w:p w14:paraId="2212781E" w14:textId="6C67D055" w:rsidR="00AC3C12" w:rsidRDefault="00AC3C12" w:rsidP="009B350C">
      <w:pPr>
        <w:spacing w:after="0" w:line="360" w:lineRule="auto"/>
        <w:jc w:val="both"/>
      </w:pPr>
      <w:r>
        <w:rPr>
          <w:rFonts w:hint="eastAsia"/>
        </w:rPr>
        <w:lastRenderedPageBreak/>
        <w:t>(b)</w:t>
      </w:r>
    </w:p>
    <w:p w14:paraId="78BB841D" w14:textId="4F1866FA" w:rsidR="00AC3C12" w:rsidRDefault="00180CAA" w:rsidP="009B350C">
      <w:pPr>
        <w:spacing w:after="0" w:line="360" w:lineRule="auto"/>
        <w:jc w:val="both"/>
      </w:pPr>
      <w:r w:rsidRPr="00180CAA">
        <w:rPr>
          <w:noProof/>
        </w:rPr>
        <w:t xml:space="preserve"> </w:t>
      </w:r>
      <w:r w:rsidRPr="00180CAA">
        <w:rPr>
          <w:noProof/>
        </w:rPr>
        <w:drawing>
          <wp:inline distT="0" distB="0" distL="0" distR="0" wp14:anchorId="17AC38C0" wp14:editId="7605567B">
            <wp:extent cx="6190615" cy="1705610"/>
            <wp:effectExtent l="0" t="0" r="0" b="0"/>
            <wp:docPr id="3" name="그래픽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6190615" cy="1705610"/>
                    </a:xfrm>
                    <a:prstGeom prst="rect">
                      <a:avLst/>
                    </a:prstGeom>
                  </pic:spPr>
                </pic:pic>
              </a:graphicData>
            </a:graphic>
          </wp:inline>
        </w:drawing>
      </w:r>
    </w:p>
    <w:sectPr w:rsidR="00AC3C12" w:rsidSect="00033FAD">
      <w:pgSz w:w="11909" w:h="16834"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A62F" w14:textId="77777777" w:rsidR="00F43145" w:rsidRDefault="00F43145" w:rsidP="00F53C85">
      <w:pPr>
        <w:spacing w:after="0" w:line="240" w:lineRule="auto"/>
      </w:pPr>
      <w:r>
        <w:separator/>
      </w:r>
    </w:p>
  </w:endnote>
  <w:endnote w:type="continuationSeparator" w:id="0">
    <w:p w14:paraId="5696725A" w14:textId="77777777" w:rsidR="00F43145" w:rsidRDefault="00F43145" w:rsidP="00F53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944501"/>
      <w:docPartObj>
        <w:docPartGallery w:val="Page Numbers (Bottom of Page)"/>
        <w:docPartUnique/>
      </w:docPartObj>
    </w:sdtPr>
    <w:sdtEndPr>
      <w:rPr>
        <w:noProof/>
      </w:rPr>
    </w:sdtEndPr>
    <w:sdtContent>
      <w:p w14:paraId="111C18B5" w14:textId="79D3A381" w:rsidR="00D150D2" w:rsidRDefault="00D150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E1A9F8" w14:textId="77777777" w:rsidR="00D150D2" w:rsidRDefault="00D15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B28A7" w14:textId="77777777" w:rsidR="00F43145" w:rsidRDefault="00F43145" w:rsidP="00F53C85">
      <w:pPr>
        <w:spacing w:after="0" w:line="240" w:lineRule="auto"/>
      </w:pPr>
      <w:r>
        <w:separator/>
      </w:r>
    </w:p>
  </w:footnote>
  <w:footnote w:type="continuationSeparator" w:id="0">
    <w:p w14:paraId="31CFA83A" w14:textId="77777777" w:rsidR="00F43145" w:rsidRDefault="00F43145" w:rsidP="00F53C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033FAD"/>
    <w:rsid w:val="00006737"/>
    <w:rsid w:val="00013F78"/>
    <w:rsid w:val="00033FAD"/>
    <w:rsid w:val="00070237"/>
    <w:rsid w:val="000A02E9"/>
    <w:rsid w:val="000F6345"/>
    <w:rsid w:val="00115C5F"/>
    <w:rsid w:val="00162630"/>
    <w:rsid w:val="001648E9"/>
    <w:rsid w:val="001649A0"/>
    <w:rsid w:val="00180CAA"/>
    <w:rsid w:val="001913AF"/>
    <w:rsid w:val="001A180F"/>
    <w:rsid w:val="001B19B4"/>
    <w:rsid w:val="00210257"/>
    <w:rsid w:val="002426FE"/>
    <w:rsid w:val="00247C4A"/>
    <w:rsid w:val="002637DD"/>
    <w:rsid w:val="002B1493"/>
    <w:rsid w:val="002B34D3"/>
    <w:rsid w:val="002D6E34"/>
    <w:rsid w:val="00352735"/>
    <w:rsid w:val="003871E9"/>
    <w:rsid w:val="00395C8D"/>
    <w:rsid w:val="003E0112"/>
    <w:rsid w:val="003E2B2C"/>
    <w:rsid w:val="003F0DE2"/>
    <w:rsid w:val="0044335A"/>
    <w:rsid w:val="00466E4C"/>
    <w:rsid w:val="004A43EE"/>
    <w:rsid w:val="004B1D6D"/>
    <w:rsid w:val="004D318A"/>
    <w:rsid w:val="004E5CC5"/>
    <w:rsid w:val="004F4A51"/>
    <w:rsid w:val="00514285"/>
    <w:rsid w:val="0053054A"/>
    <w:rsid w:val="005450CB"/>
    <w:rsid w:val="00562C3F"/>
    <w:rsid w:val="005673CA"/>
    <w:rsid w:val="00571705"/>
    <w:rsid w:val="00615FF5"/>
    <w:rsid w:val="00620D6F"/>
    <w:rsid w:val="00670547"/>
    <w:rsid w:val="0067730C"/>
    <w:rsid w:val="006A1600"/>
    <w:rsid w:val="00741876"/>
    <w:rsid w:val="007425C3"/>
    <w:rsid w:val="00742F74"/>
    <w:rsid w:val="00757827"/>
    <w:rsid w:val="00760010"/>
    <w:rsid w:val="00772804"/>
    <w:rsid w:val="00772C68"/>
    <w:rsid w:val="007A4DD4"/>
    <w:rsid w:val="007C2C00"/>
    <w:rsid w:val="007D330C"/>
    <w:rsid w:val="007D6104"/>
    <w:rsid w:val="00813222"/>
    <w:rsid w:val="00820C08"/>
    <w:rsid w:val="00824817"/>
    <w:rsid w:val="00824AC8"/>
    <w:rsid w:val="00851597"/>
    <w:rsid w:val="00874F95"/>
    <w:rsid w:val="008B01CC"/>
    <w:rsid w:val="008B7E7F"/>
    <w:rsid w:val="009072F4"/>
    <w:rsid w:val="00935BC4"/>
    <w:rsid w:val="00982A3F"/>
    <w:rsid w:val="00985D36"/>
    <w:rsid w:val="009B350C"/>
    <w:rsid w:val="009D150B"/>
    <w:rsid w:val="00A10DA2"/>
    <w:rsid w:val="00A208F7"/>
    <w:rsid w:val="00A52B8B"/>
    <w:rsid w:val="00A53FDE"/>
    <w:rsid w:val="00A5638F"/>
    <w:rsid w:val="00A60AF3"/>
    <w:rsid w:val="00A610F2"/>
    <w:rsid w:val="00A631CF"/>
    <w:rsid w:val="00AA245C"/>
    <w:rsid w:val="00AC3C12"/>
    <w:rsid w:val="00AF6F15"/>
    <w:rsid w:val="00B006B5"/>
    <w:rsid w:val="00B15D44"/>
    <w:rsid w:val="00B51673"/>
    <w:rsid w:val="00B631CA"/>
    <w:rsid w:val="00BF0B51"/>
    <w:rsid w:val="00C20D32"/>
    <w:rsid w:val="00C41A37"/>
    <w:rsid w:val="00C76348"/>
    <w:rsid w:val="00CA571C"/>
    <w:rsid w:val="00CB4270"/>
    <w:rsid w:val="00CC72C8"/>
    <w:rsid w:val="00CD68D3"/>
    <w:rsid w:val="00CE3A0A"/>
    <w:rsid w:val="00D150D2"/>
    <w:rsid w:val="00D3691D"/>
    <w:rsid w:val="00D56414"/>
    <w:rsid w:val="00D65835"/>
    <w:rsid w:val="00D82479"/>
    <w:rsid w:val="00DA7D5F"/>
    <w:rsid w:val="00DC121E"/>
    <w:rsid w:val="00DE7A5B"/>
    <w:rsid w:val="00DF1C6F"/>
    <w:rsid w:val="00DF4C27"/>
    <w:rsid w:val="00E077D2"/>
    <w:rsid w:val="00E129DD"/>
    <w:rsid w:val="00E3172D"/>
    <w:rsid w:val="00E32A92"/>
    <w:rsid w:val="00E51DE3"/>
    <w:rsid w:val="00E60264"/>
    <w:rsid w:val="00E657C2"/>
    <w:rsid w:val="00E83AF6"/>
    <w:rsid w:val="00E95371"/>
    <w:rsid w:val="00EA6308"/>
    <w:rsid w:val="00F00395"/>
    <w:rsid w:val="00F0359C"/>
    <w:rsid w:val="00F14757"/>
    <w:rsid w:val="00F37EC6"/>
    <w:rsid w:val="00F43145"/>
    <w:rsid w:val="00F46E0A"/>
    <w:rsid w:val="00F53C85"/>
    <w:rsid w:val="00F54DB5"/>
    <w:rsid w:val="00F54EF0"/>
    <w:rsid w:val="00F708D1"/>
    <w:rsid w:val="00FA1D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6CC13"/>
  <w15:chartTrackingRefBased/>
  <w15:docId w15:val="{AA1F6A15-161F-4E2C-A499-7BF65CAC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FAD"/>
    <w:rPr>
      <w:rFonts w:eastAsiaTheme="majorEastAsia" w:cstheme="majorBidi"/>
      <w:color w:val="272727" w:themeColor="text1" w:themeTint="D8"/>
    </w:rPr>
  </w:style>
  <w:style w:type="paragraph" w:styleId="Title">
    <w:name w:val="Title"/>
    <w:basedOn w:val="Normal"/>
    <w:next w:val="Normal"/>
    <w:link w:val="TitleChar"/>
    <w:uiPriority w:val="10"/>
    <w:qFormat/>
    <w:rsid w:val="00033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FAD"/>
    <w:pPr>
      <w:spacing w:before="160"/>
      <w:jc w:val="center"/>
    </w:pPr>
    <w:rPr>
      <w:i/>
      <w:iCs/>
      <w:color w:val="404040" w:themeColor="text1" w:themeTint="BF"/>
    </w:rPr>
  </w:style>
  <w:style w:type="character" w:customStyle="1" w:styleId="QuoteChar">
    <w:name w:val="Quote Char"/>
    <w:basedOn w:val="DefaultParagraphFont"/>
    <w:link w:val="Quote"/>
    <w:uiPriority w:val="29"/>
    <w:rsid w:val="00033FAD"/>
    <w:rPr>
      <w:i/>
      <w:iCs/>
      <w:color w:val="404040" w:themeColor="text1" w:themeTint="BF"/>
    </w:rPr>
  </w:style>
  <w:style w:type="paragraph" w:styleId="ListParagraph">
    <w:name w:val="List Paragraph"/>
    <w:basedOn w:val="Normal"/>
    <w:uiPriority w:val="34"/>
    <w:qFormat/>
    <w:rsid w:val="00033FAD"/>
    <w:pPr>
      <w:ind w:left="720"/>
      <w:contextualSpacing/>
    </w:pPr>
  </w:style>
  <w:style w:type="character" w:styleId="IntenseEmphasis">
    <w:name w:val="Intense Emphasis"/>
    <w:basedOn w:val="DefaultParagraphFont"/>
    <w:uiPriority w:val="21"/>
    <w:qFormat/>
    <w:rsid w:val="00033FAD"/>
    <w:rPr>
      <w:i/>
      <w:iCs/>
      <w:color w:val="0F4761" w:themeColor="accent1" w:themeShade="BF"/>
    </w:rPr>
  </w:style>
  <w:style w:type="paragraph" w:styleId="IntenseQuote">
    <w:name w:val="Intense Quote"/>
    <w:basedOn w:val="Normal"/>
    <w:next w:val="Normal"/>
    <w:link w:val="IntenseQuoteChar"/>
    <w:uiPriority w:val="30"/>
    <w:qFormat/>
    <w:rsid w:val="00033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FAD"/>
    <w:rPr>
      <w:i/>
      <w:iCs/>
      <w:color w:val="0F4761" w:themeColor="accent1" w:themeShade="BF"/>
    </w:rPr>
  </w:style>
  <w:style w:type="character" w:styleId="IntenseReference">
    <w:name w:val="Intense Reference"/>
    <w:basedOn w:val="DefaultParagraphFont"/>
    <w:uiPriority w:val="32"/>
    <w:qFormat/>
    <w:rsid w:val="00033FAD"/>
    <w:rPr>
      <w:b/>
      <w:bCs/>
      <w:smallCaps/>
      <w:color w:val="0F4761" w:themeColor="accent1" w:themeShade="BF"/>
      <w:spacing w:val="5"/>
    </w:rPr>
  </w:style>
  <w:style w:type="paragraph" w:styleId="Header">
    <w:name w:val="header"/>
    <w:basedOn w:val="Normal"/>
    <w:link w:val="HeaderChar"/>
    <w:uiPriority w:val="99"/>
    <w:unhideWhenUsed/>
    <w:rsid w:val="00F53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C85"/>
  </w:style>
  <w:style w:type="paragraph" w:styleId="Footer">
    <w:name w:val="footer"/>
    <w:basedOn w:val="Normal"/>
    <w:link w:val="FooterChar"/>
    <w:uiPriority w:val="99"/>
    <w:unhideWhenUsed/>
    <w:rsid w:val="00F53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C85"/>
  </w:style>
  <w:style w:type="paragraph" w:styleId="Revision">
    <w:name w:val="Revision"/>
    <w:hidden/>
    <w:uiPriority w:val="99"/>
    <w:semiHidden/>
    <w:rsid w:val="007425C3"/>
    <w:pPr>
      <w:spacing w:after="0" w:line="240" w:lineRule="auto"/>
    </w:pPr>
  </w:style>
  <w:style w:type="character" w:customStyle="1" w:styleId="EndNoteBibliographyChar">
    <w:name w:val="EndNote Bibliography Char"/>
    <w:basedOn w:val="DefaultParagraphFont"/>
    <w:link w:val="EndNoteBibliography"/>
    <w:locked/>
    <w:rsid w:val="00E657C2"/>
    <w:rPr>
      <w:rFonts w:ascii="Aptos" w:eastAsia="맑은 고딕" w:hAnsi="Aptos"/>
      <w:noProof/>
    </w:rPr>
  </w:style>
  <w:style w:type="paragraph" w:customStyle="1" w:styleId="EndNoteBibliography">
    <w:name w:val="EndNote Bibliography"/>
    <w:basedOn w:val="Normal"/>
    <w:link w:val="EndNoteBibliographyChar"/>
    <w:rsid w:val="00E657C2"/>
    <w:pPr>
      <w:widowControl w:val="0"/>
      <w:wordWrap w:val="0"/>
      <w:autoSpaceDE w:val="0"/>
      <w:autoSpaceDN w:val="0"/>
      <w:spacing w:line="240" w:lineRule="auto"/>
      <w:jc w:val="both"/>
    </w:pPr>
    <w:rPr>
      <w:rFonts w:ascii="Aptos" w:eastAsia="맑은 고딕" w:hAnsi="Aptos"/>
      <w:noProof/>
    </w:rPr>
  </w:style>
  <w:style w:type="character" w:styleId="Emphasis">
    <w:name w:val="Emphasis"/>
    <w:basedOn w:val="DefaultParagraphFont"/>
    <w:uiPriority w:val="20"/>
    <w:qFormat/>
    <w:rsid w:val="00E657C2"/>
    <w:rPr>
      <w:i/>
      <w:iCs/>
    </w:rPr>
  </w:style>
  <w:style w:type="character" w:styleId="CommentReference">
    <w:name w:val="annotation reference"/>
    <w:basedOn w:val="DefaultParagraphFont"/>
    <w:uiPriority w:val="99"/>
    <w:semiHidden/>
    <w:unhideWhenUsed/>
    <w:rsid w:val="007A4DD4"/>
    <w:rPr>
      <w:sz w:val="18"/>
      <w:szCs w:val="18"/>
    </w:rPr>
  </w:style>
  <w:style w:type="paragraph" w:styleId="CommentText">
    <w:name w:val="annotation text"/>
    <w:basedOn w:val="Normal"/>
    <w:link w:val="CommentTextChar"/>
    <w:uiPriority w:val="99"/>
    <w:semiHidden/>
    <w:unhideWhenUsed/>
    <w:rsid w:val="007A4DD4"/>
  </w:style>
  <w:style w:type="character" w:customStyle="1" w:styleId="CommentTextChar">
    <w:name w:val="Comment Text Char"/>
    <w:basedOn w:val="DefaultParagraphFont"/>
    <w:link w:val="CommentText"/>
    <w:uiPriority w:val="99"/>
    <w:semiHidden/>
    <w:rsid w:val="007A4DD4"/>
  </w:style>
  <w:style w:type="paragraph" w:styleId="CommentSubject">
    <w:name w:val="annotation subject"/>
    <w:basedOn w:val="CommentText"/>
    <w:next w:val="CommentText"/>
    <w:link w:val="CommentSubjectChar"/>
    <w:uiPriority w:val="99"/>
    <w:semiHidden/>
    <w:unhideWhenUsed/>
    <w:rsid w:val="007A4DD4"/>
    <w:rPr>
      <w:b/>
      <w:bCs/>
    </w:rPr>
  </w:style>
  <w:style w:type="character" w:customStyle="1" w:styleId="CommentSubjectChar">
    <w:name w:val="Comment Subject Char"/>
    <w:basedOn w:val="CommentTextChar"/>
    <w:link w:val="CommentSubject"/>
    <w:uiPriority w:val="99"/>
    <w:semiHidden/>
    <w:rsid w:val="007A4DD4"/>
    <w:rPr>
      <w:b/>
      <w:bCs/>
    </w:rPr>
  </w:style>
  <w:style w:type="paragraph" w:customStyle="1" w:styleId="EndNoteBibliographyTitle">
    <w:name w:val="EndNote Bibliography Title"/>
    <w:basedOn w:val="Normal"/>
    <w:link w:val="EndNoteBibliographyTitleChar"/>
    <w:rsid w:val="00D150D2"/>
    <w:pPr>
      <w:spacing w:after="0"/>
      <w:jc w:val="center"/>
    </w:pPr>
    <w:rPr>
      <w:rFonts w:ascii="Aptos" w:eastAsia="맑은 고딕" w:hAnsi="Aptos"/>
      <w:noProof/>
    </w:rPr>
  </w:style>
  <w:style w:type="character" w:customStyle="1" w:styleId="EndNoteBibliographyTitleChar">
    <w:name w:val="EndNote Bibliography Title Char"/>
    <w:basedOn w:val="DefaultParagraphFont"/>
    <w:link w:val="EndNoteBibliographyTitle"/>
    <w:rsid w:val="00D150D2"/>
    <w:rPr>
      <w:rFonts w:ascii="Aptos" w:eastAsia="맑은 고딕" w:hAnsi="Apto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svg"/><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14</Pages>
  <Words>2211</Words>
  <Characters>12606</Characters>
  <Application>Microsoft Office Word</Application>
  <DocSecurity>0</DocSecurity>
  <Lines>105</Lines>
  <Paragraphs>29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SJPark</dc:creator>
  <cp:keywords/>
  <dc:description/>
  <cp:lastModifiedBy>SJPark</cp:lastModifiedBy>
  <cp:revision>13</cp:revision>
  <dcterms:created xsi:type="dcterms:W3CDTF">2026-09-14T08:00:00Z</dcterms:created>
  <dcterms:modified xsi:type="dcterms:W3CDTF">2026-09-15T07:56:00Z</dcterms:modified>
</cp:coreProperties>
</file>