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100" w:line="252" w:lineRule="auto"/>
        <w:jc w:val="center"/>
      </w:pPr>
      <w:r>
        <w:rPr>
          <w:rFonts w:ascii="Arial" w:hAnsi="Arial" w:eastAsia="Arial"/>
          <w:b/>
          <w:color w:val="000000"/>
          <w:sz w:val="28"/>
        </w:rPr>
        <w:t>Quantifying Controller Preference Reliability under Uncertainty in a Rotary Inverted Pendulum Benchmark</w:t>
      </w:r>
    </w:p>
    <w:p>
      <w:pPr>
        <w:keepNext w:val="0"/>
        <w:spacing w:before="0" w:after="160" w:line="252" w:lineRule="auto"/>
        <w:jc w:val="center"/>
      </w:pPr>
      <w:r>
        <w:rPr>
          <w:rFonts w:ascii="Arial" w:hAnsi="Arial" w:eastAsia="Arial"/>
          <w:b w:val="0"/>
          <w:color w:val="000000"/>
          <w:sz w:val="21"/>
        </w:rPr>
        <w:t>Yusuf Coşkun, Lale Özyılmaz, Muhammet Aydın</w:t>
      </w:r>
    </w:p>
    <w:p>
      <w:pPr>
        <w:keepNext w:val="0"/>
        <w:spacing w:before="0" w:after="140" w:line="252" w:lineRule="auto"/>
        <w:jc w:val="center"/>
      </w:pPr>
      <w:r>
        <w:rPr>
          <w:rFonts w:ascii="Arial" w:hAnsi="Arial" w:eastAsia="Arial"/>
          <w:b/>
          <w:color w:val="000000"/>
          <w:sz w:val="26"/>
        </w:rPr>
        <w:t>Supplementary Information</w:t>
      </w:r>
    </w:p>
    <w:p>
      <w:pPr>
        <w:keepNext w:val="0"/>
        <w:spacing w:before="0" w:after="160" w:line="252" w:lineRule="auto"/>
        <w:jc w:val="left"/>
      </w:pPr>
      <w:r>
        <w:rPr/>
        <w:t>This file contains Supplementary Tables S1–S18 and Supplementary Figs. S13–S16. Tables S1–S10 provide the complete statistical-test outputs, model and controller specifications, uncertainty design, score normalization, Gaussian-process settings, residual-dependence calculations and CRI component values. The major revision adds Tables S11–S18 and Figs. S13–S16 to document initialization, tuning-fairness details, CRI dispersion-coefficient sensitivity, score-normalization sensitivity, command-delay sensitivity, dependence/tail-form sensitivity, fixed random seeds and regression/calibration diagnostics.</w:t>
      </w:r>
    </w:p>
    <w:p>
      <w:pPr>
        <w:keepNext/>
        <w:pageBreakBefore w:val="0"/>
        <w:spacing w:before="80" w:after="60" w:line="252" w:lineRule="auto"/>
        <w:jc w:val="left"/>
      </w:pPr>
      <w:r>
        <w:rPr>
          <w:rFonts w:ascii="Arial" w:hAnsi="Arial" w:eastAsia="Arial"/>
          <w:b/>
          <w:color w:val="000000"/>
          <w:sz w:val="19"/>
        </w:rPr>
        <w:t>Supplementary Table S1. Complete paired statistical reporting for the controller-score comparisons.</w:t>
      </w:r>
    </w:p>
    <w:p>
      <w:pPr>
        <w:keepNext/>
        <w:spacing w:before="0" w:after="40" w:line="252" w:lineRule="auto"/>
        <w:jc w:val="left"/>
      </w:pPr>
      <w:r>
        <w:rPr>
          <w:rFonts w:ascii="Arial" w:hAnsi="Arial" w:eastAsia="Arial"/>
          <w:b/>
          <w:color w:val="000000"/>
          <w:sz w:val="18"/>
        </w:rPr>
        <w:t>(a) Omnibus Friedman tests for paired controller scores.</w:t>
      </w:r>
    </w:p>
    <w:tbl>
      <w:tblPr>
        <w:tblW w:type="auto" w:w="0"/>
        <w:jc w:val="center"/>
        <w:tblLayout w:type="autofit"/>
        <w:tblLook w:firstColumn="1" w:firstRow="1" w:lastColumn="0" w:lastRow="0" w:noHBand="0" w:noVBand="1" w:val="04A0"/>
        <w:tblBorders>
          <w:top w:val="single" w:sz="8" w:space="0" w:color="000000"/>
          <w:left w:val="nil"/>
          <w:bottom w:val="single" w:sz="8" w:space="0" w:color="000000"/>
          <w:right w:val="nil"/>
          <w:insideH w:val="nil"/>
          <w:insideV w:val="nil"/>
        </w:tblBorders>
      </w:tblPr>
      <w:tblGrid>
        <w:gridCol w:w="1663"/>
        <w:gridCol w:w="1663"/>
        <w:gridCol w:w="1663"/>
        <w:gridCol w:w="1663"/>
        <w:gridCol w:w="1663"/>
        <w:gridCol w:w="1663"/>
      </w:tblGrid>
      <w:tr>
        <w:trPr>
          <w:cantSplit/>
          <w:tblHeader w:val="true"/>
        </w:trPr>
        <w:tc>
          <w:tcPr>
            <w:tcW w:type="dxa" w:w="1663"/>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Context</w:t>
            </w:r>
          </w:p>
        </w:tc>
        <w:tc>
          <w:tcPr>
            <w:tcW w:type="dxa" w:w="1663"/>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N</w:t>
            </w:r>
          </w:p>
        </w:tc>
        <w:tc>
          <w:tcPr>
            <w:tcW w:type="dxa" w:w="1663"/>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Q</w:t>
            </w:r>
          </w:p>
        </w:tc>
        <w:tc>
          <w:tcPr>
            <w:tcW w:type="dxa" w:w="1663"/>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df</w:t>
            </w:r>
          </w:p>
        </w:tc>
        <w:tc>
          <w:tcPr>
            <w:tcW w:type="dxa" w:w="1663"/>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Asymptotic P</w:t>
            </w:r>
          </w:p>
        </w:tc>
        <w:tc>
          <w:tcPr>
            <w:tcW w:type="dxa" w:w="1663"/>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Kendall W</w:t>
            </w:r>
          </w:p>
        </w:tc>
      </w:tr>
      <w:tr>
        <w:trPr>
          <w:cantSplit/>
        </w:trPr>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±10%</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2000</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2906.8960</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8.675e-629</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0.363362</w:t>
            </w:r>
          </w:p>
        </w:tc>
      </w:tr>
      <w:tr>
        <w:trPr>
          <w:cantSplit/>
        </w:trPr>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2000</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2891.6276</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1.784e-625</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0.361453</w:t>
            </w:r>
          </w:p>
        </w:tc>
      </w:tr>
      <w:tr>
        <w:trPr>
          <w:cantSplit/>
        </w:trPr>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2000</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2881.1900</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3.284e-623</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0.360149</w:t>
            </w:r>
          </w:p>
        </w:tc>
      </w:tr>
      <w:tr>
        <w:trPr>
          <w:cantSplit/>
        </w:trPr>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Overall</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2000</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2895.7720</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2.250e-626</w:t>
            </w:r>
          </w:p>
        </w:tc>
        <w:tc>
          <w:tcPr>
            <w:tcW w:type="dxa" w:w="1663"/>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0.361972</w:t>
            </w:r>
          </w:p>
        </w:tc>
      </w:tr>
    </w:tbl>
    <w:p>
      <w:pPr>
        <w:keepNext w:val="0"/>
        <w:spacing w:before="0" w:after="80" w:line="252" w:lineRule="auto"/>
        <w:jc w:val="left"/>
      </w:pPr>
      <w:r>
        <w:rPr>
          <w:rFonts w:ascii="Arial" w:hAnsi="Arial" w:eastAsia="Arial"/>
          <w:b w:val="0"/>
          <w:color w:val="000000"/>
          <w:sz w:val="17"/>
        </w:rPr>
        <w:t>All Friedman tests use N = 2,000 matched scenario blocks and df = 4. The reported P values are asymptotic chi-square tail probabilities; values below double-precision representation were recomputed at high precision.</w:t>
      </w:r>
    </w:p>
    <w:p>
      <w:pPr>
        <w:keepNext/>
        <w:pageBreakBefore/>
        <w:spacing w:before="0" w:after="40" w:line="252" w:lineRule="auto"/>
        <w:jc w:val="left"/>
      </w:pPr>
      <w:r>
        <w:rPr>
          <w:rFonts w:ascii="Arial" w:hAnsi="Arial" w:eastAsia="Arial"/>
          <w:b/>
          <w:color w:val="000000"/>
          <w:sz w:val="18"/>
        </w:rPr>
        <w:t>(b) Two-sided paired Wilcoxon signed-rank comparisons with Holm adjustment (family-wise α = 0.05).</w:t>
      </w:r>
    </w:p>
    <w:tbl>
      <w:tblPr>
        <w:tblW w:type="auto" w:w="0"/>
        <w:jc w:val="center"/>
        <w:tblLayout w:type="autofit"/>
        <w:tblLook w:firstColumn="1" w:firstRow="1" w:lastColumn="0" w:lastRow="0" w:noHBand="0" w:noVBand="1" w:val="04A0"/>
        <w:tblBorders>
          <w:top w:val="single" w:sz="8" w:space="0" w:color="000000"/>
          <w:left w:val="nil"/>
          <w:bottom w:val="single" w:sz="8" w:space="0" w:color="000000"/>
          <w:right w:val="nil"/>
          <w:insideH w:val="nil"/>
          <w:insideV w:val="nil"/>
        </w:tblBorders>
      </w:tblPr>
      <w:tblGrid>
        <w:gridCol w:w="1425"/>
        <w:gridCol w:w="1425"/>
        <w:gridCol w:w="1425"/>
        <w:gridCol w:w="1425"/>
        <w:gridCol w:w="1425"/>
        <w:gridCol w:w="1425"/>
        <w:gridCol w:w="1425"/>
      </w:tblGrid>
      <w:tr>
        <w:trPr>
          <w:cantSplit/>
          <w:tblHeader w:val="true"/>
        </w:trPr>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Context</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A</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B</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Median Δ(A−B)</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Z</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Holm-adjusted P</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r_rb</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-0.296459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-38.699771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1.255e-326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-0.999099</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-0.038391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-14.005401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5.778e-44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-0.361573</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-0.022108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-5.441767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5.275e-8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-0.140489</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-0.028145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-7.895118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5.801e-15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-0.203826</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0.247923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35.033121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4.933e-268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0.904439</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0.264409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36.013470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4.634e-283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0.929748</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0.260692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35.664336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1.130e-277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0.920735</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0.010642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14.290617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1.252e-45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0.368937</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0.005753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8.317734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2.690e-16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0.214737</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-0.006692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-27.464316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2.812e-165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-0.709037</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-0.298012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-38.697139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1.389e-326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-0.999031</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-0.038660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-13.941675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1.414e-43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-0.359928</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-0.020054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-4.952057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7.343e-7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-0.127846</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-0.025976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-7.390076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2.935e-13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-0.190788</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0.248745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35.022978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7.040e-268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0.904177</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0.270107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36.026479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2.899e-283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0.930084</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0.265910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35.676028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7.445e-278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0.921036</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0.010291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14.256160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2.052e-45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0.368047</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0.005279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8.457419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8.201e-17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0.218343</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-0.006765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-27.453669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3.769e-165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-0.708763</w:t>
            </w:r>
          </w:p>
        </w:tc>
      </w:tr>
    </w:tbl>
    <w:p>
      <w:pPr>
        <w:keepNext/>
        <w:pageBreakBefore/>
        <w:spacing w:before="0" w:after="40" w:line="252" w:lineRule="auto"/>
        <w:jc w:val="left"/>
      </w:pPr>
      <w:r>
        <w:rPr>
          <w:rFonts w:ascii="Arial" w:hAnsi="Arial" w:eastAsia="Arial"/>
          <w:b/>
          <w:color w:val="000000"/>
          <w:sz w:val="18"/>
        </w:rPr>
        <w:t>Supplementary Table S1b (continued).</w:t>
      </w:r>
    </w:p>
    <w:tbl>
      <w:tblPr>
        <w:tblW w:type="auto" w:w="0"/>
        <w:jc w:val="center"/>
        <w:tblLayout w:type="autofit"/>
        <w:tblLook w:firstColumn="1" w:firstRow="1" w:lastColumn="0" w:lastRow="0" w:noHBand="0" w:noVBand="1" w:val="04A0"/>
        <w:tblBorders>
          <w:top w:val="single" w:sz="8" w:space="0" w:color="000000"/>
          <w:left w:val="nil"/>
          <w:bottom w:val="single" w:sz="8" w:space="0" w:color="000000"/>
          <w:right w:val="nil"/>
          <w:insideH w:val="nil"/>
          <w:insideV w:val="nil"/>
        </w:tblBorders>
      </w:tblPr>
      <w:tblGrid>
        <w:gridCol w:w="1425"/>
        <w:gridCol w:w="1425"/>
        <w:gridCol w:w="1425"/>
        <w:gridCol w:w="1425"/>
        <w:gridCol w:w="1425"/>
        <w:gridCol w:w="1425"/>
        <w:gridCol w:w="1425"/>
      </w:tblGrid>
      <w:tr>
        <w:trPr>
          <w:cantSplit/>
          <w:tblHeader w:val="true"/>
        </w:trPr>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Context</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A</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B</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Median Δ(A−B)</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Z</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Holm-adjusted P</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6"/>
              </w:rPr>
              <w:t>r_rb</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-0.301514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-38.694274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1.552e-326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-0.998958</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-0.038066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-13.855302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4.726e-43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-0.357698</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-0.018548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-4.236559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2.270e-5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-0.109374</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-0.024360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-6.674888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4.948e-11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-0.172324</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0.252377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34.999710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1.591e-267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0.903576</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0.276233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36.041229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1.703e-283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0.930465</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0.270702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35.686829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5.062e-278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0.921315</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0.010538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14.398981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2.626e-46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0.371734</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0.005810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8.738376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7.095e-18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0.225596</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-0.006742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-27.363424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4.486e-164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-0.706433</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-0.298151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-38.697565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1.367e-326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-0.999042</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-0.038576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-13.936371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1.523e-43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-0.359791</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-0.019774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-4.855230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1.202e-6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-0.125346</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-0.025721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-7.298398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5.824e-13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-0.188421</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0.249172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35.028359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5.830e-268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0.904316</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0.270900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36.038674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1.868e-283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0.930399</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0.266274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35.690894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4.378e-278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0.921420</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0.010454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14.438819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1.474e-46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0.372763</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0.005337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8.627689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1.878e-17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0.222739</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-0.006635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-27.666294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1.066e-167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6"/>
              </w:rPr>
              <w:t>-0.714252</w:t>
            </w:r>
          </w:p>
        </w:tc>
      </w:tr>
    </w:tbl>
    <w:p>
      <w:pPr>
        <w:keepNext w:val="0"/>
        <w:spacing w:before="0" w:after="60" w:line="252" w:lineRule="auto"/>
        <w:jc w:val="left"/>
      </w:pPr>
      <w:r>
        <w:rPr>
          <w:rFonts w:ascii="Arial" w:hAnsi="Arial" w:eastAsia="Arial"/>
          <w:b w:val="0"/>
          <w:color w:val="000000"/>
          <w:sz w:val="17"/>
        </w:rPr>
        <w:t>Interpretation note. Wilcoxon tests address block-wise paired score differences, whereas paired-bootstrap intervals for CRI differences address sampling uncertainty in the aggregate statistic CRI = median(J) + 0.5 IQR(J). The median of paired differences is not generally equal to the difference of marginal medians, and CRI additionally contains an IQR term. These quantities therefore address different estimands.</w:t>
      </w:r>
    </w:p>
    <w:p>
      <w:pPr>
        <w:keepNext w:val="0"/>
        <w:pageBreakBefore/>
        <w:spacing w:before="0" w:after="100" w:line="252" w:lineRule="auto"/>
        <w:jc w:val="left"/>
      </w:pPr>
      <w:r>
        <w:rPr>
          <w:rFonts w:ascii="Arial" w:hAnsi="Arial" w:eastAsia="Arial"/>
          <w:b/>
          <w:color w:val="000000"/>
          <w:sz w:val="24"/>
        </w:rPr>
        <w:t>Supplementary Methods Tables</w:t>
      </w:r>
    </w:p>
    <w:p>
      <w:pPr>
        <w:keepNext/>
        <w:pageBreakBefore w:val="0"/>
        <w:spacing w:before="80" w:after="60" w:line="252" w:lineRule="auto"/>
        <w:jc w:val="left"/>
      </w:pPr>
      <w:r>
        <w:rPr>
          <w:rFonts w:ascii="Arial" w:hAnsi="Arial" w:eastAsia="Arial"/>
          <w:b/>
          <w:color w:val="000000"/>
          <w:sz w:val="19"/>
        </w:rPr>
        <w:t>Supplementary Table S2. Nominal mechanical and motor parameters used in the nonlinear RIP model.</w:t>
      </w:r>
    </w:p>
    <w:tbl>
      <w:tblPr>
        <w:tblW w:type="auto" w:w="0"/>
        <w:jc w:val="center"/>
        <w:tblLayout w:type="autofit"/>
        <w:tblLook w:firstColumn="1" w:firstRow="1" w:lastColumn="0" w:lastRow="0" w:noHBand="0" w:noVBand="1" w:val="04A0"/>
        <w:tblBorders>
          <w:top w:val="single" w:sz="8" w:space="0" w:color="000000"/>
          <w:left w:val="nil"/>
          <w:bottom w:val="single" w:sz="8" w:space="0" w:color="000000"/>
          <w:right w:val="nil"/>
          <w:insideH w:val="nil"/>
          <w:insideV w:val="nil"/>
        </w:tblBorders>
      </w:tblPr>
      <w:tblGrid>
        <w:gridCol w:w="2494"/>
        <w:gridCol w:w="2494"/>
        <w:gridCol w:w="2494"/>
        <w:gridCol w:w="2494"/>
      </w:tblGrid>
      <w:tr>
        <w:trPr>
          <w:cantSplit/>
          <w:tblHeader w:val="true"/>
        </w:trPr>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Symbol</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Description</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Value</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Unit</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Pendulum mass</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0.127</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kg</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Rotary-arm length</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0.216</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Lp</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Pendulum full length</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0.337</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Pendulum center-of-mass distance (Lₚ/2)</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0.1685</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Ja</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Arm and motor inertia about vertical axis</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0.0028</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kg·m²</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Jp</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Pendulum inertia about center of mass</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1.202×10⁻³</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kg·m²</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br</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Arm viscous friction coefficient</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0.0024</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N·m·s/rad</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bp</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Pendulum viscous friction coefficient</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0.0024</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N·m·s/rad</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g</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Gravitational acceleration</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9.81</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m/s²</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Ra</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Armature resistance</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2.6</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Ω</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La</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Armature inductance (omitted from reduced electrical dynamics)</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1.8×10⁻⁴</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H</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Kt</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Motor torque constant</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7.68×10⁻³</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N·m/A</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Ke</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Back-EMF constant</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7.68×10⁻³</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V·s/rad</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Kg</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Gear ratio</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70</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ηm</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Motor efficiency</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0.69</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ηg</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Gearbox efficiency</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0.90</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Vₘₐₓ</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Actuator voltage limit</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V</w:t>
            </w:r>
          </w:p>
        </w:tc>
      </w:tr>
    </w:tbl>
    <w:p>
      <w:pPr>
        <w:keepNext/>
        <w:pageBreakBefore w:val="0"/>
        <w:spacing w:before="80" w:after="60" w:line="252" w:lineRule="auto"/>
        <w:jc w:val="left"/>
      </w:pPr>
      <w:r>
        <w:rPr>
          <w:rFonts w:ascii="Arial" w:hAnsi="Arial" w:eastAsia="Arial"/>
          <w:b/>
          <w:color w:val="000000"/>
          <w:sz w:val="19"/>
        </w:rPr>
        <w:t>Supplementary Table S3. Mamdani rule base for the normalized Fuzzy-SMC reaching-gain scheduler.</w:t>
      </w:r>
    </w:p>
    <w:tbl>
      <w:tblPr>
        <w:tblW w:type="auto" w:w="0"/>
        <w:jc w:val="center"/>
        <w:tblLayout w:type="autofit"/>
        <w:tblLook w:firstColumn="1" w:firstRow="1" w:lastColumn="0" w:lastRow="0" w:noHBand="0" w:noVBand="1" w:val="04A0"/>
        <w:tblBorders>
          <w:top w:val="single" w:sz="8" w:space="0" w:color="000000"/>
          <w:left w:val="nil"/>
          <w:bottom w:val="single" w:sz="8" w:space="0" w:color="000000"/>
          <w:right w:val="nil"/>
          <w:insideH w:val="nil"/>
          <w:insideV w:val="nil"/>
        </w:tblBorders>
      </w:tblPr>
      <w:tblGrid>
        <w:gridCol w:w="2494"/>
        <w:gridCol w:w="2494"/>
        <w:gridCol w:w="2494"/>
        <w:gridCol w:w="2494"/>
      </w:tblGrid>
      <w:tr>
        <w:trPr>
          <w:cantSplit/>
          <w:tblHeader w:val="true"/>
        </w:trPr>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zₛ (rows) / zᵣ (columns)</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Small</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Medium</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Large</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Small</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Small</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Medium</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Medium</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Medium</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Medium</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Medium</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Large</w:t>
            </w:r>
          </w:p>
        </w:tc>
      </w:tr>
      <w:tr>
        <w:trPr>
          <w:cantSplit/>
        </w:trPr>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Large</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Medium</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Large</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Large</w:t>
            </w:r>
          </w:p>
        </w:tc>
      </w:tr>
    </w:tbl>
    <w:p>
      <w:pPr>
        <w:keepNext/>
        <w:pageBreakBefore w:val="0"/>
        <w:spacing w:before="80" w:after="60" w:line="252" w:lineRule="auto"/>
        <w:jc w:val="left"/>
      </w:pPr>
      <w:r>
        <w:rPr>
          <w:rFonts w:ascii="Arial" w:hAnsi="Arial" w:eastAsia="Arial"/>
          <w:b/>
          <w:color w:val="000000"/>
          <w:sz w:val="19"/>
        </w:rPr>
        <w:t>Supplementary Table S4. Controller search variables, bounds and objective-evaluation budgets used for each genetic-algorithm seed.</w:t>
      </w:r>
    </w:p>
    <w:tbl>
      <w:tblPr>
        <w:tblW w:type="auto" w:w="0"/>
        <w:jc w:val="center"/>
        <w:tblLayout w:type="autofit"/>
        <w:tblLook w:firstColumn="1" w:firstRow="1" w:lastColumn="0" w:lastRow="0" w:noHBand="0" w:noVBand="1" w:val="04A0"/>
        <w:tblBorders>
          <w:top w:val="single" w:sz="8" w:space="0" w:color="000000"/>
          <w:left w:val="nil"/>
          <w:bottom w:val="single" w:sz="8" w:space="0" w:color="000000"/>
          <w:right w:val="nil"/>
          <w:insideH w:val="nil"/>
          <w:insideV w:val="nil"/>
        </w:tblBorders>
      </w:tblPr>
      <w:tblGrid>
        <w:gridCol w:w="2494"/>
        <w:gridCol w:w="2494"/>
        <w:gridCol w:w="2494"/>
        <w:gridCol w:w="2494"/>
      </w:tblGrid>
      <w:tr>
        <w:trPr>
          <w:cantSplit/>
          <w:tblHeader w:val="true"/>
        </w:trPr>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Controller</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Search variables and bounds</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Independent parameters</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Evaluations/seed</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4"/>
              </w:rPr>
              <w:t>PID</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Kp [10,200]; Ki [0,5]; Kd [0.5,20]; Kθ [-5,0]; Kθ̇ [-5,0]</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5</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750</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4"/>
              </w:rPr>
              <w:t>LQR</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log₁₀(q₂) [0,4]; log₁₀(q₄) [-3,2]; q₁ = q₃ = 10⁻⁶, R=1 fixed</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2</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300</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4"/>
              </w:rPr>
              <w:t>SMC</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η [0.01,10]; k [0,3]; ϕ [0.05,5]</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3</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450</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4"/>
              </w:rPr>
              <w:t>Fuzzy-SMC</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ηₘₐₓ [0.01,10/0.87]; k [0,3]; ϕ [0.05,5]</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3</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450</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4"/>
              </w:rPr>
              <w:t>ANFIS-SMC</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k [0,3]; ϕ [0.05,5]; ηₘₐₓ inherited from Fuzzy-SMC</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2</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4"/>
              </w:rPr>
              <w:t>300</w:t>
            </w:r>
          </w:p>
        </w:tc>
      </w:tr>
    </w:tbl>
    <w:p>
      <w:pPr>
        <w:keepNext/>
        <w:pageBreakBefore/>
        <w:spacing w:before="80" w:after="60" w:line="252" w:lineRule="auto"/>
        <w:jc w:val="left"/>
      </w:pPr>
      <w:r>
        <w:rPr>
          <w:rFonts w:ascii="Arial" w:hAnsi="Arial" w:eastAsia="Arial"/>
          <w:b/>
          <w:color w:val="000000"/>
          <w:sz w:val="19"/>
        </w:rPr>
        <w:t>Supplementary Table S5. Selected controller parameters after nominal tuning with five seeds. Lower J_nom indicates better performance only under the nominal tuning objective.</w:t>
      </w:r>
    </w:p>
    <w:tbl>
      <w:tblPr>
        <w:tblW w:type="auto" w:w="0"/>
        <w:jc w:val="center"/>
        <w:tblLayout w:type="autofit"/>
        <w:tblLook w:firstColumn="1" w:firstRow="1" w:lastColumn="0" w:lastRow="0" w:noHBand="0" w:noVBand="1" w:val="04A0"/>
        <w:tblBorders>
          <w:top w:val="single" w:sz="8" w:space="0" w:color="000000"/>
          <w:left w:val="nil"/>
          <w:bottom w:val="single" w:sz="8" w:space="0" w:color="000000"/>
          <w:right w:val="nil"/>
          <w:insideH w:val="nil"/>
          <w:insideV w:val="nil"/>
        </w:tblBorders>
      </w:tblPr>
      <w:tblGrid>
        <w:gridCol w:w="2494"/>
        <w:gridCol w:w="2494"/>
        <w:gridCol w:w="2494"/>
        <w:gridCol w:w="2494"/>
      </w:tblGrid>
      <w:tr>
        <w:trPr>
          <w:cantSplit/>
          <w:tblHeader w:val="true"/>
        </w:trPr>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Controller</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Selected parameters</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Best seed</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Jₙₒₘ</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PID</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Kp=28.939881; Ki=4.298534; Kd=3.069876; Kθ=-0.195427; Kθ̇=-2.000034</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5</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0.584359912</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LQR</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q₁ = q₃ = 1.0×10⁻⁶; q₂ = 550.652990; q₄ = 1.143248×10⁻³; R=1</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0.572361512</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SMC</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η=2.543346; k=0.150227; ϕ=3.807541</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5</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0.673176947</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Fuzzy-SMC</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ηₘₐₓ=6.881653; k=0.083102; ϕ=3.304549</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4</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0.655838093</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ANFIS-SMC</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ηₘₐₓ=6.881653 (inherited); k=0; ϕ=3.104867; 5×5 Gaussian-premise ANFIS with linear Sugeno consequents, 25 rules</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0.655372561</w:t>
            </w:r>
          </w:p>
        </w:tc>
      </w:tr>
    </w:tbl>
    <w:p>
      <w:pPr>
        <w:keepNext/>
        <w:pageBreakBefore w:val="0"/>
        <w:spacing w:before="80" w:after="60" w:line="252" w:lineRule="auto"/>
        <w:jc w:val="left"/>
      </w:pPr>
      <w:r>
        <w:rPr>
          <w:rFonts w:ascii="Arial" w:hAnsi="Arial" w:eastAsia="Arial"/>
          <w:b/>
          <w:color w:val="000000"/>
          <w:sz w:val="19"/>
        </w:rPr>
        <w:t>Supplementary Table S6. Nine-dimensional LHS scenario definition. The first four dimensions are mapped through the selected relative plant-uncertainty band; the final five dimensions define the composite disturbance.</w:t>
      </w:r>
    </w:p>
    <w:tbl>
      <w:tblPr>
        <w:tblW w:type="auto" w:w="0"/>
        <w:jc w:val="center"/>
        <w:tblLayout w:type="autofit"/>
        <w:tblLook w:firstColumn="1" w:firstRow="1" w:lastColumn="0" w:lastRow="0" w:noHBand="0" w:noVBand="1" w:val="04A0"/>
        <w:tblBorders>
          <w:top w:val="single" w:sz="8" w:space="0" w:color="000000"/>
          <w:left w:val="nil"/>
          <w:bottom w:val="single" w:sz="8" w:space="0" w:color="000000"/>
          <w:right w:val="nil"/>
          <w:insideH w:val="nil"/>
          <w:insideV w:val="nil"/>
        </w:tblBorders>
      </w:tblPr>
      <w:tblGrid>
        <w:gridCol w:w="2494"/>
        <w:gridCol w:w="2494"/>
        <w:gridCol w:w="2494"/>
        <w:gridCol w:w="2494"/>
      </w:tblGrid>
      <w:tr>
        <w:trPr>
          <w:cantSplit/>
          <w:tblHeader w:val="true"/>
        </w:trPr>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LHS dimension</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Quantity</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Symbol / scale</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Mapping or range</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1</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Pendulum mass scale</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m/m₀</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[1-b, 1+b]; b = 0.10, 0.15, 0.20</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2</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Pendulum full-length scale</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Lₚ/Lₚ,₀</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[1-b, 1+b]; b = 0.10, 0.15, 0.20</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3</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Motor torque-constant scale</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Kₜ/Kₜ,₀</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[1-b, 1+b]; b = 0.10, 0.15, 0.20</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4</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Arm viscous-friction scale</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bᵣ/bᵣ,₀</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[1-b, 1+b]; b = 0.10, 0.15, 0.20</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5</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Sinusoidal torque amplitude</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Asin</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 to 0.15 N·m</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6</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Sinusoidal frequency</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ω</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 to 5 rad/s</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7</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Bias torque</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τbias</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-0.05 to 0.05 N·m</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8</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Impulse torque amplitude</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Aimp</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-0.40 to 0.40 N·m</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9</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Impulse onset time</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timp</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 to 3 s</w:t>
            </w:r>
          </w:p>
        </w:tc>
      </w:tr>
    </w:tbl>
    <w:p>
      <w:pPr>
        <w:keepNext/>
        <w:pageBreakBefore w:val="0"/>
        <w:spacing w:before="80" w:after="60" w:line="252" w:lineRule="auto"/>
        <w:jc w:val="left"/>
      </w:pPr>
      <w:r>
        <w:rPr>
          <w:rFonts w:ascii="Arial" w:hAnsi="Arial" w:eastAsia="Arial"/>
          <w:b/>
          <w:color w:val="000000"/>
          <w:sz w:val="19"/>
        </w:rPr>
        <w:t>Supplementary Table S7. Performance quantities, pooled-median normalization constants and base weights used in the continuous scenario score.</w:t>
      </w:r>
    </w:p>
    <w:tbl>
      <w:tblPr>
        <w:tblW w:type="auto" w:w="0"/>
        <w:jc w:val="center"/>
        <w:tblLayout w:type="autofit"/>
        <w:tblLook w:firstColumn="1" w:firstRow="1" w:lastColumn="0" w:lastRow="0" w:noHBand="0" w:noVBand="1" w:val="04A0"/>
        <w:tblBorders>
          <w:top w:val="single" w:sz="8" w:space="0" w:color="000000"/>
          <w:left w:val="nil"/>
          <w:bottom w:val="single" w:sz="8" w:space="0" w:color="000000"/>
          <w:right w:val="nil"/>
          <w:insideH w:val="nil"/>
          <w:insideV w:val="nil"/>
        </w:tblBorders>
      </w:tblPr>
      <w:tblGrid>
        <w:gridCol w:w="2494"/>
        <w:gridCol w:w="2494"/>
        <w:gridCol w:w="2494"/>
        <w:gridCol w:w="2494"/>
      </w:tblGrid>
      <w:tr>
        <w:trPr>
          <w:cantSplit/>
          <w:tblHeader w:val="true"/>
        </w:trPr>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Metric</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Engineering meaning</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Normalization scale</w:t>
            </w:r>
          </w:p>
        </w:tc>
        <w:tc>
          <w:tcPr>
            <w:tcW w:type="dxa" w:w="2494"/>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Base weight</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Pendulum RMS angle, α RMS</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Regulation accuracy</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0.01921046 rad</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0.45</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Rotary arm RMS angle, θ RMS</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Sustained arm motion</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0.3035499 rad</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0.20</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Applied voltage RMS, U RMS</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Actuator effort</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0.7770046 V</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0.20</w:t>
            </w:r>
          </w:p>
        </w:tc>
      </w:tr>
      <w:tr>
        <w:trPr>
          <w:cantSplit/>
        </w:trPr>
        <w:tc>
          <w:tcPr>
            <w:tcW w:type="dxa" w:w="2494"/>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Chattering index, CI</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Control signal roughness</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0.104855</w:t>
            </w:r>
          </w:p>
        </w:tc>
        <w:tc>
          <w:tcPr>
            <w:tcW w:type="dxa" w:w="2494"/>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0.15</w:t>
            </w:r>
          </w:p>
        </w:tc>
      </w:tr>
    </w:tbl>
    <w:p>
      <w:pPr>
        <w:keepNext/>
        <w:pageBreakBefore/>
        <w:spacing w:before="80" w:after="60" w:line="252" w:lineRule="auto"/>
        <w:jc w:val="left"/>
      </w:pPr>
      <w:r>
        <w:rPr>
          <w:rFonts w:ascii="Arial" w:hAnsi="Arial" w:eastAsia="Arial"/>
          <w:b/>
          <w:color w:val="000000"/>
          <w:sz w:val="19"/>
        </w:rPr>
        <w:t>Supplementary Table S8. Gaussian-process score-regression and outer out-of-fold assessment settings.</w:t>
      </w:r>
    </w:p>
    <w:tbl>
      <w:tblPr>
        <w:tblW w:type="auto" w:w="0"/>
        <w:jc w:val="center"/>
        <w:tblLayout w:type="autofit"/>
        <w:tblLook w:firstColumn="1" w:firstRow="1" w:lastColumn="0" w:lastRow="0" w:noHBand="0" w:noVBand="1" w:val="04A0"/>
        <w:tblBorders>
          <w:top w:val="single" w:sz="8" w:space="0" w:color="000000"/>
          <w:left w:val="nil"/>
          <w:bottom w:val="single" w:sz="8" w:space="0" w:color="000000"/>
          <w:right w:val="nil"/>
          <w:insideH w:val="nil"/>
          <w:insideV w:val="nil"/>
        </w:tblBorders>
      </w:tblPr>
      <w:tblGrid>
        <w:gridCol w:w="4989"/>
        <w:gridCol w:w="4989"/>
      </w:tblGrid>
      <w:tr>
        <w:trPr>
          <w:cantSplit/>
          <w:tblHeader w:val="true"/>
        </w:trPr>
        <w:tc>
          <w:tcPr>
            <w:tcW w:type="dxa" w:w="4989"/>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Quantity</w:t>
            </w:r>
          </w:p>
        </w:tc>
        <w:tc>
          <w:tcPr>
            <w:tcW w:type="dxa" w:w="4989"/>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Setting</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Responses</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Five continuous controller scores from equation (30), using the prespecified ±15% band</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Predictors</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Nine scenario descriptors defined in Supplementary Table S6</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Marginal models</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Five separately fitted Gaussian process regression models</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Kernel</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ARD squared exponential</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Basis function</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Constant</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Response-noise SD</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Estimated within each training fold; lower bound max[10⁻⁸, 10⁻⁶ SD(Jtrain)]</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Input standardization</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Estimated within each training fold only</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Fitting and prediction</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Exact</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Outer OOF assessment</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Five folds balanced by realization</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Training / test size per fold</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1600 / 400 scenarios</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Test realization composition</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200 scenarios from realization A + 200 from realization B per fold</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Predictive intervals</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Central 50%, 80%, 90%, and 95% intervals</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Additional uncertainty adjustment</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None; native GPR predictive standard deviations used</w:t>
            </w:r>
          </w:p>
        </w:tc>
      </w:tr>
    </w:tbl>
    <w:p>
      <w:pPr>
        <w:keepNext/>
        <w:pageBreakBefore w:val="0"/>
        <w:spacing w:before="80" w:after="60" w:line="252" w:lineRule="auto"/>
        <w:jc w:val="left"/>
      </w:pPr>
      <w:r>
        <w:rPr>
          <w:rFonts w:ascii="Arial" w:hAnsi="Arial" w:eastAsia="Arial"/>
          <w:b/>
          <w:color w:val="000000"/>
          <w:sz w:val="19"/>
        </w:rPr>
        <w:t>Supplementary Table S9. Residual-dependence estimation and probabilistic decision-integration settings.</w:t>
      </w:r>
    </w:p>
    <w:tbl>
      <w:tblPr>
        <w:tblW w:type="auto" w:w="0"/>
        <w:jc w:val="center"/>
        <w:tblLayout w:type="autofit"/>
        <w:tblLook w:firstColumn="1" w:firstRow="1" w:lastColumn="0" w:lastRow="0" w:noHBand="0" w:noVBand="1" w:val="04A0"/>
        <w:tblBorders>
          <w:top w:val="single" w:sz="8" w:space="0" w:color="000000"/>
          <w:left w:val="nil"/>
          <w:bottom w:val="single" w:sz="8" w:space="0" w:color="000000"/>
          <w:right w:val="nil"/>
          <w:insideH w:val="nil"/>
          <w:insideV w:val="nil"/>
        </w:tblBorders>
      </w:tblPr>
      <w:tblGrid>
        <w:gridCol w:w="4989"/>
        <w:gridCol w:w="4989"/>
      </w:tblGrid>
      <w:tr>
        <w:trPr>
          <w:cantSplit/>
          <w:tblHeader w:val="true"/>
        </w:trPr>
        <w:tc>
          <w:tcPr>
            <w:tcW w:type="dxa" w:w="4989"/>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Quantity</w:t>
            </w:r>
          </w:p>
        </w:tc>
        <w:tc>
          <w:tcPr>
            <w:tcW w:type="dxa" w:w="4989"/>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Setting</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Dependence estimation</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Five inner OOF folds within each outer training set; realization balance used when both realizations are present</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Correlation input</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Standardized inner OOF score residuals</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Positive-definiteness safeguard</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Symmetrization, eigenvalue floor 10⁻⁸, and renormalization to unit diagonal</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Predictive integration</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20,000 antithetic Gaussian draws per scenario</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Primary practical margin</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5% relative gap between the two lowest scores</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Margin sensitivity</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2.5%, 7.5%, and 10%</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Integration sensitivity</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5,000, 10,000, and 20,000 draws plus an independent integration seed</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Non-unique-preference probability calibration</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 equal-width probability bins over [0,1]</w:t>
            </w:r>
          </w:p>
        </w:tc>
      </w:tr>
      <w:tr>
        <w:trPr>
          <w:cantSplit/>
        </w:trPr>
        <w:tc>
          <w:tcPr>
            <w:tcW w:type="dxa" w:w="4989"/>
            <w:vAlign w:val="center"/>
          </w:tcPr>
          <w:p>
            <w:pPr>
              <w:spacing w:before="0" w:after="0" w:line="240" w:lineRule="auto"/>
              <w:jc w:val="left"/>
            </w:pPr>
            <w:r>
              <w:rPr>
                <w:rFonts w:ascii="Arial" w:hAnsi="Arial" w:eastAsia="Arial"/>
                <w:color w:val="000000"/>
              </w:rPr>
            </w:r>
            <w:r>
              <w:rPr>
                <w:rFonts w:ascii="Arial" w:hAnsi="Arial" w:eastAsia="Arial"/>
                <w:b w:val="0"/>
                <w:color w:val="000000"/>
                <w:sz w:val="15"/>
              </w:rPr>
              <w:t>Independence sensitivity</w:t>
            </w:r>
          </w:p>
        </w:tc>
        <w:tc>
          <w:tcPr>
            <w:tcW w:type="dxa" w:w="4989"/>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Identity correlation matrix with the same marginal predictive means and standard deviations</w:t>
            </w:r>
          </w:p>
        </w:tc>
      </w:tr>
    </w:tbl>
    <w:p>
      <w:pPr>
        <w:keepNext/>
        <w:pageBreakBefore/>
        <w:spacing w:before="80" w:after="60" w:line="252" w:lineRule="auto"/>
        <w:jc w:val="left"/>
      </w:pPr>
      <w:r>
        <w:rPr>
          <w:rFonts w:ascii="Arial" w:hAnsi="Arial" w:eastAsia="Arial"/>
          <w:b/>
          <w:color w:val="000000"/>
          <w:sz w:val="19"/>
        </w:rPr>
        <w:t>Supplementary Table S10. Marginal scenario-score components underlying the Controller Robustness Index (CRI). For each controller and context, CRI = median(J) + 0.5×IQR(J); the reported components allow direct reconstruction of every aggregate CRI value.</w:t>
      </w:r>
    </w:p>
    <w:tbl>
      <w:tblPr>
        <w:tblW w:type="auto" w:w="0"/>
        <w:jc w:val="center"/>
        <w:tblLayout w:type="autofit"/>
        <w:tblLook w:firstColumn="1" w:firstRow="1" w:lastColumn="0" w:lastRow="0" w:noHBand="0" w:noVBand="1" w:val="04A0"/>
        <w:tblBorders>
          <w:top w:val="single" w:sz="8" w:space="0" w:color="000000"/>
          <w:left w:val="nil"/>
          <w:bottom w:val="single" w:sz="8" w:space="0" w:color="000000"/>
          <w:right w:val="nil"/>
          <w:insideH w:val="nil"/>
          <w:insideV w:val="nil"/>
        </w:tblBorders>
      </w:tblPr>
      <w:tblGrid>
        <w:gridCol w:w="1425"/>
        <w:gridCol w:w="1425"/>
        <w:gridCol w:w="1425"/>
        <w:gridCol w:w="1425"/>
        <w:gridCol w:w="1425"/>
        <w:gridCol w:w="1425"/>
        <w:gridCol w:w="1425"/>
      </w:tblGrid>
      <w:tr>
        <w:trPr>
          <w:cantSplit/>
          <w:tblHeader w:val="true"/>
        </w:trPr>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Context</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Controller</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median(J)</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IQR(J)</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0.5×IQR(J)</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CRI</w:t>
            </w:r>
          </w:p>
        </w:tc>
        <w:tc>
          <w:tcPr>
            <w:tcW w:type="dxa" w:w="1425"/>
            <w:vAlign w:val="center"/>
            <w:tcBorders>
              <w:bottom w:val="single" w:sz="6" w:color="000000" w:space="0"/>
            </w:tcBorders>
          </w:tcPr>
          <w:p>
            <w:pPr>
              <w:spacing w:before="0" w:after="0" w:line="240" w:lineRule="auto"/>
              <w:jc w:val="center"/>
            </w:pPr>
            <w:r>
              <w:rPr>
                <w:rFonts w:ascii="Arial" w:hAnsi="Arial" w:eastAsia="Arial"/>
                <w:color w:val="000000"/>
              </w:rPr>
            </w:r>
            <w:r>
              <w:rPr>
                <w:rFonts w:ascii="Arial" w:hAnsi="Arial" w:eastAsia="Arial"/>
                <w:b/>
                <w:color w:val="000000"/>
                <w:sz w:val="15"/>
              </w:rPr>
              <w:t>Rank</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0.997691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0.393405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0.196703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1.194394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1.331005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0.631959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0.315979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1.646985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5</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1.011454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0.434996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0.217498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1.228951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1.026342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0.423750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0.211875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1.238217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3</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1.032463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0.416281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0.208140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1.240603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4</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0.995994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0.399193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0.199597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1.195591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1.336014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0.647536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0.323768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1.659782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5</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1.006421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0.435585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0.217793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1.224214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1.021709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0.420706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0.210353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1.232062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3</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1.029743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0.414590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0.207295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1.237038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4</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0.998138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0.409681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0.204841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1.202979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1.336778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0.663674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0.331837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1.668615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5</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1.006447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0.437701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0.218851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1.225298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1.020554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0.416799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0.208399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1.228954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3</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1.027491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0.412214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0.206107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1.233598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4</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PID</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0.996474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0.399836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0.199918</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1.196392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LQR</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1.336202</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0.648966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0.324483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1.660685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5</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1.006999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0.436301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0.218151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1.225149</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2</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Fuzzy-SMC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1.022373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0.420855</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0.210427</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1.232800</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3</w:t>
            </w:r>
          </w:p>
        </w:tc>
      </w:tr>
      <w:tr>
        <w:trPr>
          <w:cantSplit/>
        </w:trPr>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Overall</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ANFIS-SMC</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1.030051</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0.415306</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0.207653</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1.237704</w:t>
            </w:r>
          </w:p>
        </w:tc>
        <w:tc>
          <w:tcPr>
            <w:tcW w:type="dxa" w:w="1425"/>
            <w:vAlign w:val="center"/>
          </w:tcPr>
          <w:p>
            <w:pPr>
              <w:spacing w:before="0" w:after="0" w:line="240" w:lineRule="auto"/>
              <w:jc w:val="center"/>
            </w:pPr>
            <w:r>
              <w:rPr>
                <w:rFonts w:ascii="Arial" w:hAnsi="Arial" w:eastAsia="Arial"/>
                <w:color w:val="000000"/>
              </w:rPr>
            </w:r>
            <w:r>
              <w:rPr>
                <w:rFonts w:ascii="Arial" w:hAnsi="Arial" w:eastAsia="Arial"/>
                <w:b w:val="0"/>
                <w:color w:val="000000"/>
                <w:sz w:val="15"/>
              </w:rPr>
              <w:t>4</w:t>
            </w:r>
          </w:p>
        </w:tc>
      </w:tr>
    </w:tbl>
    <w:p>
      <w:pPr>
        <w:keepNext w:val="0"/>
        <w:spacing w:before="0" w:after="60" w:line="252" w:lineRule="auto"/>
        <w:jc w:val="left"/>
      </w:pPr>
      <w:r>
        <w:rPr>
          <w:rFonts w:ascii="Arial" w:hAnsi="Arial" w:eastAsia="Arial"/>
          <w:b w:val="0"/>
          <w:color w:val="000000"/>
          <w:sz w:val="17"/>
        </w:rPr>
        <w:t>Note. “Overall” denotes the matched summary across the ±10%, ±15%, and ±20% uncertainty bands. The marginal CRI components are not interchangeable with the median of paired controller-to-controller score differences reported in Supplementary Table S1b.</w:t>
      </w:r>
    </w:p>
    <w:p>
      <w:r>
        <w:rPr>
          <w:b w:val="0"/>
          <w:i w:val="0"/>
        </w:rPr>
        <w:t>Supplementary Table S11. Initial conditions and controller/estimator state initialization used in nominal and uncertainty simulations.</w:t>
      </w:r>
    </w:p>
    <w:tbl>
      <w:tblPr>
        <w:tblStyle w:val="TableGrid"/>
        <w:tblW w:type="auto" w:w="0"/>
        <w:tblLook w:firstColumn="1" w:firstRow="1" w:lastColumn="0" w:lastRow="0" w:noHBand="0" w:noVBand="1" w:val="04A0"/>
      </w:tblPr>
      <w:tblGrid>
        <w:gridCol w:w="3326"/>
        <w:gridCol w:w="3326"/>
        <w:gridCol w:w="3326"/>
      </w:tblGrid>
      <w:tr>
        <w:tc>
          <w:tcPr>
            <w:tcW w:type="dxa" w:w="3326"/>
          </w:tcPr>
          <w:p>
            <w:r>
              <w:t>Quantity</w:t>
            </w:r>
          </w:p>
        </w:tc>
        <w:tc>
          <w:tcPr>
            <w:tcW w:type="dxa" w:w="3326"/>
          </w:tcPr>
          <w:p>
            <w:r>
              <w:t>Value / initialization</w:t>
            </w:r>
          </w:p>
        </w:tc>
        <w:tc>
          <w:tcPr>
            <w:tcW w:type="dxa" w:w="3326"/>
          </w:tcPr>
          <w:p>
            <w:r>
              <w:t>Purpose / note</w:t>
            </w:r>
          </w:p>
        </w:tc>
      </w:tr>
      <w:tr>
        <w:tc>
          <w:tcPr>
            <w:tcW w:type="dxa" w:w="3326"/>
          </w:tcPr>
          <w:p>
            <w:r>
              <w:t>Plant state x(0)</w:t>
            </w:r>
          </w:p>
        </w:tc>
        <w:tc>
          <w:tcPr>
            <w:tcW w:type="dxa" w:w="3326"/>
          </w:tcPr>
          <w:p>
            <w:r>
              <w:t>[0, 0.0994838, 0, 0]ᵀ = [0 rad, 5.7°, 0 rad/s, 0 rad/s]ᵀ</w:t>
            </w:r>
          </w:p>
        </w:tc>
        <w:tc>
          <w:tcPr>
            <w:tcW w:type="dxa" w:w="3326"/>
          </w:tcPr>
          <w:p>
            <w:r>
              <w:t>Common initial plant state for nominal and Monte Carlo simulations.</w:t>
            </w:r>
          </w:p>
        </w:tc>
      </w:tr>
      <w:tr>
        <w:tc>
          <w:tcPr>
            <w:tcW w:type="dxa" w:w="3326"/>
          </w:tcPr>
          <w:p>
            <w:r>
              <w:t>Estimator velocity states</w:t>
            </w:r>
          </w:p>
        </w:tc>
        <w:tc>
          <w:tcPr>
            <w:tcW w:type="dxa" w:w="3326"/>
          </w:tcPr>
          <w:p>
            <w:r>
              <w:t>θ̇_est(0)=0; α̇_est(0)=0</w:t>
            </w:r>
          </w:p>
        </w:tc>
        <w:tc>
          <w:tcPr>
            <w:tcW w:type="dxa" w:w="3326"/>
          </w:tcPr>
          <w:p>
            <w:r>
              <w:t>No true angular velocity is supplied to any controller.</w:t>
            </w:r>
          </w:p>
        </w:tc>
      </w:tr>
      <w:tr>
        <w:tc>
          <w:tcPr>
            <w:tcW w:type="dxa" w:w="3326"/>
          </w:tcPr>
          <w:p>
            <w:r>
              <w:t>Estimator previous-angle states</w:t>
            </w:r>
          </w:p>
        </w:tc>
        <w:tc>
          <w:tcPr>
            <w:tcW w:type="dxa" w:w="3326"/>
          </w:tcPr>
          <w:p>
            <w:r>
              <w:t>Initialized to the current measured θ and α at the first sample</w:t>
            </w:r>
          </w:p>
        </w:tc>
        <w:tc>
          <w:tcPr>
            <w:tcW w:type="dxa" w:w="3326"/>
          </w:tcPr>
          <w:p>
            <w:r>
              <w:t>Prevents an artificial derivative impulse at initialization.</w:t>
            </w:r>
          </w:p>
        </w:tc>
      </w:tr>
      <w:tr>
        <w:tc>
          <w:tcPr>
            <w:tcW w:type="dxa" w:w="3326"/>
          </w:tcPr>
          <w:p>
            <w:r>
              <w:t>PID integral state</w:t>
            </w:r>
          </w:p>
        </w:tc>
        <w:tc>
          <w:tcPr>
            <w:tcW w:type="dxa" w:w="3326"/>
          </w:tcPr>
          <w:p>
            <w:r>
              <w:t>Iα(0)=0</w:t>
            </w:r>
          </w:p>
        </w:tc>
        <w:tc>
          <w:tcPr>
            <w:tcW w:type="dxa" w:w="3326"/>
          </w:tcPr>
          <w:p>
            <w:r>
              <w:t>Conditional-integration anti-windup state is reset for every run.</w:t>
            </w:r>
          </w:p>
        </w:tc>
      </w:tr>
      <w:tr>
        <w:tc>
          <w:tcPr>
            <w:tcW w:type="dxa" w:w="3326"/>
          </w:tcPr>
          <w:p>
            <w:r>
              <w:t>Controller memory</w:t>
            </w:r>
          </w:p>
        </w:tc>
        <w:tc>
          <w:tcPr>
            <w:tcW w:type="dxa" w:w="3326"/>
          </w:tcPr>
          <w:p>
            <w:r>
              <w:t>Reset before each objective evaluation and each scenario/controller run</w:t>
            </w:r>
          </w:p>
        </w:tc>
        <w:tc>
          <w:tcPr>
            <w:tcW w:type="dxa" w:w="3326"/>
          </w:tcPr>
          <w:p>
            <w:r>
              <w:t>Prevents information leakage between evaluations or Monte Carlo blocks.</w:t>
            </w:r>
          </w:p>
        </w:tc>
      </w:tr>
      <w:tr>
        <w:tc>
          <w:tcPr>
            <w:tcW w:type="dxa" w:w="3326"/>
          </w:tcPr>
          <w:p>
            <w:r>
              <w:t>Simulation time</w:t>
            </w:r>
          </w:p>
        </w:tc>
        <w:tc>
          <w:tcPr>
            <w:tcW w:type="dxa" w:w="3326"/>
          </w:tcPr>
          <w:p>
            <w:r>
              <w:t>t0=0 s</w:t>
            </w:r>
          </w:p>
        </w:tc>
        <w:tc>
          <w:tcPr>
            <w:tcW w:type="dxa" w:w="3326"/>
          </w:tcPr>
          <w:p>
            <w:r>
              <w:t>Common start time for all controllers.</w:t>
            </w:r>
          </w:p>
        </w:tc>
      </w:tr>
    </w:tbl>
    <w:p>
      <w:r>
        <w:rPr>
          <w:b w:val="0"/>
          <w:i w:val="0"/>
        </w:rPr>
        <w:t>Supplementary Table S12. Tuning-fairness summary: search dimensionality, objective-evaluation allocation and interpretation.</w:t>
      </w:r>
    </w:p>
    <w:tbl>
      <w:tblPr>
        <w:tblStyle w:val="TableGrid"/>
        <w:tblW w:type="auto" w:w="0"/>
        <w:tblLook w:firstColumn="1" w:firstRow="1" w:lastColumn="0" w:lastRow="0" w:noHBand="0" w:noVBand="1" w:val="04A0"/>
      </w:tblPr>
      <w:tblGrid>
        <w:gridCol w:w="1663"/>
        <w:gridCol w:w="1663"/>
        <w:gridCol w:w="1663"/>
        <w:gridCol w:w="1663"/>
        <w:gridCol w:w="1663"/>
        <w:gridCol w:w="1663"/>
      </w:tblGrid>
      <w:tr>
        <w:trPr>
          <w:tblHeader w:val="true"/>
          <w:cantSplit/>
        </w:trPr>
        <w:tc>
          <w:tcPr>
            <w:tcW w:type="dxa" w:w="1663"/>
          </w:tcPr>
          <w:p>
            <w:r>
              <w:t>Controller</w:t>
            </w:r>
          </w:p>
        </w:tc>
        <w:tc>
          <w:tcPr>
            <w:tcW w:type="dxa" w:w="1663"/>
          </w:tcPr>
          <w:p>
            <w:r>
              <w:t>Independent optimized variables</w:t>
            </w:r>
          </w:p>
        </w:tc>
        <w:tc>
          <w:tcPr>
            <w:tcW w:type="dxa" w:w="1663"/>
          </w:tcPr>
          <w:p>
            <w:r>
              <w:t>Evaluations / seed</w:t>
            </w:r>
          </w:p>
        </w:tc>
        <w:tc>
          <w:tcPr>
            <w:tcW w:type="dxa" w:w="1663"/>
          </w:tcPr>
          <w:p>
            <w:r>
              <w:t>Seeds</w:t>
            </w:r>
          </w:p>
        </w:tc>
        <w:tc>
          <w:tcPr>
            <w:tcW w:type="dxa" w:w="1663"/>
          </w:tcPr>
          <w:p>
            <w:r>
              <w:t>Total evaluations</w:t>
            </w:r>
          </w:p>
        </w:tc>
        <w:tc>
          <w:tcPr>
            <w:tcW w:type="dxa" w:w="1663"/>
          </w:tcPr>
          <w:p>
            <w:r>
              <w:t>Fairness note</w:t>
            </w:r>
          </w:p>
        </w:tc>
      </w:tr>
      <w:tr>
        <w:trPr>
          <w:cantSplit/>
        </w:trPr>
        <w:tc>
          <w:tcPr>
            <w:tcW w:type="dxa" w:w="1663"/>
          </w:tcPr>
          <w:p>
            <w:r>
              <w:t>PID</w:t>
            </w:r>
          </w:p>
        </w:tc>
        <w:tc>
          <w:tcPr>
            <w:tcW w:type="dxa" w:w="1663"/>
          </w:tcPr>
          <w:p>
            <w:r>
              <w:t>5</w:t>
            </w:r>
          </w:p>
        </w:tc>
        <w:tc>
          <w:tcPr>
            <w:tcW w:type="dxa" w:w="1663"/>
          </w:tcPr>
          <w:p>
            <w:r>
              <w:t>750</w:t>
            </w:r>
          </w:p>
        </w:tc>
        <w:tc>
          <w:tcPr>
            <w:tcW w:type="dxa" w:w="1663"/>
          </w:tcPr>
          <w:p>
            <w:r>
              <w:t>5</w:t>
            </w:r>
          </w:p>
        </w:tc>
        <w:tc>
          <w:tcPr>
            <w:tcW w:type="dxa" w:w="1663"/>
          </w:tcPr>
          <w:p>
            <w:r>
              <w:t>3,750</w:t>
            </w:r>
          </w:p>
        </w:tc>
        <w:tc>
          <w:tcPr>
            <w:tcW w:type="dxa" w:w="1663"/>
          </w:tcPr>
          <w:p>
            <w:r>
              <w:t>Largest search dimension; same 150 evaluations per independently tuned variable per seed.</w:t>
            </w:r>
          </w:p>
        </w:tc>
      </w:tr>
      <w:tr>
        <w:trPr>
          <w:cantSplit/>
        </w:trPr>
        <w:tc>
          <w:tcPr>
            <w:tcW w:type="dxa" w:w="1663"/>
          </w:tcPr>
          <w:p>
            <w:r>
              <w:t>LQR</w:t>
            </w:r>
          </w:p>
        </w:tc>
        <w:tc>
          <w:tcPr>
            <w:tcW w:type="dxa" w:w="1663"/>
          </w:tcPr>
          <w:p>
            <w:r>
              <w:t>2</w:t>
            </w:r>
          </w:p>
        </w:tc>
        <w:tc>
          <w:tcPr>
            <w:tcW w:type="dxa" w:w="1663"/>
          </w:tcPr>
          <w:p>
            <w:r>
              <w:t>300</w:t>
            </w:r>
          </w:p>
        </w:tc>
        <w:tc>
          <w:tcPr>
            <w:tcW w:type="dxa" w:w="1663"/>
          </w:tcPr>
          <w:p>
            <w:r>
              <w:t>5</w:t>
            </w:r>
          </w:p>
        </w:tc>
        <w:tc>
          <w:tcPr>
            <w:tcW w:type="dxa" w:w="1663"/>
          </w:tcPr>
          <w:p>
            <w:r>
              <w:t>1,500</w:t>
            </w:r>
          </w:p>
        </w:tc>
        <w:tc>
          <w:tcPr>
            <w:tcW w:type="dxa" w:w="1663"/>
          </w:tcPr>
          <w:p>
            <w:r>
              <w:t>Two logarithmic search variables; remaining weights fixed by protocol.</w:t>
            </w:r>
          </w:p>
        </w:tc>
      </w:tr>
      <w:tr>
        <w:trPr>
          <w:cantSplit/>
        </w:trPr>
        <w:tc>
          <w:tcPr>
            <w:tcW w:type="dxa" w:w="1663"/>
          </w:tcPr>
          <w:p>
            <w:r>
              <w:t>SMC</w:t>
            </w:r>
          </w:p>
        </w:tc>
        <w:tc>
          <w:tcPr>
            <w:tcW w:type="dxa" w:w="1663"/>
          </w:tcPr>
          <w:p>
            <w:r>
              <w:t>3</w:t>
            </w:r>
          </w:p>
        </w:tc>
        <w:tc>
          <w:tcPr>
            <w:tcW w:type="dxa" w:w="1663"/>
          </w:tcPr>
          <w:p>
            <w:r>
              <w:t>450</w:t>
            </w:r>
          </w:p>
        </w:tc>
        <w:tc>
          <w:tcPr>
            <w:tcW w:type="dxa" w:w="1663"/>
          </w:tcPr>
          <w:p>
            <w:r>
              <w:t>5</w:t>
            </w:r>
          </w:p>
        </w:tc>
        <w:tc>
          <w:tcPr>
            <w:tcW w:type="dxa" w:w="1663"/>
          </w:tcPr>
          <w:p>
            <w:r>
              <w:t>2,250</w:t>
            </w:r>
          </w:p>
        </w:tc>
        <w:tc>
          <w:tcPr>
            <w:tcW w:type="dxa" w:w="1663"/>
          </w:tcPr>
          <w:p>
            <w:r>
              <w:t>Three bounded controller parameters.</w:t>
            </w:r>
          </w:p>
        </w:tc>
      </w:tr>
      <w:tr>
        <w:trPr>
          <w:cantSplit/>
        </w:trPr>
        <w:tc>
          <w:tcPr>
            <w:tcW w:type="dxa" w:w="1663"/>
          </w:tcPr>
          <w:p>
            <w:r>
              <w:t>Fuzzy-SMC</w:t>
            </w:r>
          </w:p>
        </w:tc>
        <w:tc>
          <w:tcPr>
            <w:tcW w:type="dxa" w:w="1663"/>
          </w:tcPr>
          <w:p>
            <w:r>
              <w:t>3</w:t>
            </w:r>
          </w:p>
        </w:tc>
        <w:tc>
          <w:tcPr>
            <w:tcW w:type="dxa" w:w="1663"/>
          </w:tcPr>
          <w:p>
            <w:r>
              <w:t>450</w:t>
            </w:r>
          </w:p>
        </w:tc>
        <w:tc>
          <w:tcPr>
            <w:tcW w:type="dxa" w:w="1663"/>
          </w:tcPr>
          <w:p>
            <w:r>
              <w:t>5</w:t>
            </w:r>
          </w:p>
        </w:tc>
        <w:tc>
          <w:tcPr>
            <w:tcW w:type="dxa" w:w="1663"/>
          </w:tcPr>
          <w:p>
            <w:r>
              <w:t>2,250</w:t>
            </w:r>
          </w:p>
        </w:tc>
        <w:tc>
          <w:tcPr>
            <w:tcW w:type="dxa" w:w="1663"/>
          </w:tcPr>
          <w:p>
            <w:r>
              <w:t>Three bounded post-structure parameters; fuzzy rule base fixed.</w:t>
            </w:r>
          </w:p>
        </w:tc>
      </w:tr>
      <w:tr>
        <w:trPr>
          <w:cantSplit/>
        </w:trPr>
        <w:tc>
          <w:tcPr>
            <w:tcW w:type="dxa" w:w="1663"/>
          </w:tcPr>
          <w:p>
            <w:r>
              <w:t>ANFIS-SMC</w:t>
            </w:r>
          </w:p>
        </w:tc>
        <w:tc>
          <w:tcPr>
            <w:tcW w:type="dxa" w:w="1663"/>
          </w:tcPr>
          <w:p>
            <w:r>
              <w:t>2</w:t>
            </w:r>
          </w:p>
        </w:tc>
        <w:tc>
          <w:tcPr>
            <w:tcW w:type="dxa" w:w="1663"/>
          </w:tcPr>
          <w:p>
            <w:r>
              <w:t>300</w:t>
            </w:r>
          </w:p>
        </w:tc>
        <w:tc>
          <w:tcPr>
            <w:tcW w:type="dxa" w:w="1663"/>
          </w:tcPr>
          <w:p>
            <w:r>
              <w:t>5</w:t>
            </w:r>
          </w:p>
        </w:tc>
        <w:tc>
          <w:tcPr>
            <w:tcW w:type="dxa" w:w="1663"/>
          </w:tcPr>
          <w:p>
            <w:r>
              <w:t>1,500</w:t>
            </w:r>
          </w:p>
        </w:tc>
        <w:tc>
          <w:tcPr>
            <w:tcW w:type="dxa" w:w="1663"/>
          </w:tcPr>
          <w:p>
            <w:r>
              <w:t>ANFIS architecture selected separately; ηmax inherited from Fuzzy-SMC; k and ϕ tuned post-selection.</w:t>
            </w:r>
          </w:p>
        </w:tc>
      </w:tr>
    </w:tbl>
    <w:p>
      <w:r>
        <w:rPr>
          <w:b w:val="0"/>
          <w:i w:val="0"/>
        </w:rPr>
        <w:t>Interpretation note. The tuning protocol equalized objective-evaluation allocation per independently optimized parameter and used five seeds for every controller, but the architectures did not have identical search dimensionality, total optimization budgets, internal structure, or tuning flexibility. The study therefore compares the resulting fixed controller instances rather than claiming an intrinsic architecture-level ranking.</w:t>
      </w:r>
    </w:p>
    <w:p>
      <w:r>
        <w:rPr>
          <w:b w:val="0"/>
          <w:i w:val="0"/>
        </w:rPr>
        <w:t>Major-revision analysis status. REV01 (CRI dispersion-coefficient sensitivity), REV02 (normalization-source/statistic sensitivity), REV03 (command-delay sensitivity), and REV04 (dependence/tail-form sensitivity) are complete; all associated integrity gates passed and the results are reported below.</w:t>
      </w:r>
      <w:r>
        <w:rPr/>
      </w:r>
    </w:p>
    <w:p>
      <w:r>
        <w:rPr/>
        <w:t>Supplementary Table S13. Sensitivity of the overall Controller Robustness Index to the dispersion coefficient lambda.</w:t>
      </w:r>
    </w:p>
    <w:p>
      <w:r>
        <w:rPr/>
        <w:t>The descriptive index was recomputed as CRI_lambda = median(J) + lambda IQR(J) for lambda = 0, 0.25, 0.50, 0.75 and 1.00. No controller was retuned and no scenario score was regenerated. The analysis used the archived 30,000 Monte Carlo records and the locked pooled-median normalization. All integrity gates passed: the pooled-median normalization was reproduced with a maximum absolute difference of 5.00 x 10^-16, and the lambda = 0.50 CRI values were reproduced with a maximum absolute difference of 4.89 x 10^-15.</w:t>
      </w:r>
    </w:p>
    <w:tbl>
      <w:tblPr>
        <w:tblW w:type="auto" w:w="0"/>
        <w:jc w:val="center"/>
        <w:tblLook w:firstColumn="1" w:firstRow="1" w:lastColumn="0" w:lastRow="0" w:noHBand="0" w:noVBand="1" w:val="04A0"/>
      </w:tblPr>
      <w:tblGrid>
        <w:gridCol w:w="1663"/>
        <w:gridCol w:w="1663"/>
        <w:gridCol w:w="1663"/>
        <w:gridCol w:w="1663"/>
        <w:gridCol w:w="1663"/>
        <w:gridCol w:w="1663"/>
      </w:tblGrid>
      <w:tr>
        <w:tc>
          <w:tcPr>
            <w:tcW w:type="dxa" w:w="1663"/>
            <w:vAlign w:val="center"/>
          </w:tcPr>
          <w:p>
            <w:pPr>
              <w:jc w:val="center"/>
            </w:pPr>
            <w:r/>
            <w:r>
              <w:rPr>
                <w:b/>
                <w:sz w:val="16"/>
              </w:rPr>
              <w:t>lambda</w:t>
            </w:r>
          </w:p>
        </w:tc>
        <w:tc>
          <w:tcPr>
            <w:tcW w:type="dxa" w:w="1663"/>
            <w:vAlign w:val="center"/>
          </w:tcPr>
          <w:p>
            <w:pPr>
              <w:jc w:val="center"/>
            </w:pPr>
            <w:r/>
            <w:r>
              <w:rPr>
                <w:b/>
                <w:sz w:val="16"/>
              </w:rPr>
              <w:t>PID</w:t>
            </w:r>
          </w:p>
        </w:tc>
        <w:tc>
          <w:tcPr>
            <w:tcW w:type="dxa" w:w="1663"/>
            <w:vAlign w:val="center"/>
          </w:tcPr>
          <w:p>
            <w:pPr>
              <w:jc w:val="center"/>
            </w:pPr>
            <w:r/>
            <w:r>
              <w:rPr>
                <w:b/>
                <w:sz w:val="16"/>
              </w:rPr>
              <w:t>SMC</w:t>
            </w:r>
          </w:p>
        </w:tc>
        <w:tc>
          <w:tcPr>
            <w:tcW w:type="dxa" w:w="1663"/>
            <w:vAlign w:val="center"/>
          </w:tcPr>
          <w:p>
            <w:pPr>
              <w:jc w:val="center"/>
            </w:pPr>
            <w:r/>
            <w:r>
              <w:rPr>
                <w:b/>
                <w:sz w:val="16"/>
              </w:rPr>
              <w:t>Fuzzy-SMC</w:t>
            </w:r>
          </w:p>
        </w:tc>
        <w:tc>
          <w:tcPr>
            <w:tcW w:type="dxa" w:w="1663"/>
            <w:vAlign w:val="center"/>
          </w:tcPr>
          <w:p>
            <w:pPr>
              <w:jc w:val="center"/>
            </w:pPr>
            <w:r/>
            <w:r>
              <w:rPr>
                <w:b/>
                <w:sz w:val="16"/>
              </w:rPr>
              <w:t>ANFIS-SMC</w:t>
            </w:r>
          </w:p>
        </w:tc>
        <w:tc>
          <w:tcPr>
            <w:tcW w:type="dxa" w:w="1663"/>
            <w:vAlign w:val="center"/>
          </w:tcPr>
          <w:p>
            <w:pPr>
              <w:jc w:val="center"/>
            </w:pPr>
            <w:r/>
            <w:r>
              <w:rPr>
                <w:b/>
                <w:sz w:val="16"/>
              </w:rPr>
              <w:t>LQR</w:t>
            </w:r>
          </w:p>
        </w:tc>
      </w:tr>
      <w:tr>
        <w:tc>
          <w:tcPr>
            <w:tcW w:type="dxa" w:w="1663"/>
            <w:vAlign w:val="center"/>
          </w:tcPr>
          <w:p>
            <w:pPr>
              <w:jc w:val="center"/>
            </w:pPr>
            <w:r/>
            <w:r>
              <w:rPr>
                <w:b w:val="0"/>
                <w:sz w:val="16"/>
              </w:rPr>
              <w:t>0.00</w:t>
            </w:r>
          </w:p>
        </w:tc>
        <w:tc>
          <w:tcPr>
            <w:tcW w:type="dxa" w:w="1663"/>
            <w:vAlign w:val="center"/>
          </w:tcPr>
          <w:p>
            <w:pPr>
              <w:jc w:val="center"/>
            </w:pPr>
            <w:r/>
            <w:r>
              <w:rPr>
                <w:b w:val="0"/>
                <w:sz w:val="15"/>
              </w:rPr>
              <w:t>0.996474 (rank 1)</w:t>
            </w:r>
          </w:p>
        </w:tc>
        <w:tc>
          <w:tcPr>
            <w:tcW w:type="dxa" w:w="1663"/>
            <w:vAlign w:val="center"/>
          </w:tcPr>
          <w:p>
            <w:pPr>
              <w:jc w:val="center"/>
            </w:pPr>
            <w:r/>
            <w:r>
              <w:rPr>
                <w:b w:val="0"/>
                <w:sz w:val="15"/>
              </w:rPr>
              <w:t>1.006999 (rank 2)</w:t>
            </w:r>
          </w:p>
        </w:tc>
        <w:tc>
          <w:tcPr>
            <w:tcW w:type="dxa" w:w="1663"/>
            <w:vAlign w:val="center"/>
          </w:tcPr>
          <w:p>
            <w:pPr>
              <w:jc w:val="center"/>
            </w:pPr>
            <w:r/>
            <w:r>
              <w:rPr>
                <w:b w:val="0"/>
                <w:sz w:val="15"/>
              </w:rPr>
              <w:t>1.022373 (rank 3)</w:t>
            </w:r>
          </w:p>
        </w:tc>
        <w:tc>
          <w:tcPr>
            <w:tcW w:type="dxa" w:w="1663"/>
            <w:vAlign w:val="center"/>
          </w:tcPr>
          <w:p>
            <w:pPr>
              <w:jc w:val="center"/>
            </w:pPr>
            <w:r/>
            <w:r>
              <w:rPr>
                <w:b w:val="0"/>
                <w:sz w:val="15"/>
              </w:rPr>
              <w:t>1.030051 (rank 4)</w:t>
            </w:r>
          </w:p>
        </w:tc>
        <w:tc>
          <w:tcPr>
            <w:tcW w:type="dxa" w:w="1663"/>
            <w:vAlign w:val="center"/>
          </w:tcPr>
          <w:p>
            <w:pPr>
              <w:jc w:val="center"/>
            </w:pPr>
            <w:r/>
            <w:r>
              <w:rPr>
                <w:b w:val="0"/>
                <w:sz w:val="15"/>
              </w:rPr>
              <w:t>1.336202 (rank 5)</w:t>
            </w:r>
          </w:p>
        </w:tc>
      </w:tr>
      <w:tr>
        <w:tc>
          <w:tcPr>
            <w:tcW w:type="dxa" w:w="1663"/>
            <w:vAlign w:val="center"/>
          </w:tcPr>
          <w:p>
            <w:pPr>
              <w:jc w:val="center"/>
            </w:pPr>
            <w:r/>
            <w:r>
              <w:rPr>
                <w:b w:val="0"/>
                <w:sz w:val="16"/>
              </w:rPr>
              <w:t>0.25</w:t>
            </w:r>
          </w:p>
        </w:tc>
        <w:tc>
          <w:tcPr>
            <w:tcW w:type="dxa" w:w="1663"/>
            <w:vAlign w:val="center"/>
          </w:tcPr>
          <w:p>
            <w:pPr>
              <w:jc w:val="center"/>
            </w:pPr>
            <w:r/>
            <w:r>
              <w:rPr>
                <w:b w:val="0"/>
                <w:sz w:val="15"/>
              </w:rPr>
              <w:t>1.096433 (rank 1)</w:t>
            </w:r>
          </w:p>
        </w:tc>
        <w:tc>
          <w:tcPr>
            <w:tcW w:type="dxa" w:w="1663"/>
            <w:vAlign w:val="center"/>
          </w:tcPr>
          <w:p>
            <w:pPr>
              <w:jc w:val="center"/>
            </w:pPr>
            <w:r/>
            <w:r>
              <w:rPr>
                <w:b w:val="0"/>
                <w:sz w:val="15"/>
              </w:rPr>
              <w:t>1.116074 (rank 2)</w:t>
            </w:r>
          </w:p>
        </w:tc>
        <w:tc>
          <w:tcPr>
            <w:tcW w:type="dxa" w:w="1663"/>
            <w:vAlign w:val="center"/>
          </w:tcPr>
          <w:p>
            <w:pPr>
              <w:jc w:val="center"/>
            </w:pPr>
            <w:r/>
            <w:r>
              <w:rPr>
                <w:b w:val="0"/>
                <w:sz w:val="15"/>
              </w:rPr>
              <w:t>1.127586 (rank 3)</w:t>
            </w:r>
          </w:p>
        </w:tc>
        <w:tc>
          <w:tcPr>
            <w:tcW w:type="dxa" w:w="1663"/>
            <w:vAlign w:val="center"/>
          </w:tcPr>
          <w:p>
            <w:pPr>
              <w:jc w:val="center"/>
            </w:pPr>
            <w:r/>
            <w:r>
              <w:rPr>
                <w:b w:val="0"/>
                <w:sz w:val="15"/>
              </w:rPr>
              <w:t>1.133877 (rank 4)</w:t>
            </w:r>
          </w:p>
        </w:tc>
        <w:tc>
          <w:tcPr>
            <w:tcW w:type="dxa" w:w="1663"/>
            <w:vAlign w:val="center"/>
          </w:tcPr>
          <w:p>
            <w:pPr>
              <w:jc w:val="center"/>
            </w:pPr>
            <w:r/>
            <w:r>
              <w:rPr>
                <w:b w:val="0"/>
                <w:sz w:val="15"/>
              </w:rPr>
              <w:t>1.498444 (rank 5)</w:t>
            </w:r>
          </w:p>
        </w:tc>
      </w:tr>
      <w:tr>
        <w:tc>
          <w:tcPr>
            <w:tcW w:type="dxa" w:w="1663"/>
            <w:vAlign w:val="center"/>
          </w:tcPr>
          <w:p>
            <w:pPr>
              <w:jc w:val="center"/>
            </w:pPr>
            <w:r/>
            <w:r>
              <w:rPr>
                <w:b w:val="0"/>
                <w:sz w:val="16"/>
              </w:rPr>
              <w:t>0.50</w:t>
            </w:r>
          </w:p>
        </w:tc>
        <w:tc>
          <w:tcPr>
            <w:tcW w:type="dxa" w:w="1663"/>
            <w:vAlign w:val="center"/>
          </w:tcPr>
          <w:p>
            <w:pPr>
              <w:jc w:val="center"/>
            </w:pPr>
            <w:r/>
            <w:r>
              <w:rPr>
                <w:b w:val="0"/>
                <w:sz w:val="15"/>
              </w:rPr>
              <w:t>1.196392 (rank 1)</w:t>
            </w:r>
          </w:p>
        </w:tc>
        <w:tc>
          <w:tcPr>
            <w:tcW w:type="dxa" w:w="1663"/>
            <w:vAlign w:val="center"/>
          </w:tcPr>
          <w:p>
            <w:pPr>
              <w:jc w:val="center"/>
            </w:pPr>
            <w:r/>
            <w:r>
              <w:rPr>
                <w:b w:val="0"/>
                <w:sz w:val="15"/>
              </w:rPr>
              <w:t>1.225149 (rank 2)</w:t>
            </w:r>
          </w:p>
        </w:tc>
        <w:tc>
          <w:tcPr>
            <w:tcW w:type="dxa" w:w="1663"/>
            <w:vAlign w:val="center"/>
          </w:tcPr>
          <w:p>
            <w:pPr>
              <w:jc w:val="center"/>
            </w:pPr>
            <w:r/>
            <w:r>
              <w:rPr>
                <w:b w:val="0"/>
                <w:sz w:val="15"/>
              </w:rPr>
              <w:t>1.232800 (rank 3)</w:t>
            </w:r>
          </w:p>
        </w:tc>
        <w:tc>
          <w:tcPr>
            <w:tcW w:type="dxa" w:w="1663"/>
            <w:vAlign w:val="center"/>
          </w:tcPr>
          <w:p>
            <w:pPr>
              <w:jc w:val="center"/>
            </w:pPr>
            <w:r/>
            <w:r>
              <w:rPr>
                <w:b w:val="0"/>
                <w:sz w:val="15"/>
              </w:rPr>
              <w:t>1.237704 (rank 4)</w:t>
            </w:r>
          </w:p>
        </w:tc>
        <w:tc>
          <w:tcPr>
            <w:tcW w:type="dxa" w:w="1663"/>
            <w:vAlign w:val="center"/>
          </w:tcPr>
          <w:p>
            <w:pPr>
              <w:jc w:val="center"/>
            </w:pPr>
            <w:r/>
            <w:r>
              <w:rPr>
                <w:b w:val="0"/>
                <w:sz w:val="15"/>
              </w:rPr>
              <w:t>1.660685 (rank 5)</w:t>
            </w:r>
          </w:p>
        </w:tc>
      </w:tr>
      <w:tr>
        <w:tc>
          <w:tcPr>
            <w:tcW w:type="dxa" w:w="1663"/>
            <w:vAlign w:val="center"/>
          </w:tcPr>
          <w:p>
            <w:pPr>
              <w:jc w:val="center"/>
            </w:pPr>
            <w:r/>
            <w:r>
              <w:rPr>
                <w:b w:val="0"/>
                <w:sz w:val="16"/>
              </w:rPr>
              <w:t>0.75</w:t>
            </w:r>
          </w:p>
        </w:tc>
        <w:tc>
          <w:tcPr>
            <w:tcW w:type="dxa" w:w="1663"/>
            <w:vAlign w:val="center"/>
          </w:tcPr>
          <w:p>
            <w:pPr>
              <w:jc w:val="center"/>
            </w:pPr>
            <w:r/>
            <w:r>
              <w:rPr>
                <w:b w:val="0"/>
                <w:sz w:val="15"/>
              </w:rPr>
              <w:t>1.296351 (rank 1)</w:t>
            </w:r>
          </w:p>
        </w:tc>
        <w:tc>
          <w:tcPr>
            <w:tcW w:type="dxa" w:w="1663"/>
            <w:vAlign w:val="center"/>
          </w:tcPr>
          <w:p>
            <w:pPr>
              <w:jc w:val="center"/>
            </w:pPr>
            <w:r/>
            <w:r>
              <w:rPr>
                <w:b w:val="0"/>
                <w:sz w:val="15"/>
              </w:rPr>
              <w:t>1.334225 (rank 2)</w:t>
            </w:r>
          </w:p>
        </w:tc>
        <w:tc>
          <w:tcPr>
            <w:tcW w:type="dxa" w:w="1663"/>
            <w:vAlign w:val="center"/>
          </w:tcPr>
          <w:p>
            <w:pPr>
              <w:jc w:val="center"/>
            </w:pPr>
            <w:r/>
            <w:r>
              <w:rPr>
                <w:b w:val="0"/>
                <w:sz w:val="15"/>
              </w:rPr>
              <w:t>1.338014 (rank 3)</w:t>
            </w:r>
          </w:p>
        </w:tc>
        <w:tc>
          <w:tcPr>
            <w:tcW w:type="dxa" w:w="1663"/>
            <w:vAlign w:val="center"/>
          </w:tcPr>
          <w:p>
            <w:pPr>
              <w:jc w:val="center"/>
            </w:pPr>
            <w:r/>
            <w:r>
              <w:rPr>
                <w:b w:val="0"/>
                <w:sz w:val="15"/>
              </w:rPr>
              <w:t>1.341530 (rank 4)</w:t>
            </w:r>
          </w:p>
        </w:tc>
        <w:tc>
          <w:tcPr>
            <w:tcW w:type="dxa" w:w="1663"/>
            <w:vAlign w:val="center"/>
          </w:tcPr>
          <w:p>
            <w:pPr>
              <w:jc w:val="center"/>
            </w:pPr>
            <w:r/>
            <w:r>
              <w:rPr>
                <w:b w:val="0"/>
                <w:sz w:val="15"/>
              </w:rPr>
              <w:t>1.822927 (rank 5)</w:t>
            </w:r>
          </w:p>
        </w:tc>
      </w:tr>
      <w:tr>
        <w:tc>
          <w:tcPr>
            <w:tcW w:type="dxa" w:w="1663"/>
            <w:vAlign w:val="center"/>
          </w:tcPr>
          <w:p>
            <w:pPr>
              <w:jc w:val="center"/>
            </w:pPr>
            <w:r/>
            <w:r>
              <w:rPr>
                <w:b w:val="0"/>
                <w:sz w:val="16"/>
              </w:rPr>
              <w:t>1.00</w:t>
            </w:r>
          </w:p>
        </w:tc>
        <w:tc>
          <w:tcPr>
            <w:tcW w:type="dxa" w:w="1663"/>
            <w:vAlign w:val="center"/>
          </w:tcPr>
          <w:p>
            <w:pPr>
              <w:jc w:val="center"/>
            </w:pPr>
            <w:r/>
            <w:r>
              <w:rPr>
                <w:b w:val="0"/>
                <w:sz w:val="15"/>
              </w:rPr>
              <w:t>1.396310 (rank 1)</w:t>
            </w:r>
          </w:p>
        </w:tc>
        <w:tc>
          <w:tcPr>
            <w:tcW w:type="dxa" w:w="1663"/>
            <w:vAlign w:val="center"/>
          </w:tcPr>
          <w:p>
            <w:pPr>
              <w:jc w:val="center"/>
            </w:pPr>
            <w:r/>
            <w:r>
              <w:rPr>
                <w:b w:val="0"/>
                <w:sz w:val="15"/>
              </w:rPr>
              <w:t>1.443300 (rank 3)</w:t>
            </w:r>
          </w:p>
        </w:tc>
        <w:tc>
          <w:tcPr>
            <w:tcW w:type="dxa" w:w="1663"/>
            <w:vAlign w:val="center"/>
          </w:tcPr>
          <w:p>
            <w:pPr>
              <w:jc w:val="center"/>
            </w:pPr>
            <w:r/>
            <w:r>
              <w:rPr>
                <w:b w:val="0"/>
                <w:sz w:val="15"/>
              </w:rPr>
              <w:t>1.443227 (rank 2)</w:t>
            </w:r>
          </w:p>
        </w:tc>
        <w:tc>
          <w:tcPr>
            <w:tcW w:type="dxa" w:w="1663"/>
            <w:vAlign w:val="center"/>
          </w:tcPr>
          <w:p>
            <w:pPr>
              <w:jc w:val="center"/>
            </w:pPr>
            <w:r/>
            <w:r>
              <w:rPr>
                <w:b w:val="0"/>
                <w:sz w:val="15"/>
              </w:rPr>
              <w:t>1.445357 (rank 4)</w:t>
            </w:r>
          </w:p>
        </w:tc>
        <w:tc>
          <w:tcPr>
            <w:tcW w:type="dxa" w:w="1663"/>
            <w:vAlign w:val="center"/>
          </w:tcPr>
          <w:p>
            <w:pPr>
              <w:jc w:val="center"/>
            </w:pPr>
            <w:r/>
            <w:r>
              <w:rPr>
                <w:b w:val="0"/>
                <w:sz w:val="15"/>
              </w:rPr>
              <w:t>1.985168 (rank 5)</w:t>
            </w:r>
          </w:p>
        </w:tc>
      </w:tr>
    </w:tbl>
    <w:p>
      <w:r>
        <w:rPr/>
        <w:t>Across lambda = 0–1, PID remained rank one and LQR rank five in the overall summary. The maximum gap from PID among the four leading controllers was 3.37–3.51%, so PID, SMC, Fuzzy-SMC and ANFIS-SMC all remained within the 5% practical margin. The LQR gap increased from 34.09% at lambda = 0 to 42.17% at lambda = 1. The overall SMC–Fuzzy-SMC crossover occurred at lambda = 0.9953. Band-specific crossovers occurred for Fuzzy-SMC versus ANFIS-SMC in the ±10% band (lambda = 0.8194), and for SMC versus Fuzzy-SMC (lambda = 0.6749) and SMC versus ANFIS-SMC (lambda = 0.8257) in the ±20% band. The full ±15% ordering was unchanged over the tested coefficient grid. These crossovers concern the ordering of near-tied aggregate summaries and do not change the practical conclusion that the four leading controllers remain inside the 5% relevance margin.</w:t>
      </w:r>
    </w:p>
    <w:p>
      <w:pPr>
        <w:jc w:val="center"/>
      </w:pPr>
      <w:r>
        <w:drawing>
          <wp:inline xmlns:a="http://schemas.openxmlformats.org/drawingml/2006/main" xmlns:pic="http://schemas.openxmlformats.org/drawingml/2006/picture">
            <wp:extent cx="6035040" cy="2829923"/>
            <wp:docPr id="1" name="Picture 1"/>
            <wp:cNvGraphicFramePr>
              <a:graphicFrameLocks noChangeAspect="1"/>
            </wp:cNvGraphicFramePr>
            <a:graphic>
              <a:graphicData uri="http://schemas.openxmlformats.org/drawingml/2006/picture">
                <pic:pic>
                  <pic:nvPicPr>
                    <pic:cNvPr id="0" name="Fig_S13_CRI_Coefficient_Sensitivity_1200dpi.png"/>
                    <pic:cNvPicPr/>
                  </pic:nvPicPr>
                  <pic:blipFill>
                    <a:blip r:embed="rId10"/>
                    <a:stretch>
                      <a:fillRect/>
                    </a:stretch>
                  </pic:blipFill>
                  <pic:spPr>
                    <a:xfrm>
                      <a:off x="0" y="0"/>
                      <a:ext cx="6035040" cy="2829923"/>
                    </a:xfrm>
                    <a:prstGeom prst="rect"/>
                  </pic:spPr>
                </pic:pic>
              </a:graphicData>
            </a:graphic>
          </wp:inline>
        </w:drawing>
      </w:r>
    </w:p>
    <w:p>
      <w:r>
        <w:rPr/>
        <w:t>Supplementary Figure S13. CRI dispersion-coefficient sensitivity. (a) Overall CRI_lambda = median(J) + lambda IQR(J) for the five fixed controllers. (b) Corresponding numerical ranks. PID remains first and LQR fifth across the tested coefficient grid; the SMC and Fuzzy-SMC ranks exchange only at the upper end of the tested range.</w:t>
      </w:r>
    </w:p>
    <w:p>
      <w:r>
        <w:rPr>
          <w:b/>
        </w:rPr>
        <w:t>Supplementary Table S14. Sensitivity of score normalization and resulting controller-separation summaries.</w:t>
      </w:r>
    </w:p>
    <w:p>
      <w:r>
        <w:rPr/>
        <w:t>The four-metric score was recomputed from the archived Monte Carlo records using the locked pooled-median scales, realization-A medians, realization-B medians, and pooled means. Controller parameters, raw response metrics, metric weights, CRI coefficient (0.5), and the 5% practical margin were unchanged. No controller was retuned or resimulated. All integrity gates passed: 30,000 archived records and 2,000 paired scenarios were recovered; the locked pooled-median constants were reproduced to within 5.00 × 10⁻16, the locked CRI values to within 4.89 × 10⁻15, and the original ±15% non-unique-preference prevalence of 69.40% exactly.</w:t>
      </w:r>
    </w:p>
    <w:tbl>
      <w:tblPr>
        <w:tblStyle w:val="TableGrid"/>
        <w:tblW w:type="auto" w:w="0"/>
        <w:jc w:val="center"/>
        <w:tblLook w:firstColumn="1" w:firstRow="1" w:lastColumn="0" w:lastRow="0" w:noHBand="0" w:noVBand="1" w:val="04A0"/>
      </w:tblPr>
      <w:tblGrid>
        <w:gridCol w:w="1996"/>
        <w:gridCol w:w="1996"/>
        <w:gridCol w:w="1996"/>
        <w:gridCol w:w="1996"/>
        <w:gridCol w:w="1996"/>
      </w:tblGrid>
      <w:tr>
        <w:tc>
          <w:tcPr>
            <w:tcW w:type="dxa" w:w="1996"/>
          </w:tcPr>
          <w:p>
            <w:r>
              <w:rPr>
                <w:b/>
              </w:rPr>
              <w:t>Scheme</w:t>
            </w:r>
          </w:p>
        </w:tc>
        <w:tc>
          <w:tcPr>
            <w:tcW w:type="dxa" w:w="1996"/>
          </w:tcPr>
          <w:p>
            <w:r>
              <w:rPr>
                <w:b/>
              </w:rPr>
              <w:t>α RMS scale (rad)</w:t>
            </w:r>
          </w:p>
        </w:tc>
        <w:tc>
          <w:tcPr>
            <w:tcW w:type="dxa" w:w="1996"/>
          </w:tcPr>
          <w:p>
            <w:r>
              <w:rPr>
                <w:b/>
              </w:rPr>
              <w:t>θ RMS scale (rad)</w:t>
            </w:r>
          </w:p>
        </w:tc>
        <w:tc>
          <w:tcPr>
            <w:tcW w:type="dxa" w:w="1996"/>
          </w:tcPr>
          <w:p>
            <w:r>
              <w:rPr>
                <w:b/>
              </w:rPr>
              <w:t>U RMS scale (V)</w:t>
            </w:r>
          </w:p>
        </w:tc>
        <w:tc>
          <w:tcPr>
            <w:tcW w:type="dxa" w:w="1996"/>
          </w:tcPr>
          <w:p>
            <w:r>
              <w:rPr>
                <w:b/>
              </w:rPr>
              <w:t>CI scale</w:t>
            </w:r>
          </w:p>
        </w:tc>
      </w:tr>
      <w:tr>
        <w:tc>
          <w:tcPr>
            <w:tcW w:type="dxa" w:w="1996"/>
          </w:tcPr>
          <w:p>
            <w:r>
              <w:rPr/>
              <w:t>Pooled median</w:t>
            </w:r>
          </w:p>
        </w:tc>
        <w:tc>
          <w:tcPr>
            <w:tcW w:type="dxa" w:w="1996"/>
          </w:tcPr>
          <w:p>
            <w:r>
              <w:rPr/>
              <w:t>0.01921046</w:t>
            </w:r>
          </w:p>
        </w:tc>
        <w:tc>
          <w:tcPr>
            <w:tcW w:type="dxa" w:w="1996"/>
          </w:tcPr>
          <w:p>
            <w:r>
              <w:rPr/>
              <w:t>0.3035499</w:t>
            </w:r>
          </w:p>
        </w:tc>
        <w:tc>
          <w:tcPr>
            <w:tcW w:type="dxa" w:w="1996"/>
          </w:tcPr>
          <w:p>
            <w:r>
              <w:rPr/>
              <w:t>0.7770046</w:t>
            </w:r>
          </w:p>
        </w:tc>
        <w:tc>
          <w:tcPr>
            <w:tcW w:type="dxa" w:w="1996"/>
          </w:tcPr>
          <w:p>
            <w:r>
              <w:rPr/>
              <w:t>0.1048550</w:t>
            </w:r>
          </w:p>
        </w:tc>
      </w:tr>
      <w:tr>
        <w:tc>
          <w:tcPr>
            <w:tcW w:type="dxa" w:w="1996"/>
          </w:tcPr>
          <w:p>
            <w:r>
              <w:rPr/>
              <w:t>Primary median</w:t>
            </w:r>
          </w:p>
        </w:tc>
        <w:tc>
          <w:tcPr>
            <w:tcW w:type="dxa" w:w="1996"/>
          </w:tcPr>
          <w:p>
            <w:r>
              <w:rPr/>
              <w:t>0.01932930</w:t>
            </w:r>
          </w:p>
        </w:tc>
        <w:tc>
          <w:tcPr>
            <w:tcW w:type="dxa" w:w="1996"/>
          </w:tcPr>
          <w:p>
            <w:r>
              <w:rPr/>
              <w:t>0.3032586</w:t>
            </w:r>
          </w:p>
        </w:tc>
        <w:tc>
          <w:tcPr>
            <w:tcW w:type="dxa" w:w="1996"/>
          </w:tcPr>
          <w:p>
            <w:r>
              <w:rPr/>
              <w:t>0.7781787</w:t>
            </w:r>
          </w:p>
        </w:tc>
        <w:tc>
          <w:tcPr>
            <w:tcW w:type="dxa" w:w="1996"/>
          </w:tcPr>
          <w:p>
            <w:r>
              <w:rPr/>
              <w:t>0.1046900</w:t>
            </w:r>
          </w:p>
        </w:tc>
      </w:tr>
      <w:tr>
        <w:tc>
          <w:tcPr>
            <w:tcW w:type="dxa" w:w="1996"/>
          </w:tcPr>
          <w:p>
            <w:r>
              <w:rPr/>
              <w:t>Replication median</w:t>
            </w:r>
          </w:p>
        </w:tc>
        <w:tc>
          <w:tcPr>
            <w:tcW w:type="dxa" w:w="1996"/>
          </w:tcPr>
          <w:p>
            <w:r>
              <w:rPr/>
              <w:t>0.01907615</w:t>
            </w:r>
          </w:p>
        </w:tc>
        <w:tc>
          <w:tcPr>
            <w:tcW w:type="dxa" w:w="1996"/>
          </w:tcPr>
          <w:p>
            <w:r>
              <w:rPr/>
              <w:t>0.3038087</w:t>
            </w:r>
          </w:p>
        </w:tc>
        <w:tc>
          <w:tcPr>
            <w:tcW w:type="dxa" w:w="1996"/>
          </w:tcPr>
          <w:p>
            <w:r>
              <w:rPr/>
              <w:t>0.7757040</w:t>
            </w:r>
          </w:p>
        </w:tc>
        <w:tc>
          <w:tcPr>
            <w:tcW w:type="dxa" w:w="1996"/>
          </w:tcPr>
          <w:p>
            <w:r>
              <w:rPr/>
              <w:t>0.1050032</w:t>
            </w:r>
          </w:p>
        </w:tc>
      </w:tr>
      <w:tr>
        <w:tc>
          <w:tcPr>
            <w:tcW w:type="dxa" w:w="1996"/>
          </w:tcPr>
          <w:p>
            <w:r>
              <w:rPr/>
              <w:t>Pooled mean</w:t>
            </w:r>
          </w:p>
        </w:tc>
        <w:tc>
          <w:tcPr>
            <w:tcW w:type="dxa" w:w="1996"/>
          </w:tcPr>
          <w:p>
            <w:r>
              <w:rPr/>
              <w:t>0.02028225</w:t>
            </w:r>
          </w:p>
        </w:tc>
        <w:tc>
          <w:tcPr>
            <w:tcW w:type="dxa" w:w="1996"/>
          </w:tcPr>
          <w:p>
            <w:r>
              <w:rPr/>
              <w:t>0.4316228</w:t>
            </w:r>
          </w:p>
        </w:tc>
        <w:tc>
          <w:tcPr>
            <w:tcW w:type="dxa" w:w="1996"/>
          </w:tcPr>
          <w:p>
            <w:r>
              <w:rPr/>
              <w:t>0.8034544</w:t>
            </w:r>
          </w:p>
        </w:tc>
        <w:tc>
          <w:tcPr>
            <w:tcW w:type="dxa" w:w="1996"/>
          </w:tcPr>
          <w:p>
            <w:r>
              <w:rPr/>
              <w:t>0.1026227</w:t>
            </w:r>
          </w:p>
        </w:tc>
      </w:tr>
    </w:tbl>
    <w:p>
      <w:r>
        <w:rPr>
          <w:b/>
        </w:rPr>
        <w:t>Supplementary Table S14b. Overall CRI ordering and ±15% practical-separation prevalence under each normalization scheme.</w:t>
      </w:r>
    </w:p>
    <w:tbl>
      <w:tblPr>
        <w:tblStyle w:val="TableGrid"/>
        <w:tblW w:type="auto" w:w="0"/>
        <w:jc w:val="center"/>
        <w:tblLook w:firstColumn="1" w:firstRow="1" w:lastColumn="0" w:lastRow="0" w:noHBand="0" w:noVBand="1" w:val="04A0"/>
      </w:tblPr>
      <w:tblGrid>
        <w:gridCol w:w="1996"/>
        <w:gridCol w:w="1996"/>
        <w:gridCol w:w="1996"/>
        <w:gridCol w:w="1996"/>
        <w:gridCol w:w="1996"/>
      </w:tblGrid>
      <w:tr>
        <w:tc>
          <w:tcPr>
            <w:tcW w:type="dxa" w:w="1996"/>
          </w:tcPr>
          <w:p>
            <w:r>
              <w:rPr>
                <w:b/>
              </w:rPr>
              <w:t>Scheme</w:t>
            </w:r>
          </w:p>
        </w:tc>
        <w:tc>
          <w:tcPr>
            <w:tcW w:type="dxa" w:w="1996"/>
          </w:tcPr>
          <w:p>
            <w:r>
              <w:rPr>
                <w:b/>
              </w:rPr>
              <w:t>Overall rank order</w:t>
            </w:r>
          </w:p>
        </w:tc>
        <w:tc>
          <w:tcPr>
            <w:tcW w:type="dxa" w:w="1996"/>
          </w:tcPr>
          <w:p>
            <w:r>
              <w:rPr>
                <w:b/>
              </w:rPr>
              <w:t>Max gap among PID/SMC/Fuzzy/ANFIS (%)</w:t>
            </w:r>
          </w:p>
        </w:tc>
        <w:tc>
          <w:tcPr>
            <w:tcW w:type="dxa" w:w="1996"/>
          </w:tcPr>
          <w:p>
            <w:r>
              <w:rPr>
                <w:b/>
              </w:rPr>
              <w:t>LQR gap (%)</w:t>
            </w:r>
          </w:p>
        </w:tc>
        <w:tc>
          <w:tcPr>
            <w:tcW w:type="dxa" w:w="1996"/>
          </w:tcPr>
          <w:p>
            <w:r>
              <w:rPr>
                <w:b/>
              </w:rPr>
              <w:t>±15% non-unique (%)</w:t>
            </w:r>
          </w:p>
        </w:tc>
      </w:tr>
      <w:tr>
        <w:tc>
          <w:tcPr>
            <w:tcW w:type="dxa" w:w="1996"/>
          </w:tcPr>
          <w:p>
            <w:r>
              <w:rPr/>
              <w:t>Pooled median</w:t>
            </w:r>
          </w:p>
        </w:tc>
        <w:tc>
          <w:tcPr>
            <w:tcW w:type="dxa" w:w="1996"/>
          </w:tcPr>
          <w:p>
            <w:r>
              <w:rPr/>
              <w:t>PID &gt; SMC &gt; Fuzzy-SMC &gt; ANFIS-SMC &gt; LQR</w:t>
            </w:r>
          </w:p>
        </w:tc>
        <w:tc>
          <w:tcPr>
            <w:tcW w:type="dxa" w:w="1996"/>
          </w:tcPr>
          <w:p>
            <w:r>
              <w:rPr/>
              <w:t>3.453</w:t>
            </w:r>
          </w:p>
        </w:tc>
        <w:tc>
          <w:tcPr>
            <w:tcW w:type="dxa" w:w="1996"/>
          </w:tcPr>
          <w:p>
            <w:r>
              <w:rPr/>
              <w:t>38.808</w:t>
            </w:r>
          </w:p>
        </w:tc>
        <w:tc>
          <w:tcPr>
            <w:tcW w:type="dxa" w:w="1996"/>
          </w:tcPr>
          <w:p>
            <w:r>
              <w:rPr/>
              <w:t>69.40</w:t>
            </w:r>
          </w:p>
        </w:tc>
      </w:tr>
      <w:tr>
        <w:tc>
          <w:tcPr>
            <w:tcW w:type="dxa" w:w="1996"/>
          </w:tcPr>
          <w:p>
            <w:r>
              <w:rPr/>
              <w:t>Primary median</w:t>
            </w:r>
          </w:p>
        </w:tc>
        <w:tc>
          <w:tcPr>
            <w:tcW w:type="dxa" w:w="1996"/>
          </w:tcPr>
          <w:p>
            <w:r>
              <w:rPr/>
              <w:t>PID &gt; SMC &gt; Fuzzy-SMC &gt; ANFIS-SMC &gt; LQR</w:t>
            </w:r>
          </w:p>
        </w:tc>
        <w:tc>
          <w:tcPr>
            <w:tcW w:type="dxa" w:w="1996"/>
          </w:tcPr>
          <w:p>
            <w:r>
              <w:rPr/>
              <w:t>3.424</w:t>
            </w:r>
          </w:p>
        </w:tc>
        <w:tc>
          <w:tcPr>
            <w:tcW w:type="dxa" w:w="1996"/>
          </w:tcPr>
          <w:p>
            <w:r>
              <w:rPr/>
              <w:t>38.820</w:t>
            </w:r>
          </w:p>
        </w:tc>
        <w:tc>
          <w:tcPr>
            <w:tcW w:type="dxa" w:w="1996"/>
          </w:tcPr>
          <w:p>
            <w:r>
              <w:rPr/>
              <w:t>69.50</w:t>
            </w:r>
          </w:p>
        </w:tc>
      </w:tr>
      <w:tr>
        <w:tc>
          <w:tcPr>
            <w:tcW w:type="dxa" w:w="1996"/>
          </w:tcPr>
          <w:p>
            <w:r>
              <w:rPr/>
              <w:t>Replication median</w:t>
            </w:r>
          </w:p>
        </w:tc>
        <w:tc>
          <w:tcPr>
            <w:tcW w:type="dxa" w:w="1996"/>
          </w:tcPr>
          <w:p>
            <w:r>
              <w:rPr/>
              <w:t>PID &gt; SMC &gt; Fuzzy-SMC &gt; ANFIS-SMC &gt; LQR</w:t>
            </w:r>
          </w:p>
        </w:tc>
        <w:tc>
          <w:tcPr>
            <w:tcW w:type="dxa" w:w="1996"/>
          </w:tcPr>
          <w:p>
            <w:r>
              <w:rPr/>
              <w:t>3.422</w:t>
            </w:r>
          </w:p>
        </w:tc>
        <w:tc>
          <w:tcPr>
            <w:tcW w:type="dxa" w:w="1996"/>
          </w:tcPr>
          <w:p>
            <w:r>
              <w:rPr/>
              <w:t>38.856</w:t>
            </w:r>
          </w:p>
        </w:tc>
        <w:tc>
          <w:tcPr>
            <w:tcW w:type="dxa" w:w="1996"/>
          </w:tcPr>
          <w:p>
            <w:r>
              <w:rPr/>
              <w:t>69.35</w:t>
            </w:r>
          </w:p>
        </w:tc>
      </w:tr>
      <w:tr>
        <w:tc>
          <w:tcPr>
            <w:tcW w:type="dxa" w:w="1996"/>
          </w:tcPr>
          <w:p>
            <w:r>
              <w:rPr/>
              <w:t>Pooled mean</w:t>
            </w:r>
          </w:p>
        </w:tc>
        <w:tc>
          <w:tcPr>
            <w:tcW w:type="dxa" w:w="1996"/>
          </w:tcPr>
          <w:p>
            <w:r>
              <w:rPr/>
              <w:t>PID &gt; SMC &gt; Fuzzy-SMC &gt; ANFIS-SMC &gt; LQR</w:t>
            </w:r>
          </w:p>
        </w:tc>
        <w:tc>
          <w:tcPr>
            <w:tcW w:type="dxa" w:w="1996"/>
          </w:tcPr>
          <w:p>
            <w:r>
              <w:rPr/>
              <w:t>6.709</w:t>
            </w:r>
          </w:p>
        </w:tc>
        <w:tc>
          <w:tcPr>
            <w:tcW w:type="dxa" w:w="1996"/>
          </w:tcPr>
          <w:p>
            <w:r>
              <w:rPr/>
              <w:t>30.431</w:t>
            </w:r>
          </w:p>
        </w:tc>
        <w:tc>
          <w:tcPr>
            <w:tcW w:type="dxa" w:w="1996"/>
          </w:tcPr>
          <w:p>
            <w:r>
              <w:rPr/>
              <w:t>67.50</w:t>
            </w:r>
          </w:p>
        </w:tc>
      </w:tr>
    </w:tbl>
    <w:p>
      <w:r>
        <w:rPr/>
        <w:t>Interpretation. The primary- and replication-median scales differed from the pooled-median scales by at most 0.70%, preserved the full overall rank order, kept the four leading aggregate CRIs within 3.43% of the minimum, and changed the ±15% non-unique-preference prevalence by at most 0.10 percentage point. Pooled-mean scaling was a stronger stress test: the rotary-arm RMS scale increased by 42.19%, the full numerical rank order still remained unchanged, and 67.50% of blocks remained non-unique, but the three SMC-family aggregate gaps from PID increased beyond 5% (SMC 5.73%, Fuzzy-SMC 6.34%, ANFIS-SMC 6.71%). Thus, the scenario-level conclusion that non-unique practical preference is common is not tied to the pooled-median constants, whereas aggregate four-controller membership in the 5% band is sensitive to the normalization statistic.</w:t>
      </w:r>
    </w:p>
    <w:p>
      <w:pPr>
        <w:jc w:val="center"/>
      </w:pPr>
      <w:r>
        <w:drawing>
          <wp:inline xmlns:a="http://schemas.openxmlformats.org/drawingml/2006/main" xmlns:pic="http://schemas.openxmlformats.org/drawingml/2006/picture">
            <wp:extent cx="5806440" cy="2269522"/>
            <wp:docPr id="2" name="Picture 2"/>
            <wp:cNvGraphicFramePr>
              <a:graphicFrameLocks noChangeAspect="1"/>
            </wp:cNvGraphicFramePr>
            <a:graphic>
              <a:graphicData uri="http://schemas.openxmlformats.org/drawingml/2006/picture">
                <pic:pic>
                  <pic:nvPicPr>
                    <pic:cNvPr id="0" name="Fig_S14_Normalization_Sensitivity_1200dpi.png"/>
                    <pic:cNvPicPr/>
                  </pic:nvPicPr>
                  <pic:blipFill>
                    <a:blip r:embed="rId11"/>
                    <a:stretch>
                      <a:fillRect/>
                    </a:stretch>
                  </pic:blipFill>
                  <pic:spPr>
                    <a:xfrm>
                      <a:off x="0" y="0"/>
                      <a:ext cx="5806440" cy="2269522"/>
                    </a:xfrm>
                    <a:prstGeom prst="rect"/>
                  </pic:spPr>
                </pic:pic>
              </a:graphicData>
            </a:graphic>
          </wp:inline>
        </w:drawing>
      </w:r>
    </w:p>
    <w:p>
      <w:r>
        <w:rPr/>
        <w:t>Supplementary Figure S14. Score-normalization sensitivity. (a) Normalization scales relative to the locked pooled-median scales. (b) Overall CRI percentage gaps from the minimum under each scaling scheme; the dashed line marks the 5% practical margin. (c) Fraction of ±15% scenario blocks without a unique practical preference at the 5% margin. Realization-specific median scaling closely reproduces the pooled-median results, whereas pooled-mean scaling provides a stronger stress test because the rotary-arm RMS scale is substantially larger.</w:t>
      </w:r>
    </w:p>
    <w:p>
      <w:pPr>
        <w:pStyle w:val="BodyText"/>
      </w:pPr>
      <w:r>
        <w:rPr/>
        <w:t>Supplementary Table S15. Prescribed command-delay sensitivity in the pooled ±15% scenario domain.</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r>
              <w:rPr>
                <w:b/>
                <w:sz w:val="16"/>
              </w:rPr>
              <w:t>Delay (ms)</w:t>
            </w:r>
          </w:p>
        </w:tc>
        <w:tc>
          <w:tcPr>
            <w:tcW w:type="dxa" w:w="1663"/>
          </w:tcPr>
          <w:p>
            <w:r>
              <w:rPr>
                <w:b/>
                <w:sz w:val="16"/>
              </w:rPr>
              <w:t>All-five success</w:t>
            </w:r>
          </w:p>
        </w:tc>
        <w:tc>
          <w:tcPr>
            <w:tcW w:type="dxa" w:w="1663"/>
          </w:tcPr>
          <w:p>
            <w:r>
              <w:rPr>
                <w:b/>
                <w:sz w:val="16"/>
              </w:rPr>
              <w:t>Overall CRI order</w:t>
            </w:r>
          </w:p>
        </w:tc>
        <w:tc>
          <w:tcPr>
            <w:tcW w:type="dxa" w:w="1663"/>
          </w:tcPr>
          <w:p>
            <w:r>
              <w:rPr>
                <w:b/>
                <w:sz w:val="16"/>
              </w:rPr>
              <w:t>Max gap among PID/SMC/Fuzzy/ANFIS (%)</w:t>
            </w:r>
          </w:p>
        </w:tc>
        <w:tc>
          <w:tcPr>
            <w:tcW w:type="dxa" w:w="1663"/>
          </w:tcPr>
          <w:p>
            <w:r>
              <w:rPr>
                <w:b/>
                <w:sz w:val="16"/>
              </w:rPr>
              <w:t>LQR gap (%)</w:t>
            </w:r>
          </w:p>
        </w:tc>
        <w:tc>
          <w:tcPr>
            <w:tcW w:type="dxa" w:w="1663"/>
          </w:tcPr>
          <w:p>
            <w:r>
              <w:rPr>
                <w:b/>
                <w:sz w:val="16"/>
              </w:rPr>
              <w:t>No unique preference (%)</w:t>
            </w:r>
          </w:p>
        </w:tc>
      </w:tr>
      <w:tr>
        <w:tc>
          <w:tcPr>
            <w:tcW w:type="dxa" w:w="1663"/>
          </w:tcPr>
          <w:p>
            <w:r>
              <w:rPr>
                <w:sz w:val="16"/>
              </w:rPr>
              <w:t>0</w:t>
            </w:r>
          </w:p>
        </w:tc>
        <w:tc>
          <w:tcPr>
            <w:tcW w:type="dxa" w:w="1663"/>
          </w:tcPr>
          <w:p>
            <w:r>
              <w:rPr>
                <w:sz w:val="16"/>
              </w:rPr>
              <w:t>2000/2000 (100%)</w:t>
            </w:r>
          </w:p>
        </w:tc>
        <w:tc>
          <w:tcPr>
            <w:tcW w:type="dxa" w:w="1663"/>
          </w:tcPr>
          <w:p>
            <w:r>
              <w:rPr>
                <w:sz w:val="16"/>
              </w:rPr>
              <w:t>PID &gt; SMC &gt; Fuzzy-SMC &gt; ANFIS-SMC &gt; LQR</w:t>
            </w:r>
          </w:p>
        </w:tc>
        <w:tc>
          <w:tcPr>
            <w:tcW w:type="dxa" w:w="1663"/>
          </w:tcPr>
          <w:p>
            <w:r>
              <w:rPr>
                <w:sz w:val="16"/>
              </w:rPr>
              <w:t>3.467</w:t>
            </w:r>
          </w:p>
        </w:tc>
        <w:tc>
          <w:tcPr>
            <w:tcW w:type="dxa" w:w="1663"/>
          </w:tcPr>
          <w:p>
            <w:r>
              <w:rPr>
                <w:sz w:val="16"/>
              </w:rPr>
              <w:t>38.825</w:t>
            </w:r>
          </w:p>
        </w:tc>
        <w:tc>
          <w:tcPr>
            <w:tcW w:type="dxa" w:w="1663"/>
          </w:tcPr>
          <w:p>
            <w:r>
              <w:rPr>
                <w:sz w:val="16"/>
              </w:rPr>
              <w:t>69.40</w:t>
            </w:r>
          </w:p>
        </w:tc>
      </w:tr>
      <w:tr>
        <w:tc>
          <w:tcPr>
            <w:tcW w:type="dxa" w:w="1663"/>
          </w:tcPr>
          <w:p>
            <w:r>
              <w:rPr>
                <w:sz w:val="16"/>
              </w:rPr>
              <w:t>2</w:t>
            </w:r>
          </w:p>
        </w:tc>
        <w:tc>
          <w:tcPr>
            <w:tcW w:type="dxa" w:w="1663"/>
          </w:tcPr>
          <w:p>
            <w:r>
              <w:rPr>
                <w:sz w:val="16"/>
              </w:rPr>
              <w:t>2000/2000 (100%)</w:t>
            </w:r>
          </w:p>
        </w:tc>
        <w:tc>
          <w:tcPr>
            <w:tcW w:type="dxa" w:w="1663"/>
          </w:tcPr>
          <w:p>
            <w:r>
              <w:rPr>
                <w:sz w:val="16"/>
              </w:rPr>
              <w:t>PID &gt; SMC &gt; Fuzzy-SMC &gt; ANFIS-SMC &gt; LQR</w:t>
            </w:r>
          </w:p>
        </w:tc>
        <w:tc>
          <w:tcPr>
            <w:tcW w:type="dxa" w:w="1663"/>
          </w:tcPr>
          <w:p>
            <w:r>
              <w:rPr>
                <w:sz w:val="16"/>
              </w:rPr>
              <w:t>2.991</w:t>
            </w:r>
          </w:p>
        </w:tc>
        <w:tc>
          <w:tcPr>
            <w:tcW w:type="dxa" w:w="1663"/>
          </w:tcPr>
          <w:p>
            <w:r>
              <w:rPr>
                <w:sz w:val="16"/>
              </w:rPr>
              <w:t>38.872</w:t>
            </w:r>
          </w:p>
        </w:tc>
        <w:tc>
          <w:tcPr>
            <w:tcW w:type="dxa" w:w="1663"/>
          </w:tcPr>
          <w:p>
            <w:r>
              <w:rPr>
                <w:sz w:val="16"/>
              </w:rPr>
              <w:t>70.50</w:t>
            </w:r>
          </w:p>
        </w:tc>
      </w:tr>
      <w:tr>
        <w:tc>
          <w:tcPr>
            <w:tcW w:type="dxa" w:w="1663"/>
          </w:tcPr>
          <w:p>
            <w:r>
              <w:rPr>
                <w:sz w:val="16"/>
              </w:rPr>
              <w:t>4</w:t>
            </w:r>
          </w:p>
        </w:tc>
        <w:tc>
          <w:tcPr>
            <w:tcW w:type="dxa" w:w="1663"/>
          </w:tcPr>
          <w:p>
            <w:r>
              <w:rPr>
                <w:sz w:val="16"/>
              </w:rPr>
              <w:t>2000/2000 (100%)</w:t>
            </w:r>
          </w:p>
        </w:tc>
        <w:tc>
          <w:tcPr>
            <w:tcW w:type="dxa" w:w="1663"/>
          </w:tcPr>
          <w:p>
            <w:r>
              <w:rPr>
                <w:sz w:val="16"/>
              </w:rPr>
              <w:t>PID &gt; Fuzzy-SMC &gt; SMC &gt; ANFIS-SMC &gt; LQR</w:t>
            </w:r>
          </w:p>
        </w:tc>
        <w:tc>
          <w:tcPr>
            <w:tcW w:type="dxa" w:w="1663"/>
          </w:tcPr>
          <w:p>
            <w:r>
              <w:rPr>
                <w:sz w:val="16"/>
              </w:rPr>
              <w:t>2.368</w:t>
            </w:r>
          </w:p>
        </w:tc>
        <w:tc>
          <w:tcPr>
            <w:tcW w:type="dxa" w:w="1663"/>
          </w:tcPr>
          <w:p>
            <w:r>
              <w:rPr>
                <w:sz w:val="16"/>
              </w:rPr>
              <w:t>38.786</w:t>
            </w:r>
          </w:p>
        </w:tc>
        <w:tc>
          <w:tcPr>
            <w:tcW w:type="dxa" w:w="1663"/>
          </w:tcPr>
          <w:p>
            <w:r>
              <w:rPr>
                <w:sz w:val="16"/>
              </w:rPr>
              <w:t>71.60</w:t>
            </w:r>
          </w:p>
        </w:tc>
      </w:tr>
      <w:tr>
        <w:tc>
          <w:tcPr>
            <w:tcW w:type="dxa" w:w="1663"/>
          </w:tcPr>
          <w:p>
            <w:r>
              <w:rPr>
                <w:sz w:val="16"/>
              </w:rPr>
              <w:t>6</w:t>
            </w:r>
          </w:p>
        </w:tc>
        <w:tc>
          <w:tcPr>
            <w:tcW w:type="dxa" w:w="1663"/>
          </w:tcPr>
          <w:p>
            <w:r>
              <w:rPr>
                <w:sz w:val="16"/>
              </w:rPr>
              <w:t>2000/2000 (100%)</w:t>
            </w:r>
          </w:p>
        </w:tc>
        <w:tc>
          <w:tcPr>
            <w:tcW w:type="dxa" w:w="1663"/>
          </w:tcPr>
          <w:p>
            <w:r>
              <w:rPr>
                <w:sz w:val="16"/>
              </w:rPr>
              <w:t>PID &gt; Fuzzy-SMC &gt; SMC &gt; ANFIS-SMC &gt; LQR</w:t>
            </w:r>
          </w:p>
        </w:tc>
        <w:tc>
          <w:tcPr>
            <w:tcW w:type="dxa" w:w="1663"/>
          </w:tcPr>
          <w:p>
            <w:r>
              <w:rPr>
                <w:sz w:val="16"/>
              </w:rPr>
              <w:t>2.087</w:t>
            </w:r>
          </w:p>
        </w:tc>
        <w:tc>
          <w:tcPr>
            <w:tcW w:type="dxa" w:w="1663"/>
          </w:tcPr>
          <w:p>
            <w:r>
              <w:rPr>
                <w:sz w:val="16"/>
              </w:rPr>
              <w:t>39.107</w:t>
            </w:r>
          </w:p>
        </w:tc>
        <w:tc>
          <w:tcPr>
            <w:tcW w:type="dxa" w:w="1663"/>
          </w:tcPr>
          <w:p>
            <w:r>
              <w:rPr>
                <w:sz w:val="16"/>
              </w:rPr>
              <w:t>73.05</w:t>
            </w:r>
          </w:p>
        </w:tc>
      </w:tr>
      <w:tr>
        <w:tc>
          <w:tcPr>
            <w:tcW w:type="dxa" w:w="1663"/>
          </w:tcPr>
          <w:p>
            <w:r>
              <w:rPr>
                <w:sz w:val="16"/>
              </w:rPr>
              <w:t>8</w:t>
            </w:r>
          </w:p>
        </w:tc>
        <w:tc>
          <w:tcPr>
            <w:tcW w:type="dxa" w:w="1663"/>
          </w:tcPr>
          <w:p>
            <w:r>
              <w:rPr>
                <w:sz w:val="16"/>
              </w:rPr>
              <w:t>2000/2000 (100%)</w:t>
            </w:r>
          </w:p>
        </w:tc>
        <w:tc>
          <w:tcPr>
            <w:tcW w:type="dxa" w:w="1663"/>
          </w:tcPr>
          <w:p>
            <w:r>
              <w:rPr>
                <w:sz w:val="16"/>
              </w:rPr>
              <w:t>PID &gt; Fuzzy-SMC &gt; ANFIS-SMC &gt; SMC &gt; LQR</w:t>
            </w:r>
          </w:p>
        </w:tc>
        <w:tc>
          <w:tcPr>
            <w:tcW w:type="dxa" w:w="1663"/>
          </w:tcPr>
          <w:p>
            <w:r>
              <w:rPr>
                <w:sz w:val="16"/>
              </w:rPr>
              <w:t>2.150</w:t>
            </w:r>
          </w:p>
        </w:tc>
        <w:tc>
          <w:tcPr>
            <w:tcW w:type="dxa" w:w="1663"/>
          </w:tcPr>
          <w:p>
            <w:r>
              <w:rPr>
                <w:sz w:val="16"/>
              </w:rPr>
              <w:t>39.378</w:t>
            </w:r>
          </w:p>
        </w:tc>
        <w:tc>
          <w:tcPr>
            <w:tcW w:type="dxa" w:w="1663"/>
          </w:tcPr>
          <w:p>
            <w:r>
              <w:rPr>
                <w:sz w:val="16"/>
              </w:rPr>
              <w:t>74.45</w:t>
            </w:r>
          </w:p>
        </w:tc>
      </w:tr>
      <w:tr>
        <w:tc>
          <w:tcPr>
            <w:tcW w:type="dxa" w:w="1663"/>
          </w:tcPr>
          <w:p>
            <w:r>
              <w:rPr>
                <w:sz w:val="16"/>
              </w:rPr>
              <w:t>10</w:t>
            </w:r>
          </w:p>
        </w:tc>
        <w:tc>
          <w:tcPr>
            <w:tcW w:type="dxa" w:w="1663"/>
          </w:tcPr>
          <w:p>
            <w:r>
              <w:rPr>
                <w:sz w:val="16"/>
              </w:rPr>
              <w:t>2000/2000 (100%)</w:t>
            </w:r>
          </w:p>
        </w:tc>
        <w:tc>
          <w:tcPr>
            <w:tcW w:type="dxa" w:w="1663"/>
          </w:tcPr>
          <w:p>
            <w:r>
              <w:rPr>
                <w:sz w:val="16"/>
              </w:rPr>
              <w:t>PID &gt; SMC &gt; Fuzzy-SMC &gt; ANFIS-SMC &gt; LQR</w:t>
            </w:r>
          </w:p>
        </w:tc>
        <w:tc>
          <w:tcPr>
            <w:tcW w:type="dxa" w:w="1663"/>
          </w:tcPr>
          <w:p>
            <w:r>
              <w:rPr>
                <w:sz w:val="16"/>
              </w:rPr>
              <w:t>8.712</w:t>
            </w:r>
          </w:p>
        </w:tc>
        <w:tc>
          <w:tcPr>
            <w:tcW w:type="dxa" w:w="1663"/>
          </w:tcPr>
          <w:p>
            <w:r>
              <w:rPr>
                <w:sz w:val="16"/>
              </w:rPr>
              <w:t>39.268</w:t>
            </w:r>
          </w:p>
        </w:tc>
        <w:tc>
          <w:tcPr>
            <w:tcW w:type="dxa" w:w="1663"/>
          </w:tcPr>
          <w:p>
            <w:r>
              <w:rPr>
                <w:sz w:val="16"/>
              </w:rPr>
              <w:t>72.00</w:t>
            </w:r>
          </w:p>
        </w:tc>
      </w:tr>
    </w:tbl>
    <w:p>
      <w:pPr>
        <w:pStyle w:val="BodyText"/>
      </w:pPr>
      <w:r>
        <w:rPr/>
        <w:t>Supplementary Table S15b. Controller-specific CRI values across the command-delay envelope.</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r>
              <w:rPr>
                <w:b/>
                <w:sz w:val="16"/>
              </w:rPr>
              <w:t>Delay (ms)</w:t>
            </w:r>
          </w:p>
        </w:tc>
        <w:tc>
          <w:tcPr>
            <w:tcW w:type="dxa" w:w="1663"/>
          </w:tcPr>
          <w:p>
            <w:r>
              <w:rPr>
                <w:b/>
                <w:sz w:val="16"/>
              </w:rPr>
              <w:t>PID</w:t>
            </w:r>
          </w:p>
        </w:tc>
        <w:tc>
          <w:tcPr>
            <w:tcW w:type="dxa" w:w="1663"/>
          </w:tcPr>
          <w:p>
            <w:r>
              <w:rPr>
                <w:b/>
                <w:sz w:val="16"/>
              </w:rPr>
              <w:t>SMC</w:t>
            </w:r>
          </w:p>
        </w:tc>
        <w:tc>
          <w:tcPr>
            <w:tcW w:type="dxa" w:w="1663"/>
          </w:tcPr>
          <w:p>
            <w:r>
              <w:rPr>
                <w:b/>
                <w:sz w:val="16"/>
              </w:rPr>
              <w:t>Fuzzy-SMC</w:t>
            </w:r>
          </w:p>
        </w:tc>
        <w:tc>
          <w:tcPr>
            <w:tcW w:type="dxa" w:w="1663"/>
          </w:tcPr>
          <w:p>
            <w:r>
              <w:rPr>
                <w:b/>
                <w:sz w:val="16"/>
              </w:rPr>
              <w:t>ANFIS-SMC</w:t>
            </w:r>
          </w:p>
        </w:tc>
        <w:tc>
          <w:tcPr>
            <w:tcW w:type="dxa" w:w="1663"/>
          </w:tcPr>
          <w:p>
            <w:r>
              <w:rPr>
                <w:b/>
                <w:sz w:val="16"/>
              </w:rPr>
              <w:t>LQR</w:t>
            </w:r>
          </w:p>
        </w:tc>
      </w:tr>
      <w:tr>
        <w:tc>
          <w:tcPr>
            <w:tcW w:type="dxa" w:w="1663"/>
          </w:tcPr>
          <w:p>
            <w:r>
              <w:rPr>
                <w:sz w:val="16"/>
              </w:rPr>
              <w:t>0</w:t>
            </w:r>
          </w:p>
        </w:tc>
        <w:tc>
          <w:tcPr>
            <w:tcW w:type="dxa" w:w="1663"/>
          </w:tcPr>
          <w:p>
            <w:r>
              <w:rPr>
                <w:sz w:val="16"/>
              </w:rPr>
              <w:t>1.195591</w:t>
            </w:r>
          </w:p>
        </w:tc>
        <w:tc>
          <w:tcPr>
            <w:tcW w:type="dxa" w:w="1663"/>
          </w:tcPr>
          <w:p>
            <w:r>
              <w:rPr>
                <w:sz w:val="16"/>
              </w:rPr>
              <w:t>1.224214</w:t>
            </w:r>
          </w:p>
        </w:tc>
        <w:tc>
          <w:tcPr>
            <w:tcW w:type="dxa" w:w="1663"/>
          </w:tcPr>
          <w:p>
            <w:r>
              <w:rPr>
                <w:sz w:val="16"/>
              </w:rPr>
              <w:t>1.232062</w:t>
            </w:r>
          </w:p>
        </w:tc>
        <w:tc>
          <w:tcPr>
            <w:tcW w:type="dxa" w:w="1663"/>
          </w:tcPr>
          <w:p>
            <w:r>
              <w:rPr>
                <w:sz w:val="16"/>
              </w:rPr>
              <w:t>1.237038</w:t>
            </w:r>
          </w:p>
        </w:tc>
        <w:tc>
          <w:tcPr>
            <w:tcW w:type="dxa" w:w="1663"/>
          </w:tcPr>
          <w:p>
            <w:r>
              <w:rPr>
                <w:sz w:val="16"/>
              </w:rPr>
              <w:t>1.659782</w:t>
            </w:r>
          </w:p>
        </w:tc>
      </w:tr>
      <w:tr>
        <w:tc>
          <w:tcPr>
            <w:tcW w:type="dxa" w:w="1663"/>
          </w:tcPr>
          <w:p>
            <w:r>
              <w:rPr>
                <w:sz w:val="16"/>
              </w:rPr>
              <w:t>2</w:t>
            </w:r>
          </w:p>
        </w:tc>
        <w:tc>
          <w:tcPr>
            <w:tcW w:type="dxa" w:w="1663"/>
          </w:tcPr>
          <w:p>
            <w:r>
              <w:rPr>
                <w:sz w:val="16"/>
              </w:rPr>
              <w:t>1.196889</w:t>
            </w:r>
          </w:p>
        </w:tc>
        <w:tc>
          <w:tcPr>
            <w:tcW w:type="dxa" w:w="1663"/>
          </w:tcPr>
          <w:p>
            <w:r>
              <w:rPr>
                <w:sz w:val="16"/>
              </w:rPr>
              <w:t>1.223729</w:t>
            </w:r>
          </w:p>
        </w:tc>
        <w:tc>
          <w:tcPr>
            <w:tcW w:type="dxa" w:w="1663"/>
          </w:tcPr>
          <w:p>
            <w:r>
              <w:rPr>
                <w:sz w:val="16"/>
              </w:rPr>
              <w:t>1.227635</w:t>
            </w:r>
          </w:p>
        </w:tc>
        <w:tc>
          <w:tcPr>
            <w:tcW w:type="dxa" w:w="1663"/>
          </w:tcPr>
          <w:p>
            <w:r>
              <w:rPr>
                <w:sz w:val="16"/>
              </w:rPr>
              <w:t>1.232684</w:t>
            </w:r>
          </w:p>
        </w:tc>
        <w:tc>
          <w:tcPr>
            <w:tcW w:type="dxa" w:w="1663"/>
          </w:tcPr>
          <w:p>
            <w:r>
              <w:rPr>
                <w:sz w:val="16"/>
              </w:rPr>
              <w:t>1.662148</w:t>
            </w:r>
          </w:p>
        </w:tc>
      </w:tr>
      <w:tr>
        <w:tc>
          <w:tcPr>
            <w:tcW w:type="dxa" w:w="1663"/>
          </w:tcPr>
          <w:p>
            <w:r>
              <w:rPr>
                <w:sz w:val="16"/>
              </w:rPr>
              <w:t>4</w:t>
            </w:r>
          </w:p>
        </w:tc>
        <w:tc>
          <w:tcPr>
            <w:tcW w:type="dxa" w:w="1663"/>
          </w:tcPr>
          <w:p>
            <w:r>
              <w:rPr>
                <w:sz w:val="16"/>
              </w:rPr>
              <w:t>1.200435</w:t>
            </w:r>
          </w:p>
        </w:tc>
        <w:tc>
          <w:tcPr>
            <w:tcW w:type="dxa" w:w="1663"/>
          </w:tcPr>
          <w:p>
            <w:r>
              <w:rPr>
                <w:sz w:val="16"/>
              </w:rPr>
              <w:t>1.224963</w:t>
            </w:r>
          </w:p>
        </w:tc>
        <w:tc>
          <w:tcPr>
            <w:tcW w:type="dxa" w:w="1663"/>
          </w:tcPr>
          <w:p>
            <w:r>
              <w:rPr>
                <w:sz w:val="16"/>
              </w:rPr>
              <w:t>1.223392</w:t>
            </w:r>
          </w:p>
        </w:tc>
        <w:tc>
          <w:tcPr>
            <w:tcW w:type="dxa" w:w="1663"/>
          </w:tcPr>
          <w:p>
            <w:r>
              <w:rPr>
                <w:sz w:val="16"/>
              </w:rPr>
              <w:t>1.228863</w:t>
            </w:r>
          </w:p>
        </w:tc>
        <w:tc>
          <w:tcPr>
            <w:tcW w:type="dxa" w:w="1663"/>
          </w:tcPr>
          <w:p>
            <w:r>
              <w:rPr>
                <w:sz w:val="16"/>
              </w:rPr>
              <w:t>1.666039</w:t>
            </w:r>
          </w:p>
        </w:tc>
      </w:tr>
      <w:tr>
        <w:tc>
          <w:tcPr>
            <w:tcW w:type="dxa" w:w="1663"/>
          </w:tcPr>
          <w:p>
            <w:r>
              <w:rPr>
                <w:sz w:val="16"/>
              </w:rPr>
              <w:t>6</w:t>
            </w:r>
          </w:p>
        </w:tc>
        <w:tc>
          <w:tcPr>
            <w:tcW w:type="dxa" w:w="1663"/>
          </w:tcPr>
          <w:p>
            <w:r>
              <w:rPr>
                <w:sz w:val="16"/>
              </w:rPr>
              <w:t>1.201327</w:t>
            </w:r>
          </w:p>
        </w:tc>
        <w:tc>
          <w:tcPr>
            <w:tcW w:type="dxa" w:w="1663"/>
          </w:tcPr>
          <w:p>
            <w:r>
              <w:rPr>
                <w:sz w:val="16"/>
              </w:rPr>
              <w:t>1.225415</w:t>
            </w:r>
          </w:p>
        </w:tc>
        <w:tc>
          <w:tcPr>
            <w:tcW w:type="dxa" w:w="1663"/>
          </w:tcPr>
          <w:p>
            <w:r>
              <w:rPr>
                <w:sz w:val="16"/>
              </w:rPr>
              <w:t>1.220328</w:t>
            </w:r>
          </w:p>
        </w:tc>
        <w:tc>
          <w:tcPr>
            <w:tcW w:type="dxa" w:w="1663"/>
          </w:tcPr>
          <w:p>
            <w:r>
              <w:rPr>
                <w:sz w:val="16"/>
              </w:rPr>
              <w:t>1.226393</w:t>
            </w:r>
          </w:p>
        </w:tc>
        <w:tc>
          <w:tcPr>
            <w:tcW w:type="dxa" w:w="1663"/>
          </w:tcPr>
          <w:p>
            <w:r>
              <w:rPr>
                <w:sz w:val="16"/>
              </w:rPr>
              <w:t>1.671128</w:t>
            </w:r>
          </w:p>
        </w:tc>
      </w:tr>
      <w:tr>
        <w:tc>
          <w:tcPr>
            <w:tcW w:type="dxa" w:w="1663"/>
          </w:tcPr>
          <w:p>
            <w:r>
              <w:rPr>
                <w:sz w:val="16"/>
              </w:rPr>
              <w:t>8</w:t>
            </w:r>
          </w:p>
        </w:tc>
        <w:tc>
          <w:tcPr>
            <w:tcW w:type="dxa" w:w="1663"/>
          </w:tcPr>
          <w:p>
            <w:r>
              <w:rPr>
                <w:sz w:val="16"/>
              </w:rPr>
              <w:t>1.203177</w:t>
            </w:r>
          </w:p>
        </w:tc>
        <w:tc>
          <w:tcPr>
            <w:tcW w:type="dxa" w:w="1663"/>
          </w:tcPr>
          <w:p>
            <w:r>
              <w:rPr>
                <w:sz w:val="16"/>
              </w:rPr>
              <w:t>1.229043</w:t>
            </w:r>
          </w:p>
        </w:tc>
        <w:tc>
          <w:tcPr>
            <w:tcW w:type="dxa" w:w="1663"/>
          </w:tcPr>
          <w:p>
            <w:r>
              <w:rPr>
                <w:sz w:val="16"/>
              </w:rPr>
              <w:t>1.218958</w:t>
            </w:r>
          </w:p>
        </w:tc>
        <w:tc>
          <w:tcPr>
            <w:tcW w:type="dxa" w:w="1663"/>
          </w:tcPr>
          <w:p>
            <w:r>
              <w:rPr>
                <w:sz w:val="16"/>
              </w:rPr>
              <w:t>1.222584</w:t>
            </w:r>
          </w:p>
        </w:tc>
        <w:tc>
          <w:tcPr>
            <w:tcW w:type="dxa" w:w="1663"/>
          </w:tcPr>
          <w:p>
            <w:r>
              <w:rPr>
                <w:sz w:val="16"/>
              </w:rPr>
              <w:t>1.676960</w:t>
            </w:r>
          </w:p>
        </w:tc>
      </w:tr>
      <w:tr>
        <w:tc>
          <w:tcPr>
            <w:tcW w:type="dxa" w:w="1663"/>
          </w:tcPr>
          <w:p>
            <w:r>
              <w:rPr>
                <w:sz w:val="16"/>
              </w:rPr>
              <w:t>10</w:t>
            </w:r>
          </w:p>
        </w:tc>
        <w:tc>
          <w:tcPr>
            <w:tcW w:type="dxa" w:w="1663"/>
          </w:tcPr>
          <w:p>
            <w:r>
              <w:rPr>
                <w:sz w:val="16"/>
              </w:rPr>
              <w:t>1.208118</w:t>
            </w:r>
          </w:p>
        </w:tc>
        <w:tc>
          <w:tcPr>
            <w:tcW w:type="dxa" w:w="1663"/>
          </w:tcPr>
          <w:p>
            <w:r>
              <w:rPr>
                <w:sz w:val="16"/>
              </w:rPr>
              <w:t>1.231653</w:t>
            </w:r>
          </w:p>
        </w:tc>
        <w:tc>
          <w:tcPr>
            <w:tcW w:type="dxa" w:w="1663"/>
          </w:tcPr>
          <w:p>
            <w:r>
              <w:rPr>
                <w:sz w:val="16"/>
              </w:rPr>
              <w:t>1.296794</w:t>
            </w:r>
          </w:p>
        </w:tc>
        <w:tc>
          <w:tcPr>
            <w:tcW w:type="dxa" w:w="1663"/>
          </w:tcPr>
          <w:p>
            <w:r>
              <w:rPr>
                <w:sz w:val="16"/>
              </w:rPr>
              <w:t>1.313368</w:t>
            </w:r>
          </w:p>
        </w:tc>
        <w:tc>
          <w:tcPr>
            <w:tcW w:type="dxa" w:w="1663"/>
          </w:tcPr>
          <w:p>
            <w:r>
              <w:rPr>
                <w:sz w:val="16"/>
              </w:rPr>
              <w:t>1.682517</w:t>
            </w:r>
          </w:p>
        </w:tc>
      </w:tr>
    </w:tbl>
    <w:p>
      <w:pPr>
        <w:pStyle w:val="BodyText"/>
      </w:pPr>
      <w:r>
        <w:rPr/>
        <w:t>Protocol and integrity. The archived 0 ms ±15% baseline reproduced the locked CRI values with a maximum absolute error of 4.22 × 10⁻15 and reproduced the 69.40% non-unique-preference prevalence exactly. The delay-capable simulator reproduced six zero-delay sentinel scenarios across all five controllers with a maximum metric difference of 8.44 × 10⁻15. The five nonzero delays generated 50,000 new closed-loop simulations; all completed without MATLAB runtime exceptions. Delay was applied after the fixed controller command and before physical voltage saturation, with zero command prehistory and no retuning or delay compensation.</w:t>
      </w:r>
    </w:p>
    <w:p>
      <w:pPr>
        <w:pStyle w:val="BodyText"/>
      </w:pPr>
      <w:r>
        <w:rPr/>
        <w:t>Interpretation. All five controllers remained successful in every tested scenario through 10 ms, so the full 2,000-block paired set was available at every delay. PID remained the minimum-CRI controller and LQR remained fifth, but the SMC-family ordering changed at 4–8 ms. The no-unique-preference fraction increased from 69.40% at 0 ms to 74.45% at 8 ms before decreasing to 72.00% at 10 ms. At 10 ms, the SMC gap from PID remained 1.95%, whereas the Fuzzy-SMC and ANFIS-SMC gaps increased to 7.34% and 8.71%. The tested range is a prescribed command-delay sensitivity envelope and must not be interpreted as an experimentally identified hardware-delay limit.</w:t>
      </w:r>
    </w:p>
    <w:p>
      <w:pPr>
        <w:jc w:val="center"/>
      </w:pPr>
      <w:r>
        <w:drawing>
          <wp:inline xmlns:a="http://schemas.openxmlformats.org/drawingml/2006/main" xmlns:pic="http://schemas.openxmlformats.org/drawingml/2006/picture">
            <wp:extent cx="6126480" cy="2190079"/>
            <wp:docPr id="3" name="Picture 3"/>
            <wp:cNvGraphicFramePr>
              <a:graphicFrameLocks noChangeAspect="1"/>
            </wp:cNvGraphicFramePr>
            <a:graphic>
              <a:graphicData uri="http://schemas.openxmlformats.org/drawingml/2006/picture">
                <pic:pic>
                  <pic:nvPicPr>
                    <pic:cNvPr id="0" name="Fig_S15_Command_Delay_Sensitivity_1200dpi.png"/>
                    <pic:cNvPicPr/>
                  </pic:nvPicPr>
                  <pic:blipFill>
                    <a:blip r:embed="rId12"/>
                    <a:stretch>
                      <a:fillRect/>
                    </a:stretch>
                  </pic:blipFill>
                  <pic:spPr>
                    <a:xfrm>
                      <a:off x="0" y="0"/>
                      <a:ext cx="6126480" cy="2190079"/>
                    </a:xfrm>
                    <a:prstGeom prst="rect"/>
                  </pic:spPr>
                </pic:pic>
              </a:graphicData>
            </a:graphic>
          </wp:inline>
        </w:drawing>
      </w:r>
    </w:p>
    <w:p>
      <w:pPr>
        <w:pStyle w:val="BodyText"/>
      </w:pPr>
      <w:r>
        <w:rPr/>
        <w:t>Supplementary Figure S15. Command-delay sensitivity in the pooled ±15% scenario domain. (a) Successful-regulation rate for each fixed controller. (b) Aggregate CRI percentage gaps from the minimum; the dashed line marks the 5% practical margin. (c) Fraction of scenario blocks in which all five controllers were successful and fraction without a unique 5% practical preference. The delay is a prescribed sampled-data command delay, not a measured hardware latency.</w:t>
      </w:r>
    </w:p>
    <w:p>
      <w:pPr>
        <w:pStyle w:val="BodyText"/>
      </w:pPr>
      <w:r>
        <w:rPr/>
        <w:t>Supplementary Table S16. Dependence/tail-form sensitivity of the joint probabilistic decision analysis.</w:t>
      </w:r>
    </w:p>
    <w:tbl>
      <w:tblPr>
        <w:tblStyle w:val="TableGrid"/>
        <w:tblW w:type="auto" w:w="0"/>
        <w:tblLayout w:type="autofit"/>
        <w:tblLook w:firstColumn="1" w:firstRow="1" w:lastColumn="0" w:lastRow="0" w:noHBand="0" w:noVBand="1" w:val="04A0"/>
      </w:tblPr>
      <w:tblGrid>
        <w:gridCol w:w="1425"/>
        <w:gridCol w:w="1425"/>
        <w:gridCol w:w="1425"/>
        <w:gridCol w:w="1425"/>
        <w:gridCol w:w="1425"/>
        <w:gridCol w:w="1425"/>
        <w:gridCol w:w="1425"/>
      </w:tblGrid>
      <w:tr>
        <w:tc>
          <w:tcPr>
            <w:tcW w:type="dxa" w:w="1425"/>
          </w:tcPr>
          <w:p>
            <w:r/>
            <w:r>
              <w:rPr>
                <w:b/>
                <w:sz w:val="15"/>
              </w:rPr>
              <w:t>Dependence model</w:t>
            </w:r>
          </w:p>
        </w:tc>
        <w:tc>
          <w:tcPr>
            <w:tcW w:type="dxa" w:w="1425"/>
          </w:tcPr>
          <w:p>
            <w:r/>
            <w:r>
              <w:rPr>
                <w:b/>
                <w:sz w:val="15"/>
              </w:rPr>
              <w:t>Mean P(no unique)</w:t>
            </w:r>
          </w:p>
        </w:tc>
        <w:tc>
          <w:tcPr>
            <w:tcW w:type="dxa" w:w="1425"/>
          </w:tcPr>
          <w:p>
            <w:r/>
            <w:r>
              <w:rPr>
                <w:b/>
                <w:sz w:val="15"/>
              </w:rPr>
              <w:t>Mean |ΔP(no unique)| vs Gaussian</w:t>
            </w:r>
          </w:p>
        </w:tc>
        <w:tc>
          <w:tcPr>
            <w:tcW w:type="dxa" w:w="1425"/>
          </w:tcPr>
          <w:p>
            <w:r/>
            <w:r>
              <w:rPr>
                <w:b/>
                <w:sz w:val="15"/>
              </w:rPr>
              <w:t>Max |ΔP(no unique)| vs Gaussian</w:t>
            </w:r>
          </w:p>
        </w:tc>
        <w:tc>
          <w:tcPr>
            <w:tcW w:type="dxa" w:w="1425"/>
          </w:tcPr>
          <w:p>
            <w:r/>
            <w:r>
              <w:rPr>
                <w:b/>
                <w:sz w:val="15"/>
              </w:rPr>
              <w:t>Six-event MAP disagreement</w:t>
            </w:r>
          </w:p>
        </w:tc>
        <w:tc>
          <w:tcPr>
            <w:tcW w:type="dxa" w:w="1425"/>
          </w:tcPr>
          <w:p>
            <w:r/>
            <w:r>
              <w:rPr>
                <w:b/>
                <w:sz w:val="15"/>
              </w:rPr>
              <w:t>Selective-decision disagreement</w:t>
            </w:r>
          </w:p>
        </w:tc>
        <w:tc>
          <w:tcPr>
            <w:tcW w:type="dxa" w:w="1425"/>
          </w:tcPr>
          <w:p>
            <w:r/>
            <w:r>
              <w:rPr>
                <w:b/>
                <w:sz w:val="15"/>
              </w:rPr>
              <w:t>Mean L1 six-event change</w:t>
            </w:r>
          </w:p>
        </w:tc>
      </w:tr>
      <w:tr>
        <w:tc>
          <w:tcPr>
            <w:tcW w:type="dxa" w:w="1425"/>
          </w:tcPr>
          <w:p>
            <w:r/>
            <w:r>
              <w:rPr>
                <w:b w:val="0"/>
                <w:sz w:val="15"/>
              </w:rPr>
              <w:t>Gaussian (locked)</w:t>
            </w:r>
          </w:p>
        </w:tc>
        <w:tc>
          <w:tcPr>
            <w:tcW w:type="dxa" w:w="1425"/>
          </w:tcPr>
          <w:p>
            <w:r/>
            <w:r>
              <w:rPr>
                <w:b w:val="0"/>
                <w:sz w:val="15"/>
              </w:rPr>
              <w:t>0.700419</w:t>
            </w:r>
          </w:p>
        </w:tc>
        <w:tc>
          <w:tcPr>
            <w:tcW w:type="dxa" w:w="1425"/>
          </w:tcPr>
          <w:p>
            <w:r/>
            <w:r>
              <w:rPr>
                <w:b w:val="0"/>
                <w:sz w:val="15"/>
              </w:rPr>
              <w:t>0</w:t>
            </w:r>
          </w:p>
        </w:tc>
        <w:tc>
          <w:tcPr>
            <w:tcW w:type="dxa" w:w="1425"/>
          </w:tcPr>
          <w:p>
            <w:r/>
            <w:r>
              <w:rPr>
                <w:b w:val="0"/>
                <w:sz w:val="15"/>
              </w:rPr>
              <w:t>0</w:t>
            </w:r>
          </w:p>
        </w:tc>
        <w:tc>
          <w:tcPr>
            <w:tcW w:type="dxa" w:w="1425"/>
          </w:tcPr>
          <w:p>
            <w:r/>
            <w:r>
              <w:rPr>
                <w:b w:val="0"/>
                <w:sz w:val="15"/>
              </w:rPr>
              <w:t>0%</w:t>
            </w:r>
          </w:p>
        </w:tc>
        <w:tc>
          <w:tcPr>
            <w:tcW w:type="dxa" w:w="1425"/>
          </w:tcPr>
          <w:p>
            <w:r/>
            <w:r>
              <w:rPr>
                <w:b w:val="0"/>
                <w:sz w:val="15"/>
              </w:rPr>
              <w:t>0%</w:t>
            </w:r>
          </w:p>
        </w:tc>
        <w:tc>
          <w:tcPr>
            <w:tcW w:type="dxa" w:w="1425"/>
          </w:tcPr>
          <w:p>
            <w:r/>
            <w:r>
              <w:rPr>
                <w:b w:val="0"/>
                <w:sz w:val="15"/>
              </w:rPr>
              <w:t>0</w:t>
            </w:r>
          </w:p>
        </w:tc>
      </w:tr>
      <w:tr>
        <w:tc>
          <w:tcPr>
            <w:tcW w:type="dxa" w:w="1425"/>
          </w:tcPr>
          <w:p>
            <w:r/>
            <w:r>
              <w:rPr>
                <w:b w:val="0"/>
                <w:sz w:val="15"/>
              </w:rPr>
              <w:t>t-copula ν=8</w:t>
            </w:r>
          </w:p>
        </w:tc>
        <w:tc>
          <w:tcPr>
            <w:tcW w:type="dxa" w:w="1425"/>
          </w:tcPr>
          <w:p>
            <w:r/>
            <w:r>
              <w:rPr>
                <w:b w:val="0"/>
                <w:sz w:val="15"/>
              </w:rPr>
              <w:t>0.700486</w:t>
            </w:r>
          </w:p>
        </w:tc>
        <w:tc>
          <w:tcPr>
            <w:tcW w:type="dxa" w:w="1425"/>
          </w:tcPr>
          <w:p>
            <w:r/>
            <w:r>
              <w:rPr>
                <w:b w:val="0"/>
                <w:sz w:val="15"/>
              </w:rPr>
              <w:t>0.003052</w:t>
            </w:r>
          </w:p>
        </w:tc>
        <w:tc>
          <w:tcPr>
            <w:tcW w:type="dxa" w:w="1425"/>
          </w:tcPr>
          <w:p>
            <w:r/>
            <w:r>
              <w:rPr>
                <w:b w:val="0"/>
                <w:sz w:val="15"/>
              </w:rPr>
              <w:t>0.02220</w:t>
            </w:r>
          </w:p>
        </w:tc>
        <w:tc>
          <w:tcPr>
            <w:tcW w:type="dxa" w:w="1425"/>
          </w:tcPr>
          <w:p>
            <w:r/>
            <w:r>
              <w:rPr>
                <w:b w:val="0"/>
                <w:sz w:val="15"/>
              </w:rPr>
              <w:t>0.05%</w:t>
            </w:r>
          </w:p>
        </w:tc>
        <w:tc>
          <w:tcPr>
            <w:tcW w:type="dxa" w:w="1425"/>
          </w:tcPr>
          <w:p>
            <w:r/>
            <w:r>
              <w:rPr>
                <w:b w:val="0"/>
                <w:sz w:val="15"/>
              </w:rPr>
              <w:t>0.05%</w:t>
            </w:r>
          </w:p>
        </w:tc>
        <w:tc>
          <w:tcPr>
            <w:tcW w:type="dxa" w:w="1425"/>
          </w:tcPr>
          <w:p>
            <w:r/>
            <w:r>
              <w:rPr>
                <w:b w:val="0"/>
                <w:sz w:val="15"/>
              </w:rPr>
              <w:t>0.006112</w:t>
            </w:r>
          </w:p>
        </w:tc>
      </w:tr>
      <w:tr>
        <w:tc>
          <w:tcPr>
            <w:tcW w:type="dxa" w:w="1425"/>
          </w:tcPr>
          <w:p>
            <w:r/>
            <w:r>
              <w:rPr>
                <w:b w:val="0"/>
                <w:sz w:val="15"/>
              </w:rPr>
              <w:t>t-copula ν=4</w:t>
            </w:r>
          </w:p>
        </w:tc>
        <w:tc>
          <w:tcPr>
            <w:tcW w:type="dxa" w:w="1425"/>
          </w:tcPr>
          <w:p>
            <w:r/>
            <w:r>
              <w:rPr>
                <w:b w:val="0"/>
                <w:sz w:val="15"/>
              </w:rPr>
              <w:t>0.700549</w:t>
            </w:r>
          </w:p>
        </w:tc>
        <w:tc>
          <w:tcPr>
            <w:tcW w:type="dxa" w:w="1425"/>
          </w:tcPr>
          <w:p>
            <w:r/>
            <w:r>
              <w:rPr>
                <w:b w:val="0"/>
                <w:sz w:val="15"/>
              </w:rPr>
              <w:t>0.005999</w:t>
            </w:r>
          </w:p>
        </w:tc>
        <w:tc>
          <w:tcPr>
            <w:tcW w:type="dxa" w:w="1425"/>
          </w:tcPr>
          <w:p>
            <w:r/>
            <w:r>
              <w:rPr>
                <w:b w:val="0"/>
                <w:sz w:val="15"/>
              </w:rPr>
              <w:t>0.04475</w:t>
            </w:r>
          </w:p>
        </w:tc>
        <w:tc>
          <w:tcPr>
            <w:tcW w:type="dxa" w:w="1425"/>
          </w:tcPr>
          <w:p>
            <w:r/>
            <w:r>
              <w:rPr>
                <w:b w:val="0"/>
                <w:sz w:val="15"/>
              </w:rPr>
              <w:t>0.10%</w:t>
            </w:r>
          </w:p>
        </w:tc>
        <w:tc>
          <w:tcPr>
            <w:tcW w:type="dxa" w:w="1425"/>
          </w:tcPr>
          <w:p>
            <w:r/>
            <w:r>
              <w:rPr>
                <w:b w:val="0"/>
                <w:sz w:val="15"/>
              </w:rPr>
              <w:t>0.10%</w:t>
            </w:r>
          </w:p>
        </w:tc>
        <w:tc>
          <w:tcPr>
            <w:tcW w:type="dxa" w:w="1425"/>
          </w:tcPr>
          <w:p>
            <w:r/>
            <w:r>
              <w:rPr>
                <w:b w:val="0"/>
                <w:sz w:val="15"/>
              </w:rPr>
              <w:t>0.012038</w:t>
            </w:r>
          </w:p>
        </w:tc>
      </w:tr>
      <w:tr>
        <w:tc>
          <w:tcPr>
            <w:tcW w:type="dxa" w:w="1425"/>
          </w:tcPr>
          <w:p>
            <w:r/>
            <w:r>
              <w:rPr>
                <w:b w:val="0"/>
                <w:sz w:val="15"/>
              </w:rPr>
              <w:t>Independent Gaussian</w:t>
            </w:r>
          </w:p>
        </w:tc>
        <w:tc>
          <w:tcPr>
            <w:tcW w:type="dxa" w:w="1425"/>
          </w:tcPr>
          <w:p>
            <w:r/>
            <w:r>
              <w:rPr>
                <w:b w:val="0"/>
                <w:sz w:val="15"/>
              </w:rPr>
              <w:t>0.687589</w:t>
            </w:r>
          </w:p>
        </w:tc>
        <w:tc>
          <w:tcPr>
            <w:tcW w:type="dxa" w:w="1425"/>
          </w:tcPr>
          <w:p>
            <w:r/>
            <w:r>
              <w:rPr>
                <w:b w:val="0"/>
                <w:sz w:val="15"/>
              </w:rPr>
              <w:t>0.112250</w:t>
            </w:r>
          </w:p>
        </w:tc>
        <w:tc>
          <w:tcPr>
            <w:tcW w:type="dxa" w:w="1425"/>
          </w:tcPr>
          <w:p>
            <w:r/>
            <w:r>
              <w:rPr>
                <w:b w:val="0"/>
                <w:sz w:val="15"/>
              </w:rPr>
              <w:t>0.42815</w:t>
            </w:r>
          </w:p>
        </w:tc>
        <w:tc>
          <w:tcPr>
            <w:tcW w:type="dxa" w:w="1425"/>
          </w:tcPr>
          <w:p>
            <w:r/>
            <w:r>
              <w:rPr>
                <w:b w:val="0"/>
                <w:sz w:val="15"/>
              </w:rPr>
              <w:t>3.30%</w:t>
            </w:r>
          </w:p>
        </w:tc>
        <w:tc>
          <w:tcPr>
            <w:tcW w:type="dxa" w:w="1425"/>
          </w:tcPr>
          <w:p>
            <w:r/>
            <w:r>
              <w:rPr>
                <w:b w:val="0"/>
                <w:sz w:val="15"/>
              </w:rPr>
              <w:t>3.30%</w:t>
            </w:r>
          </w:p>
        </w:tc>
        <w:tc>
          <w:tcPr>
            <w:tcW w:type="dxa" w:w="1425"/>
          </w:tcPr>
          <w:p>
            <w:r/>
            <w:r>
              <w:rPr>
                <w:b w:val="0"/>
                <w:sz w:val="15"/>
              </w:rPr>
              <w:t>0.225095</w:t>
            </w:r>
          </w:p>
        </w:tc>
      </w:tr>
    </w:tbl>
    <w:p>
      <w:r>
        <w:rPr>
          <w:b/>
        </w:rPr>
        <w:t xml:space="preserve">Protocol and integrity. </w:t>
      </w:r>
      <w:r>
        <w:rPr/>
        <w:t>The sensitivity reused the 2,000 pooled ±15% OOF scenarios, the locked 5% practical margin, 20,000 draws per scenario, the original marginal GPR means/standard deviations, and the training-only fold-specific residual correlation matrices. No GPR was refitted and no plant/controller simulation was rerun. Student-t copulas with ν = 8 and ν = 4 were imposed as heavier-tail stress tests, with Gaussian marginals restored by probability-integral transformation. They were not fitted residual laws and do not test arbitrary nonlinear or scenario-dependent dependence. All integrity gates passed: five outer folds were recovered; all predictive marginals were finite; each fold-specific correlation matrix was positive definite (minimum eigenvalue 2.452 × 10⁻2); the archived independence-sensitivity fingerprint was reproduced with maximum absolute error 1.11 × 10⁻16; and locked Gaussian probabilities were reproduced exactly on the sentinel scenarios.</w:t>
      </w:r>
    </w:p>
    <w:p>
      <w:r>
        <w:rPr>
          <w:b/>
        </w:rPr>
        <w:t xml:space="preserve">Interpretation. </w:t>
      </w:r>
      <w:r>
        <w:rPr/>
        <w:t>The locked Gaussian mean P(no unique) was 0.700419. The ν = 8 and ν = 4 t-copula sensitivities gave 0.700486 and 0.700549, with mean absolute probability changes of 0.003052 and 0.005999 and maxima of 0.02220 and 0.04475. Six-event MAP and selective-decision disagreement were only 0.05% and 0.10%. Selection coverage was 29.15% for the locked Gaussian model, 29.20% for ν = 8 and 29.25% for ν = 4; the selected controller was the exact simulated minimum in every selected block for all three dependence-aware representations. In contrast, the independent-Gaussian calculation produced a mean absolute P(no unique) change of 0.112250, a maximum change of 0.42815, 3.30% decision disagreement, and 25.85% selection coverage. The tested result is therefore far more sensitive to eliminating cross-controller dependence than to the two imposed heavier-tail forms, while broader nonlinear or scenario-dependent dependence remains untested.</w:t>
      </w:r>
    </w:p>
    <w:p>
      <w:pPr>
        <w:jc w:val="center"/>
      </w:pPr>
      <w:r>
        <w:drawing>
          <wp:inline xmlns:a="http://schemas.openxmlformats.org/drawingml/2006/main" xmlns:pic="http://schemas.openxmlformats.org/drawingml/2006/picture">
            <wp:extent cx="6400800" cy="2096154"/>
            <wp:docPr id="4" name="Picture 4"/>
            <wp:cNvGraphicFramePr>
              <a:graphicFrameLocks noChangeAspect="1"/>
            </wp:cNvGraphicFramePr>
            <a:graphic>
              <a:graphicData uri="http://schemas.openxmlformats.org/drawingml/2006/picture">
                <pic:pic>
                  <pic:nvPicPr>
                    <pic:cNvPr id="0" name="Fig_S16_Dependence_Tail_Sensitivity_1200dpi.png"/>
                    <pic:cNvPicPr/>
                  </pic:nvPicPr>
                  <pic:blipFill>
                    <a:blip r:embed="rId13"/>
                    <a:stretch>
                      <a:fillRect/>
                    </a:stretch>
                  </pic:blipFill>
                  <pic:spPr>
                    <a:xfrm>
                      <a:off x="0" y="0"/>
                      <a:ext cx="6400800" cy="2096154"/>
                    </a:xfrm>
                    <a:prstGeom prst="rect"/>
                  </pic:spPr>
                </pic:pic>
              </a:graphicData>
            </a:graphic>
          </wp:inline>
        </w:drawing>
      </w:r>
    </w:p>
    <w:p>
      <w:r>
        <w:rPr/>
        <w:t>Supplementary Figure S16. Dependence/tail-form sensitivity of the joint probability calculation. (a) Mean predicted probability of no unique practical preference under the locked Gaussian model, two heavier-tail Student-t copulas, and independence; the dashed line marks the true 69.40% simulated prevalence. (b) Mean absolute change in P(no unique) and in the six-event probability vector relative to the locked Gaussian calculation. (c) Six-event MAP and selective-decision disagreement relative to the locked Gaussian calculation. The Student-t copulas preserve the marginal Gaussian GPR predictions and use the locked fold-specific correlation matrices; they are imposed sensitivity models rather than fitted residual laws.</w:t>
      </w:r>
    </w:p>
    <w:p>
      <w:r>
        <w:rPr/>
        <w:t>Supplementary Table S17. Principal random seeds and reproducibility streams used in the computational workflow.</w:t>
      </w:r>
    </w:p>
    <w:tbl>
      <w:tblPr>
        <w:tblStyle w:val="TableGrid"/>
        <w:tblW w:type="auto" w:w="0"/>
        <w:tblLook w:firstColumn="1" w:firstRow="1" w:lastColumn="0" w:lastRow="0" w:noHBand="0" w:noVBand="1" w:val="04A0"/>
      </w:tblPr>
      <w:tblGrid>
        <w:gridCol w:w="3326"/>
        <w:gridCol w:w="3326"/>
        <w:gridCol w:w="3326"/>
      </w:tblGrid>
      <w:tr>
        <w:tc>
          <w:tcPr>
            <w:tcW w:type="dxa" w:w="3326"/>
          </w:tcPr>
          <w:p>
            <w:r>
              <w:rPr/>
            </w:r>
            <w:r>
              <w:rPr>
                <w:b/>
              </w:rPr>
              <w:t>Analysis component</w:t>
            </w:r>
          </w:p>
        </w:tc>
        <w:tc>
          <w:tcPr>
            <w:tcW w:type="dxa" w:w="3326"/>
          </w:tcPr>
          <w:p>
            <w:r>
              <w:rPr/>
            </w:r>
            <w:r>
              <w:rPr>
                <w:b/>
              </w:rPr>
              <w:t>Seed / stream definition</w:t>
            </w:r>
          </w:p>
        </w:tc>
        <w:tc>
          <w:tcPr>
            <w:tcW w:type="dxa" w:w="3326"/>
          </w:tcPr>
          <w:p>
            <w:r>
              <w:rPr/>
            </w:r>
            <w:r>
              <w:rPr>
                <w:b/>
              </w:rPr>
              <w:t>Use</w:t>
            </w:r>
          </w:p>
        </w:tc>
      </w:tr>
      <w:tr>
        <w:tc>
          <w:tcPr>
            <w:tcW w:type="dxa" w:w="3326"/>
          </w:tcPr>
          <w:p>
            <w:r>
              <w:rPr/>
            </w:r>
            <w:r>
              <w:rPr>
                <w:b w:val="0"/>
              </w:rPr>
              <w:t>Controller tuning</w:t>
            </w:r>
          </w:p>
        </w:tc>
        <w:tc>
          <w:tcPr>
            <w:tcW w:type="dxa" w:w="3326"/>
          </w:tcPr>
          <w:p>
            <w:r>
              <w:rPr/>
            </w:r>
            <w:r>
              <w:rPr>
                <w:b w:val="0"/>
              </w:rPr>
              <w:t>Five independent pseudorandom seeds: 1–5</w:t>
            </w:r>
          </w:p>
        </w:tc>
        <w:tc>
          <w:tcPr>
            <w:tcW w:type="dxa" w:w="3326"/>
          </w:tcPr>
          <w:p>
            <w:r>
              <w:rPr/>
            </w:r>
            <w:r>
              <w:rPr>
                <w:b w:val="0"/>
              </w:rPr>
              <w:t>Common multi-seed nominal tuning and final parameter selection.</w:t>
            </w:r>
          </w:p>
        </w:tc>
      </w:tr>
      <w:tr>
        <w:tc>
          <w:tcPr>
            <w:tcW w:type="dxa" w:w="3326"/>
          </w:tcPr>
          <w:p>
            <w:r>
              <w:rPr/>
            </w:r>
            <w:r>
              <w:rPr>
                <w:b w:val="0"/>
              </w:rPr>
              <w:t>Primary LHS</w:t>
            </w:r>
          </w:p>
        </w:tc>
        <w:tc>
          <w:tcPr>
            <w:tcW w:type="dxa" w:w="3326"/>
          </w:tcPr>
          <w:p>
            <w:r>
              <w:rPr/>
            </w:r>
            <w:r>
              <w:rPr>
                <w:b w:val="0"/>
              </w:rPr>
              <w:t>42001</w:t>
            </w:r>
          </w:p>
        </w:tc>
        <w:tc>
          <w:tcPr>
            <w:tcW w:type="dxa" w:w="3326"/>
          </w:tcPr>
          <w:p>
            <w:r>
              <w:rPr/>
            </w:r>
            <w:r>
              <w:rPr>
                <w:b w:val="0"/>
              </w:rPr>
              <w:t>Nine-dimensional primary Latin-hypercube realization.</w:t>
            </w:r>
          </w:p>
        </w:tc>
      </w:tr>
      <w:tr>
        <w:tc>
          <w:tcPr>
            <w:tcW w:type="dxa" w:w="3326"/>
          </w:tcPr>
          <w:p>
            <w:r>
              <w:rPr/>
            </w:r>
            <w:r>
              <w:rPr>
                <w:b w:val="0"/>
              </w:rPr>
              <w:t>Primary measurement noise</w:t>
            </w:r>
          </w:p>
        </w:tc>
        <w:tc>
          <w:tcPr>
            <w:tcW w:type="dxa" w:w="3326"/>
          </w:tcPr>
          <w:p>
            <w:r>
              <w:rPr/>
            </w:r>
            <w:r>
              <w:rPr>
                <w:b w:val="0"/>
              </w:rPr>
              <w:t>240000 + ScenarioID (240001–241000)</w:t>
            </w:r>
          </w:p>
        </w:tc>
        <w:tc>
          <w:tcPr>
            <w:tcW w:type="dxa" w:w="3326"/>
          </w:tcPr>
          <w:p>
            <w:r>
              <w:rPr/>
            </w:r>
            <w:r>
              <w:rPr>
                <w:b w:val="0"/>
              </w:rPr>
              <w:t>Two-channel Gaussian angle-noise realization shared across controllers and bands within each primary scenario.</w:t>
            </w:r>
          </w:p>
        </w:tc>
      </w:tr>
      <w:tr>
        <w:tc>
          <w:tcPr>
            <w:tcW w:type="dxa" w:w="3326"/>
          </w:tcPr>
          <w:p>
            <w:r>
              <w:rPr/>
            </w:r>
            <w:r>
              <w:rPr>
                <w:b w:val="0"/>
              </w:rPr>
              <w:t>Replication LHS</w:t>
            </w:r>
          </w:p>
        </w:tc>
        <w:tc>
          <w:tcPr>
            <w:tcW w:type="dxa" w:w="3326"/>
          </w:tcPr>
          <w:p>
            <w:r>
              <w:rPr/>
            </w:r>
            <w:r>
              <w:rPr>
                <w:b w:val="0"/>
              </w:rPr>
              <w:t>52001</w:t>
            </w:r>
          </w:p>
        </w:tc>
        <w:tc>
          <w:tcPr>
            <w:tcW w:type="dxa" w:w="3326"/>
          </w:tcPr>
          <w:p>
            <w:r>
              <w:rPr/>
            </w:r>
            <w:r>
              <w:rPr>
                <w:b w:val="0"/>
              </w:rPr>
              <w:t>Independent nine-dimensional replication Latin-hypercube realization.</w:t>
            </w:r>
          </w:p>
        </w:tc>
      </w:tr>
      <w:tr>
        <w:tc>
          <w:tcPr>
            <w:tcW w:type="dxa" w:w="3326"/>
          </w:tcPr>
          <w:p>
            <w:r>
              <w:rPr/>
            </w:r>
            <w:r>
              <w:rPr>
                <w:b w:val="0"/>
              </w:rPr>
              <w:t>Replication measurement noise</w:t>
            </w:r>
          </w:p>
        </w:tc>
        <w:tc>
          <w:tcPr>
            <w:tcW w:type="dxa" w:w="3326"/>
          </w:tcPr>
          <w:p>
            <w:r>
              <w:rPr/>
            </w:r>
            <w:r>
              <w:rPr>
                <w:b w:val="0"/>
              </w:rPr>
              <w:t>340000 + ScenarioID (340001–341000)</w:t>
            </w:r>
          </w:p>
        </w:tc>
        <w:tc>
          <w:tcPr>
            <w:tcW w:type="dxa" w:w="3326"/>
          </w:tcPr>
          <w:p>
            <w:r>
              <w:rPr/>
            </w:r>
            <w:r>
              <w:rPr>
                <w:b w:val="0"/>
              </w:rPr>
              <w:t>Two-channel Gaussian angle-noise realization shared across controllers and bands within each replication scenario.</w:t>
            </w:r>
          </w:p>
        </w:tc>
      </w:tr>
      <w:tr>
        <w:tc>
          <w:tcPr>
            <w:tcW w:type="dxa" w:w="3326"/>
          </w:tcPr>
          <w:p>
            <w:r>
              <w:rPr/>
            </w:r>
            <w:r>
              <w:rPr>
                <w:b w:val="0"/>
              </w:rPr>
              <w:t>MC sample-convergence subset / bootstrap</w:t>
            </w:r>
          </w:p>
        </w:tc>
        <w:tc>
          <w:tcPr>
            <w:tcW w:type="dxa" w:w="3326"/>
          </w:tcPr>
          <w:p>
            <w:r>
              <w:rPr/>
            </w:r>
            <w:r>
              <w:rPr>
                <w:b w:val="0"/>
              </w:rPr>
              <w:t>73101 / 73102</w:t>
            </w:r>
          </w:p>
        </w:tc>
        <w:tc>
          <w:tcPr>
            <w:tcW w:type="dxa" w:w="3326"/>
          </w:tcPr>
          <w:p>
            <w:r>
              <w:rPr/>
            </w:r>
            <w:r>
              <w:rPr>
                <w:b w:val="0"/>
              </w:rPr>
              <w:t>Subset selection and bootstrap diagnostic in the Monte Carlo convergence audit.</w:t>
            </w:r>
          </w:p>
        </w:tc>
      </w:tr>
      <w:tr>
        <w:tc>
          <w:tcPr>
            <w:tcW w:type="dxa" w:w="3326"/>
          </w:tcPr>
          <w:p>
            <w:r>
              <w:rPr/>
            </w:r>
            <w:r>
              <w:rPr>
                <w:b w:val="0"/>
              </w:rPr>
              <w:t>Primary–replication comparison bootstrap</w:t>
            </w:r>
          </w:p>
        </w:tc>
        <w:tc>
          <w:tcPr>
            <w:tcW w:type="dxa" w:w="3326"/>
          </w:tcPr>
          <w:p>
            <w:r>
              <w:rPr/>
            </w:r>
            <w:r>
              <w:rPr>
                <w:b w:val="0"/>
              </w:rPr>
              <w:t>83103</w:t>
            </w:r>
          </w:p>
        </w:tc>
        <w:tc>
          <w:tcPr>
            <w:tcW w:type="dxa" w:w="3326"/>
          </w:tcPr>
          <w:p>
            <w:r>
              <w:rPr/>
            </w:r>
            <w:r>
              <w:rPr>
                <w:b w:val="0"/>
              </w:rPr>
              <w:t>Paired comparison/bootstrap diagnostic used when pooling the independent realizations.</w:t>
            </w:r>
          </w:p>
        </w:tc>
      </w:tr>
      <w:tr>
        <w:tc>
          <w:tcPr>
            <w:tcW w:type="dxa" w:w="3326"/>
          </w:tcPr>
          <w:p>
            <w:r>
              <w:rPr/>
            </w:r>
            <w:r>
              <w:rPr>
                <w:b w:val="0"/>
              </w:rPr>
              <w:t>CRI engineering-weight sensitivity</w:t>
            </w:r>
          </w:p>
        </w:tc>
        <w:tc>
          <w:tcPr>
            <w:tcW w:type="dxa" w:w="3326"/>
          </w:tcPr>
          <w:p>
            <w:r>
              <w:rPr/>
            </w:r>
            <w:r>
              <w:rPr>
                <w:b w:val="0"/>
              </w:rPr>
              <w:t>94101</w:t>
            </w:r>
          </w:p>
        </w:tc>
        <w:tc>
          <w:tcPr>
            <w:tcW w:type="dxa" w:w="3326"/>
          </w:tcPr>
          <w:p>
            <w:r>
              <w:rPr/>
            </w:r>
            <w:r>
              <w:rPr>
                <w:b w:val="0"/>
              </w:rPr>
              <w:t>Generation of the 5,000 priority-preserving and 5,000 unrestricted weight vectors.</w:t>
            </w:r>
          </w:p>
        </w:tc>
      </w:tr>
      <w:tr>
        <w:tc>
          <w:tcPr>
            <w:tcW w:type="dxa" w:w="3326"/>
          </w:tcPr>
          <w:p>
            <w:r>
              <w:rPr/>
            </w:r>
            <w:r>
              <w:rPr>
                <w:b w:val="0"/>
              </w:rPr>
              <w:t>CRI paired bootstrap</w:t>
            </w:r>
          </w:p>
        </w:tc>
        <w:tc>
          <w:tcPr>
            <w:tcW w:type="dxa" w:w="3326"/>
          </w:tcPr>
          <w:p>
            <w:r>
              <w:rPr/>
            </w:r>
            <w:r>
              <w:rPr>
                <w:b w:val="0"/>
              </w:rPr>
              <w:t>95103</w:t>
            </w:r>
          </w:p>
        </w:tc>
        <w:tc>
          <w:tcPr>
            <w:tcW w:type="dxa" w:w="3326"/>
          </w:tcPr>
          <w:p>
            <w:r>
              <w:rPr/>
            </w:r>
            <w:r>
              <w:rPr>
                <w:b w:val="0"/>
              </w:rPr>
              <w:t>2,000 paired scenario-block bootstrap replicates.</w:t>
            </w:r>
          </w:p>
        </w:tc>
      </w:tr>
      <w:tr>
        <w:tc>
          <w:tcPr>
            <w:tcW w:type="dxa" w:w="3326"/>
          </w:tcPr>
          <w:p>
            <w:r>
              <w:rPr/>
            </w:r>
            <w:r>
              <w:rPr>
                <w:b w:val="0"/>
              </w:rPr>
              <w:t>GPR model fitting</w:t>
            </w:r>
          </w:p>
        </w:tc>
        <w:tc>
          <w:tcPr>
            <w:tcW w:type="dxa" w:w="3326"/>
          </w:tcPr>
          <w:p>
            <w:r>
              <w:rPr/>
            </w:r>
            <w:r>
              <w:rPr>
                <w:b w:val="0"/>
              </w:rPr>
              <w:t>105101 + 100×outer-fold + controller index</w:t>
            </w:r>
          </w:p>
        </w:tc>
        <w:tc>
          <w:tcPr>
            <w:tcW w:type="dxa" w:w="3326"/>
          </w:tcPr>
          <w:p>
            <w:r>
              <w:rPr/>
            </w:r>
            <w:r>
              <w:rPr>
                <w:b w:val="0"/>
              </w:rPr>
              <w:t>Deterministic initialization of controller-specific GPR fits within the locked outer folds.</w:t>
            </w:r>
          </w:p>
        </w:tc>
      </w:tr>
      <w:tr>
        <w:tc>
          <w:tcPr>
            <w:tcW w:type="dxa" w:w="3326"/>
          </w:tcPr>
          <w:p>
            <w:r>
              <w:rPr/>
            </w:r>
            <w:r>
              <w:rPr>
                <w:b w:val="0"/>
              </w:rPr>
              <w:t>Joint dependence inner folds</w:t>
            </w:r>
          </w:p>
        </w:tc>
        <w:tc>
          <w:tcPr>
            <w:tcW w:type="dxa" w:w="3326"/>
          </w:tcPr>
          <w:p>
            <w:r>
              <w:rPr/>
            </w:r>
            <w:r>
              <w:rPr>
                <w:b w:val="0"/>
              </w:rPr>
              <w:t>106101 + outer-fold</w:t>
            </w:r>
          </w:p>
        </w:tc>
        <w:tc>
          <w:tcPr>
            <w:tcW w:type="dxa" w:w="3326"/>
          </w:tcPr>
          <w:p>
            <w:r>
              <w:rPr/>
            </w:r>
            <w:r>
              <w:rPr>
                <w:b w:val="0"/>
              </w:rPr>
              <w:t>Source-balanced inner folds used to estimate training-only residual dependence.</w:t>
            </w:r>
          </w:p>
        </w:tc>
      </w:tr>
      <w:tr>
        <w:tc>
          <w:tcPr>
            <w:tcW w:type="dxa" w:w="3326"/>
          </w:tcPr>
          <w:p>
            <w:r>
              <w:rPr/>
            </w:r>
            <w:r>
              <w:rPr>
                <w:b w:val="0"/>
              </w:rPr>
              <w:t>Joint Gaussian integration</w:t>
            </w:r>
          </w:p>
        </w:tc>
        <w:tc>
          <w:tcPr>
            <w:tcW w:type="dxa" w:w="3326"/>
          </w:tcPr>
          <w:p>
            <w:r>
              <w:rPr/>
            </w:r>
            <w:r>
              <w:rPr>
                <w:b w:val="0"/>
              </w:rPr>
              <w:t>106201 + ScenarioID</w:t>
            </w:r>
          </w:p>
        </w:tc>
        <w:tc>
          <w:tcPr>
            <w:tcW w:type="dxa" w:w="3326"/>
          </w:tcPr>
          <w:p>
            <w:r>
              <w:rPr/>
            </w:r>
            <w:r>
              <w:rPr>
                <w:b w:val="0"/>
              </w:rPr>
              <w:t>20,000 antithetic Gaussian draws per held-out scenario.</w:t>
            </w:r>
          </w:p>
        </w:tc>
      </w:tr>
      <w:tr>
        <w:tc>
          <w:tcPr>
            <w:tcW w:type="dxa" w:w="3326"/>
          </w:tcPr>
          <w:p>
            <w:r>
              <w:rPr/>
            </w:r>
            <w:r>
              <w:rPr>
                <w:b w:val="0"/>
              </w:rPr>
              <w:t>Independent integration replication / convergence</w:t>
            </w:r>
          </w:p>
        </w:tc>
        <w:tc>
          <w:tcPr>
            <w:tcW w:type="dxa" w:w="3326"/>
          </w:tcPr>
          <w:p>
            <w:r>
              <w:rPr/>
            </w:r>
            <w:r>
              <w:rPr>
                <w:b w:val="0"/>
              </w:rPr>
              <w:t>108101 + ScenarioID; 108201 + ScenarioID; 108301 + index</w:t>
            </w:r>
          </w:p>
        </w:tc>
        <w:tc>
          <w:tcPr>
            <w:tcW w:type="dxa" w:w="3326"/>
          </w:tcPr>
          <w:p>
            <w:r>
              <w:rPr/>
            </w:r>
            <w:r>
              <w:rPr>
                <w:b w:val="0"/>
              </w:rPr>
              <w:t>Independent-seed and draw-count sensitivity checks for the probabilistic integration.</w:t>
            </w:r>
          </w:p>
        </w:tc>
      </w:tr>
    </w:tbl>
    <w:p>
      <w:r>
        <w:rPr/>
        <w:t>Supplementary Table S18. Out-of-fold Gaussian-process regression and predictive-interval diagnostics in the pooled ±15% domain (N = 2,000 scenarios).</w:t>
      </w:r>
    </w:p>
    <w:tbl>
      <w:tblPr>
        <w:tblStyle w:val="TableGrid"/>
        <w:tblW w:type="auto" w:w="0"/>
        <w:tblLook w:firstColumn="1" w:firstRow="1" w:lastColumn="0" w:lastRow="0" w:noHBand="0" w:noVBand="1" w:val="04A0"/>
      </w:tblPr>
      <w:tblGrid>
        <w:gridCol w:w="1109"/>
        <w:gridCol w:w="1109"/>
        <w:gridCol w:w="1109"/>
        <w:gridCol w:w="1109"/>
        <w:gridCol w:w="1109"/>
        <w:gridCol w:w="1109"/>
        <w:gridCol w:w="1109"/>
        <w:gridCol w:w="1109"/>
        <w:gridCol w:w="1109"/>
      </w:tblGrid>
      <w:tr>
        <w:trPr>
          <w:tblHeader w:val="true"/>
        </w:trPr>
        <w:tc>
          <w:tcPr>
            <w:tcW w:type="dxa" w:w="1180"/>
          </w:tcPr>
          <w:p>
            <w:r>
              <w:rPr>
                <w:sz w:val="17"/>
              </w:rPr>
            </w:r>
            <w:r>
              <w:rPr>
                <w:b/>
                <w:sz w:val="17"/>
              </w:rPr>
              <w:t>Controller</w:t>
            </w:r>
          </w:p>
        </w:tc>
        <w:tc>
          <w:tcPr>
            <w:tcW w:type="dxa" w:w="1036"/>
          </w:tcPr>
          <w:p>
            <w:r>
              <w:rPr>
                <w:sz w:val="17"/>
              </w:rPr>
            </w:r>
            <w:r>
              <w:rPr>
                <w:b/>
                <w:sz w:val="17"/>
              </w:rPr>
              <w:t>RMSE</w:t>
            </w:r>
          </w:p>
        </w:tc>
        <w:tc>
          <w:tcPr>
            <w:tcW w:type="dxa" w:w="1036"/>
          </w:tcPr>
          <w:p>
            <w:r>
              <w:rPr>
                <w:sz w:val="17"/>
              </w:rPr>
            </w:r>
            <w:r>
              <w:rPr>
                <w:b/>
                <w:sz w:val="17"/>
              </w:rPr>
              <w:t>MAE</w:t>
            </w:r>
          </w:p>
        </w:tc>
        <w:tc>
          <w:tcPr>
            <w:tcW w:type="dxa" w:w="979"/>
          </w:tcPr>
          <w:p>
            <w:r>
              <w:rPr>
                <w:sz w:val="17"/>
              </w:rPr>
            </w:r>
            <w:r>
              <w:rPr>
                <w:b/>
                <w:sz w:val="17"/>
              </w:rPr>
              <w:t>R²</w:t>
            </w:r>
          </w:p>
        </w:tc>
        <w:tc>
          <w:tcPr>
            <w:tcW w:type="dxa" w:w="1195"/>
          </w:tcPr>
          <w:p>
            <w:r>
              <w:rPr>
                <w:sz w:val="17"/>
              </w:rPr>
            </w:r>
            <w:r>
              <w:rPr>
                <w:b/>
                <w:sz w:val="17"/>
              </w:rPr>
              <w:t>Std. residual mean</w:t>
            </w:r>
          </w:p>
        </w:tc>
        <w:tc>
          <w:tcPr>
            <w:tcW w:type="dxa" w:w="1195"/>
          </w:tcPr>
          <w:p>
            <w:r>
              <w:rPr>
                <w:sz w:val="17"/>
              </w:rPr>
            </w:r>
            <w:r>
              <w:rPr>
                <w:b/>
                <w:sz w:val="17"/>
              </w:rPr>
              <w:t>Std. residual SD</w:t>
            </w:r>
          </w:p>
        </w:tc>
        <w:tc>
          <w:tcPr>
            <w:tcW w:type="dxa" w:w="979"/>
          </w:tcPr>
          <w:p>
            <w:r>
              <w:rPr>
                <w:sz w:val="17"/>
              </w:rPr>
            </w:r>
            <w:r>
              <w:rPr>
                <w:b/>
                <w:sz w:val="17"/>
              </w:rPr>
              <w:t>50% coverage</w:t>
            </w:r>
          </w:p>
        </w:tc>
        <w:tc>
          <w:tcPr>
            <w:tcW w:type="dxa" w:w="979"/>
          </w:tcPr>
          <w:p>
            <w:r>
              <w:rPr>
                <w:sz w:val="17"/>
              </w:rPr>
            </w:r>
            <w:r>
              <w:rPr>
                <w:b/>
                <w:sz w:val="17"/>
              </w:rPr>
              <w:t>90% coverage</w:t>
            </w:r>
          </w:p>
        </w:tc>
        <w:tc>
          <w:tcPr>
            <w:tcW w:type="dxa" w:w="979"/>
          </w:tcPr>
          <w:p>
            <w:r>
              <w:rPr>
                <w:sz w:val="17"/>
              </w:rPr>
            </w:r>
            <w:r>
              <w:rPr>
                <w:b/>
                <w:sz w:val="17"/>
              </w:rPr>
              <w:t>95% coverage</w:t>
            </w:r>
          </w:p>
        </w:tc>
      </w:tr>
      <w:tr>
        <w:tc>
          <w:tcPr>
            <w:tcW w:type="dxa" w:w="1180"/>
          </w:tcPr>
          <w:p>
            <w:r>
              <w:rPr>
                <w:sz w:val="17"/>
              </w:rPr>
            </w:r>
            <w:r>
              <w:rPr>
                <w:b w:val="0"/>
                <w:sz w:val="17"/>
              </w:rPr>
              <w:t>PID</w:t>
            </w:r>
          </w:p>
        </w:tc>
        <w:tc>
          <w:tcPr>
            <w:tcW w:type="dxa" w:w="1036"/>
          </w:tcPr>
          <w:p>
            <w:r>
              <w:rPr>
                <w:sz w:val="17"/>
              </w:rPr>
            </w:r>
            <w:r>
              <w:rPr>
                <w:b w:val="0"/>
                <w:sz w:val="17"/>
              </w:rPr>
              <w:t>0.018745</w:t>
            </w:r>
          </w:p>
        </w:tc>
        <w:tc>
          <w:tcPr>
            <w:tcW w:type="dxa" w:w="1036"/>
          </w:tcPr>
          <w:p>
            <w:r>
              <w:rPr>
                <w:sz w:val="17"/>
              </w:rPr>
            </w:r>
            <w:r>
              <w:rPr>
                <w:b w:val="0"/>
                <w:sz w:val="17"/>
              </w:rPr>
              <w:t>0.014955</w:t>
            </w:r>
          </w:p>
        </w:tc>
        <w:tc>
          <w:tcPr>
            <w:tcW w:type="dxa" w:w="979"/>
          </w:tcPr>
          <w:p>
            <w:r>
              <w:rPr>
                <w:sz w:val="17"/>
              </w:rPr>
            </w:r>
            <w:r>
              <w:rPr>
                <w:b w:val="0"/>
                <w:sz w:val="17"/>
              </w:rPr>
              <w:t>0.995299</w:t>
            </w:r>
          </w:p>
        </w:tc>
        <w:tc>
          <w:tcPr>
            <w:tcW w:type="dxa" w:w="1195"/>
          </w:tcPr>
          <w:p>
            <w:r>
              <w:rPr>
                <w:sz w:val="17"/>
              </w:rPr>
            </w:r>
            <w:r>
              <w:rPr>
                <w:b w:val="0"/>
                <w:sz w:val="17"/>
              </w:rPr>
              <w:t>-0.0036</w:t>
            </w:r>
          </w:p>
        </w:tc>
        <w:tc>
          <w:tcPr>
            <w:tcW w:type="dxa" w:w="1195"/>
          </w:tcPr>
          <w:p>
            <w:r>
              <w:rPr>
                <w:sz w:val="17"/>
              </w:rPr>
            </w:r>
            <w:r>
              <w:rPr>
                <w:b w:val="0"/>
                <w:sz w:val="17"/>
              </w:rPr>
              <w:t>1.0037</w:t>
            </w:r>
          </w:p>
        </w:tc>
        <w:tc>
          <w:tcPr>
            <w:tcW w:type="dxa" w:w="979"/>
          </w:tcPr>
          <w:p>
            <w:r>
              <w:rPr>
                <w:sz w:val="17"/>
              </w:rPr>
            </w:r>
            <w:r>
              <w:rPr>
                <w:b w:val="0"/>
                <w:sz w:val="17"/>
              </w:rPr>
              <w:t>49.95%</w:t>
            </w:r>
          </w:p>
        </w:tc>
        <w:tc>
          <w:tcPr>
            <w:tcW w:type="dxa" w:w="979"/>
          </w:tcPr>
          <w:p>
            <w:r>
              <w:rPr>
                <w:sz w:val="17"/>
              </w:rPr>
            </w:r>
            <w:r>
              <w:rPr>
                <w:b w:val="0"/>
                <w:sz w:val="17"/>
              </w:rPr>
              <w:t>89.80%</w:t>
            </w:r>
          </w:p>
        </w:tc>
        <w:tc>
          <w:tcPr>
            <w:tcW w:type="dxa" w:w="979"/>
          </w:tcPr>
          <w:p>
            <w:r>
              <w:rPr>
                <w:sz w:val="17"/>
              </w:rPr>
            </w:r>
            <w:r>
              <w:rPr>
                <w:b w:val="0"/>
                <w:sz w:val="17"/>
              </w:rPr>
              <w:t>95.20%</w:t>
            </w:r>
          </w:p>
        </w:tc>
      </w:tr>
      <w:tr>
        <w:tc>
          <w:tcPr>
            <w:tcW w:type="dxa" w:w="1180"/>
          </w:tcPr>
          <w:p>
            <w:r>
              <w:rPr>
                <w:sz w:val="17"/>
              </w:rPr>
            </w:r>
            <w:r>
              <w:rPr>
                <w:b w:val="0"/>
                <w:sz w:val="17"/>
              </w:rPr>
              <w:t>LQR</w:t>
            </w:r>
          </w:p>
        </w:tc>
        <w:tc>
          <w:tcPr>
            <w:tcW w:type="dxa" w:w="1036"/>
          </w:tcPr>
          <w:p>
            <w:r>
              <w:rPr>
                <w:sz w:val="17"/>
              </w:rPr>
            </w:r>
            <w:r>
              <w:rPr>
                <w:b w:val="0"/>
                <w:sz w:val="17"/>
              </w:rPr>
              <w:t>0.019209</w:t>
            </w:r>
          </w:p>
        </w:tc>
        <w:tc>
          <w:tcPr>
            <w:tcW w:type="dxa" w:w="1036"/>
          </w:tcPr>
          <w:p>
            <w:r>
              <w:rPr>
                <w:sz w:val="17"/>
              </w:rPr>
            </w:r>
            <w:r>
              <w:rPr>
                <w:b w:val="0"/>
                <w:sz w:val="17"/>
              </w:rPr>
              <w:t>0.014972</w:t>
            </w:r>
          </w:p>
        </w:tc>
        <w:tc>
          <w:tcPr>
            <w:tcW w:type="dxa" w:w="979"/>
          </w:tcPr>
          <w:p>
            <w:r>
              <w:rPr>
                <w:sz w:val="17"/>
              </w:rPr>
            </w:r>
            <w:r>
              <w:rPr>
                <w:b w:val="0"/>
                <w:sz w:val="17"/>
              </w:rPr>
              <w:t>0.998400</w:t>
            </w:r>
          </w:p>
        </w:tc>
        <w:tc>
          <w:tcPr>
            <w:tcW w:type="dxa" w:w="1195"/>
          </w:tcPr>
          <w:p>
            <w:r>
              <w:rPr>
                <w:sz w:val="17"/>
              </w:rPr>
            </w:r>
            <w:r>
              <w:rPr>
                <w:b w:val="0"/>
                <w:sz w:val="17"/>
              </w:rPr>
              <w:t>-0.0091</w:t>
            </w:r>
          </w:p>
        </w:tc>
        <w:tc>
          <w:tcPr>
            <w:tcW w:type="dxa" w:w="1195"/>
          </w:tcPr>
          <w:p>
            <w:r>
              <w:rPr>
                <w:sz w:val="17"/>
              </w:rPr>
            </w:r>
            <w:r>
              <w:rPr>
                <w:b w:val="0"/>
                <w:sz w:val="17"/>
              </w:rPr>
              <w:t>1.0102</w:t>
            </w:r>
          </w:p>
        </w:tc>
        <w:tc>
          <w:tcPr>
            <w:tcW w:type="dxa" w:w="979"/>
          </w:tcPr>
          <w:p>
            <w:r>
              <w:rPr>
                <w:sz w:val="17"/>
              </w:rPr>
            </w:r>
            <w:r>
              <w:rPr>
                <w:b w:val="0"/>
                <w:sz w:val="17"/>
              </w:rPr>
              <w:t>52.20%</w:t>
            </w:r>
          </w:p>
        </w:tc>
        <w:tc>
          <w:tcPr>
            <w:tcW w:type="dxa" w:w="979"/>
          </w:tcPr>
          <w:p>
            <w:r>
              <w:rPr>
                <w:sz w:val="17"/>
              </w:rPr>
            </w:r>
            <w:r>
              <w:rPr>
                <w:b w:val="0"/>
                <w:sz w:val="17"/>
              </w:rPr>
              <w:t>89.55%</w:t>
            </w:r>
          </w:p>
        </w:tc>
        <w:tc>
          <w:tcPr>
            <w:tcW w:type="dxa" w:w="979"/>
          </w:tcPr>
          <w:p>
            <w:r>
              <w:rPr>
                <w:sz w:val="17"/>
              </w:rPr>
            </w:r>
            <w:r>
              <w:rPr>
                <w:b w:val="0"/>
                <w:sz w:val="17"/>
              </w:rPr>
              <w:t>94.10%</w:t>
            </w:r>
          </w:p>
        </w:tc>
      </w:tr>
      <w:tr>
        <w:tc>
          <w:tcPr>
            <w:tcW w:type="dxa" w:w="1180"/>
          </w:tcPr>
          <w:p>
            <w:r>
              <w:rPr>
                <w:sz w:val="17"/>
              </w:rPr>
            </w:r>
            <w:r>
              <w:rPr>
                <w:b w:val="0"/>
                <w:sz w:val="17"/>
              </w:rPr>
              <w:t>SMC</w:t>
            </w:r>
          </w:p>
        </w:tc>
        <w:tc>
          <w:tcPr>
            <w:tcW w:type="dxa" w:w="1036"/>
          </w:tcPr>
          <w:p>
            <w:r>
              <w:rPr>
                <w:sz w:val="17"/>
              </w:rPr>
            </w:r>
            <w:r>
              <w:rPr>
                <w:b w:val="0"/>
                <w:sz w:val="17"/>
              </w:rPr>
              <w:t>0.024006</w:t>
            </w:r>
          </w:p>
        </w:tc>
        <w:tc>
          <w:tcPr>
            <w:tcW w:type="dxa" w:w="1036"/>
          </w:tcPr>
          <w:p>
            <w:r>
              <w:rPr>
                <w:sz w:val="17"/>
              </w:rPr>
            </w:r>
            <w:r>
              <w:rPr>
                <w:b w:val="0"/>
                <w:sz w:val="17"/>
              </w:rPr>
              <w:t>0.019040</w:t>
            </w:r>
          </w:p>
        </w:tc>
        <w:tc>
          <w:tcPr>
            <w:tcW w:type="dxa" w:w="979"/>
          </w:tcPr>
          <w:p>
            <w:r>
              <w:rPr>
                <w:sz w:val="17"/>
              </w:rPr>
            </w:r>
            <w:r>
              <w:rPr>
                <w:b w:val="0"/>
                <w:sz w:val="17"/>
              </w:rPr>
              <w:t>0.992576</w:t>
            </w:r>
          </w:p>
        </w:tc>
        <w:tc>
          <w:tcPr>
            <w:tcW w:type="dxa" w:w="1195"/>
          </w:tcPr>
          <w:p>
            <w:r>
              <w:rPr>
                <w:sz w:val="17"/>
              </w:rPr>
            </w:r>
            <w:r>
              <w:rPr>
                <w:b w:val="0"/>
                <w:sz w:val="17"/>
              </w:rPr>
              <w:t>-0.0036</w:t>
            </w:r>
          </w:p>
        </w:tc>
        <w:tc>
          <w:tcPr>
            <w:tcW w:type="dxa" w:w="1195"/>
          </w:tcPr>
          <w:p>
            <w:r>
              <w:rPr>
                <w:sz w:val="17"/>
              </w:rPr>
            </w:r>
            <w:r>
              <w:rPr>
                <w:b w:val="0"/>
                <w:sz w:val="17"/>
              </w:rPr>
              <w:t>1.0058</w:t>
            </w:r>
          </w:p>
        </w:tc>
        <w:tc>
          <w:tcPr>
            <w:tcW w:type="dxa" w:w="979"/>
          </w:tcPr>
          <w:p>
            <w:r>
              <w:rPr>
                <w:sz w:val="17"/>
              </w:rPr>
            </w:r>
            <w:r>
              <w:rPr>
                <w:b w:val="0"/>
                <w:sz w:val="17"/>
              </w:rPr>
              <w:t>50.50%</w:t>
            </w:r>
          </w:p>
        </w:tc>
        <w:tc>
          <w:tcPr>
            <w:tcW w:type="dxa" w:w="979"/>
          </w:tcPr>
          <w:p>
            <w:r>
              <w:rPr>
                <w:sz w:val="17"/>
              </w:rPr>
            </w:r>
            <w:r>
              <w:rPr>
                <w:b w:val="0"/>
                <w:sz w:val="17"/>
              </w:rPr>
              <w:t>90.45%</w:t>
            </w:r>
          </w:p>
        </w:tc>
        <w:tc>
          <w:tcPr>
            <w:tcW w:type="dxa" w:w="979"/>
          </w:tcPr>
          <w:p>
            <w:r>
              <w:rPr>
                <w:sz w:val="17"/>
              </w:rPr>
            </w:r>
            <w:r>
              <w:rPr>
                <w:b w:val="0"/>
                <w:sz w:val="17"/>
              </w:rPr>
              <w:t>94.80%</w:t>
            </w:r>
          </w:p>
        </w:tc>
      </w:tr>
      <w:tr>
        <w:tc>
          <w:tcPr>
            <w:tcW w:type="dxa" w:w="1180"/>
          </w:tcPr>
          <w:p>
            <w:r>
              <w:rPr>
                <w:sz w:val="17"/>
              </w:rPr>
            </w:r>
            <w:r>
              <w:rPr>
                <w:b w:val="0"/>
                <w:sz w:val="17"/>
              </w:rPr>
              <w:t>Fuzzy-SMC</w:t>
            </w:r>
          </w:p>
        </w:tc>
        <w:tc>
          <w:tcPr>
            <w:tcW w:type="dxa" w:w="1036"/>
          </w:tcPr>
          <w:p>
            <w:r>
              <w:rPr>
                <w:sz w:val="17"/>
              </w:rPr>
            </w:r>
            <w:r>
              <w:rPr>
                <w:b w:val="0"/>
                <w:sz w:val="17"/>
              </w:rPr>
              <w:t>0.020932</w:t>
            </w:r>
          </w:p>
        </w:tc>
        <w:tc>
          <w:tcPr>
            <w:tcW w:type="dxa" w:w="1036"/>
          </w:tcPr>
          <w:p>
            <w:r>
              <w:rPr>
                <w:sz w:val="17"/>
              </w:rPr>
            </w:r>
            <w:r>
              <w:rPr>
                <w:b w:val="0"/>
                <w:sz w:val="17"/>
              </w:rPr>
              <w:t>0.016469</w:t>
            </w:r>
          </w:p>
        </w:tc>
        <w:tc>
          <w:tcPr>
            <w:tcW w:type="dxa" w:w="979"/>
          </w:tcPr>
          <w:p>
            <w:r>
              <w:rPr>
                <w:sz w:val="17"/>
              </w:rPr>
            </w:r>
            <w:r>
              <w:rPr>
                <w:b w:val="0"/>
                <w:sz w:val="17"/>
              </w:rPr>
              <w:t>0.993791</w:t>
            </w:r>
          </w:p>
        </w:tc>
        <w:tc>
          <w:tcPr>
            <w:tcW w:type="dxa" w:w="1195"/>
          </w:tcPr>
          <w:p>
            <w:r>
              <w:rPr>
                <w:sz w:val="17"/>
              </w:rPr>
            </w:r>
            <w:r>
              <w:rPr>
                <w:b w:val="0"/>
                <w:sz w:val="17"/>
              </w:rPr>
              <w:t>-0.0011</w:t>
            </w:r>
          </w:p>
        </w:tc>
        <w:tc>
          <w:tcPr>
            <w:tcW w:type="dxa" w:w="1195"/>
          </w:tcPr>
          <w:p>
            <w:r>
              <w:rPr>
                <w:sz w:val="17"/>
              </w:rPr>
            </w:r>
            <w:r>
              <w:rPr>
                <w:b w:val="0"/>
                <w:sz w:val="17"/>
              </w:rPr>
              <w:t>1.0041</w:t>
            </w:r>
          </w:p>
        </w:tc>
        <w:tc>
          <w:tcPr>
            <w:tcW w:type="dxa" w:w="979"/>
          </w:tcPr>
          <w:p>
            <w:r>
              <w:rPr>
                <w:sz w:val="17"/>
              </w:rPr>
            </w:r>
            <w:r>
              <w:rPr>
                <w:b w:val="0"/>
                <w:sz w:val="17"/>
              </w:rPr>
              <w:t>51.50%</w:t>
            </w:r>
          </w:p>
        </w:tc>
        <w:tc>
          <w:tcPr>
            <w:tcW w:type="dxa" w:w="979"/>
          </w:tcPr>
          <w:p>
            <w:r>
              <w:rPr>
                <w:sz w:val="17"/>
              </w:rPr>
            </w:r>
            <w:r>
              <w:rPr>
                <w:b w:val="0"/>
                <w:sz w:val="17"/>
              </w:rPr>
              <w:t>89.90%</w:t>
            </w:r>
          </w:p>
        </w:tc>
        <w:tc>
          <w:tcPr>
            <w:tcW w:type="dxa" w:w="979"/>
          </w:tcPr>
          <w:p>
            <w:r>
              <w:rPr>
                <w:sz w:val="17"/>
              </w:rPr>
            </w:r>
            <w:r>
              <w:rPr>
                <w:b w:val="0"/>
                <w:sz w:val="17"/>
              </w:rPr>
              <w:t>94.65%</w:t>
            </w:r>
          </w:p>
        </w:tc>
      </w:tr>
      <w:tr>
        <w:tc>
          <w:tcPr>
            <w:tcW w:type="dxa" w:w="1180"/>
          </w:tcPr>
          <w:p>
            <w:r>
              <w:rPr>
                <w:sz w:val="17"/>
              </w:rPr>
            </w:r>
            <w:r>
              <w:rPr>
                <w:b w:val="0"/>
                <w:sz w:val="17"/>
              </w:rPr>
              <w:t>ANFIS-SMC</w:t>
            </w:r>
          </w:p>
        </w:tc>
        <w:tc>
          <w:tcPr>
            <w:tcW w:type="dxa" w:w="1036"/>
          </w:tcPr>
          <w:p>
            <w:r>
              <w:rPr>
                <w:sz w:val="17"/>
              </w:rPr>
            </w:r>
            <w:r>
              <w:rPr>
                <w:b w:val="0"/>
                <w:sz w:val="17"/>
              </w:rPr>
              <w:t>0.021006</w:t>
            </w:r>
          </w:p>
        </w:tc>
        <w:tc>
          <w:tcPr>
            <w:tcW w:type="dxa" w:w="1036"/>
          </w:tcPr>
          <w:p>
            <w:r>
              <w:rPr>
                <w:sz w:val="17"/>
              </w:rPr>
            </w:r>
            <w:r>
              <w:rPr>
                <w:b w:val="0"/>
                <w:sz w:val="17"/>
              </w:rPr>
              <w:t>0.016393</w:t>
            </w:r>
          </w:p>
        </w:tc>
        <w:tc>
          <w:tcPr>
            <w:tcW w:type="dxa" w:w="979"/>
          </w:tcPr>
          <w:p>
            <w:r>
              <w:rPr>
                <w:sz w:val="17"/>
              </w:rPr>
            </w:r>
            <w:r>
              <w:rPr>
                <w:b w:val="0"/>
                <w:sz w:val="17"/>
              </w:rPr>
              <w:t>0.993581</w:t>
            </w:r>
          </w:p>
        </w:tc>
        <w:tc>
          <w:tcPr>
            <w:tcW w:type="dxa" w:w="1195"/>
          </w:tcPr>
          <w:p>
            <w:r>
              <w:rPr>
                <w:sz w:val="17"/>
              </w:rPr>
            </w:r>
            <w:r>
              <w:rPr>
                <w:b w:val="0"/>
                <w:sz w:val="17"/>
              </w:rPr>
              <w:t>-0.0018</w:t>
            </w:r>
          </w:p>
        </w:tc>
        <w:tc>
          <w:tcPr>
            <w:tcW w:type="dxa" w:w="1195"/>
          </w:tcPr>
          <w:p>
            <w:r>
              <w:rPr>
                <w:sz w:val="17"/>
              </w:rPr>
            </w:r>
            <w:r>
              <w:rPr>
                <w:b w:val="0"/>
                <w:sz w:val="17"/>
              </w:rPr>
              <w:t>1.0047</w:t>
            </w:r>
          </w:p>
        </w:tc>
        <w:tc>
          <w:tcPr>
            <w:tcW w:type="dxa" w:w="979"/>
          </w:tcPr>
          <w:p>
            <w:r>
              <w:rPr>
                <w:sz w:val="17"/>
              </w:rPr>
            </w:r>
            <w:r>
              <w:rPr>
                <w:b w:val="0"/>
                <w:sz w:val="17"/>
              </w:rPr>
              <w:t>52.15%</w:t>
            </w:r>
          </w:p>
        </w:tc>
        <w:tc>
          <w:tcPr>
            <w:tcW w:type="dxa" w:w="979"/>
          </w:tcPr>
          <w:p>
            <w:r>
              <w:rPr>
                <w:sz w:val="17"/>
              </w:rPr>
            </w:r>
            <w:r>
              <w:rPr>
                <w:b w:val="0"/>
                <w:sz w:val="17"/>
              </w:rPr>
              <w:t>89.80%</w:t>
            </w:r>
          </w:p>
        </w:tc>
        <w:tc>
          <w:tcPr>
            <w:tcW w:type="dxa" w:w="979"/>
          </w:tcPr>
          <w:p>
            <w:r>
              <w:rPr>
                <w:sz w:val="17"/>
              </w:rPr>
            </w:r>
            <w:r>
              <w:rPr>
                <w:b w:val="0"/>
                <w:sz w:val="17"/>
              </w:rPr>
              <w:t>94.30%</w:t>
            </w:r>
          </w:p>
        </w:tc>
      </w:tr>
    </w:tbl>
    <w:p>
      <w:r>
        <w:rPr/>
        <w:t>Note. Pooled empirical coverage across all five controllers was 51.26%, 80.76%, 89.90% and 94.61% at nominal 50%, 80%, 90% and 95% levels, respectively. The table reports controller-level 50%, 90% and 95% coverage together with point-prediction and standardized-residual diagnostics; the full 50/80/90/95% coverage tables and proper-score outputs remain in the archived computational package.</w:t>
      </w:r>
    </w:p>
    <w:sectPr w:rsidR="00FC693F" w:rsidRPr="0006063C" w:rsidSect="00034616">
      <w:footerReference w:type="default" r:id="rId9"/>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00000"/>
        <w:sz w:val="16"/>
      </w:rPr>
      <w:t xml:space="preserve">Page </w:t>
    </w:r>
    <w:r>
      <w:rPr>
        <w:rFonts w:ascii="Arial" w:hAnsi="Arial"/>
        <w:color w:val="000000"/>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color w:val="000000"/>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 Quantifying Controller Preference Reliability under Uncertainty in a Rotary Inverted Pendulum Benchmark</dc:title>
  <dc:subject>Scientific Reports Supplementary Information</dc:subject>
  <dc:creator>Yusuf Coşkun; Lale Özyılmaz; Muhammet Aydın</dc:creator>
  <cp:keywords>rotary inverted pendulum; controller benchmarking; uncertainty quantification; supplementary information</cp:keywords>
  <dc:description/>
  <cp:lastModifiedBy/>
  <cp:revision>1</cp:revision>
  <dcterms:created xsi:type="dcterms:W3CDTF">2013-12-23T23:15:00Z</dcterms:created>
  <dcterms:modified xsi:type="dcterms:W3CDTF">2013-12-23T23:15:00Z</dcterms:modified>
  <cp:category/>
</cp:coreProperties>
</file>