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70353" w14:textId="77777777" w:rsidR="00012313" w:rsidRPr="00D940C2" w:rsidRDefault="00012313" w:rsidP="00012313">
      <w:pPr>
        <w:spacing w:line="360" w:lineRule="auto"/>
        <w:jc w:val="both"/>
        <w:rPr>
          <w:rFonts w:ascii="Arial" w:hAnsi="Arial" w:cs="Arial"/>
          <w:b/>
          <w:bCs/>
          <w:sz w:val="22"/>
          <w:szCs w:val="22"/>
        </w:rPr>
      </w:pPr>
      <w:r w:rsidRPr="00D940C2">
        <w:rPr>
          <w:rFonts w:ascii="Arial" w:hAnsi="Arial" w:cs="Arial"/>
          <w:b/>
          <w:bCs/>
          <w:sz w:val="22"/>
          <w:szCs w:val="22"/>
        </w:rPr>
        <w:t>Supplemental Figures</w:t>
      </w:r>
    </w:p>
    <w:p w14:paraId="25475109" w14:textId="77777777" w:rsidR="00012313" w:rsidRPr="00D940C2" w:rsidRDefault="00012313" w:rsidP="00012313">
      <w:pPr>
        <w:spacing w:line="360" w:lineRule="auto"/>
        <w:jc w:val="both"/>
        <w:rPr>
          <w:rFonts w:ascii="Arial" w:hAnsi="Arial" w:cs="Arial"/>
          <w:b/>
          <w:bCs/>
          <w:sz w:val="22"/>
          <w:szCs w:val="22"/>
        </w:rPr>
      </w:pPr>
      <w:r w:rsidRPr="00D940C2">
        <w:rPr>
          <w:rFonts w:ascii="Arial" w:hAnsi="Arial" w:cs="Arial"/>
          <w:b/>
          <w:bCs/>
          <w:sz w:val="22"/>
          <w:szCs w:val="22"/>
        </w:rPr>
        <w:t xml:space="preserve">Figure S1. Methodology to setup homemade Styrofoam freezing container. </w:t>
      </w:r>
      <w:r w:rsidRPr="00D940C2">
        <w:rPr>
          <w:rFonts w:ascii="Arial" w:hAnsi="Arial" w:cs="Arial"/>
          <w:sz w:val="22"/>
          <w:szCs w:val="22"/>
        </w:rPr>
        <w:t>Two pieces of 15 mL centrifuge tube Styrofoam holders were taped together to make a homemade freezing container.</w:t>
      </w:r>
    </w:p>
    <w:p w14:paraId="3BFC7D7E" w14:textId="77777777" w:rsidR="00012313" w:rsidRPr="00D940C2" w:rsidRDefault="00012313" w:rsidP="00012313">
      <w:pPr>
        <w:spacing w:line="360" w:lineRule="auto"/>
        <w:jc w:val="both"/>
        <w:rPr>
          <w:rFonts w:ascii="Arial" w:hAnsi="Arial" w:cs="Arial"/>
          <w:sz w:val="22"/>
          <w:szCs w:val="22"/>
        </w:rPr>
      </w:pPr>
      <w:r w:rsidRPr="00D940C2">
        <w:rPr>
          <w:rFonts w:ascii="Arial" w:hAnsi="Arial" w:cs="Arial"/>
          <w:b/>
          <w:bCs/>
          <w:sz w:val="22"/>
          <w:szCs w:val="22"/>
        </w:rPr>
        <w:t>Figure S2. 3-week-old 3D GBM organoids were frozen and successfully cultured post-thaw. A.</w:t>
      </w:r>
      <w:r w:rsidRPr="00D940C2">
        <w:rPr>
          <w:rFonts w:ascii="Arial" w:hAnsi="Arial" w:cs="Arial"/>
          <w:sz w:val="22"/>
          <w:szCs w:val="22"/>
        </w:rPr>
        <w:t xml:space="preserve"> Organoids were made in Matrigel, cultured for three weeks, and imaged before freezing and 2 weeks post-thaw. </w:t>
      </w:r>
      <w:r w:rsidRPr="00D940C2">
        <w:rPr>
          <w:rFonts w:ascii="Arial" w:hAnsi="Arial" w:cs="Arial"/>
          <w:b/>
          <w:bCs/>
          <w:sz w:val="22"/>
          <w:szCs w:val="22"/>
        </w:rPr>
        <w:t>B.</w:t>
      </w:r>
      <w:r w:rsidRPr="00D940C2">
        <w:rPr>
          <w:rFonts w:ascii="Arial" w:hAnsi="Arial" w:cs="Arial"/>
          <w:sz w:val="22"/>
          <w:szCs w:val="22"/>
        </w:rPr>
        <w:t xml:space="preserve"> </w:t>
      </w:r>
      <w:proofErr w:type="gramStart"/>
      <w:r w:rsidRPr="00D940C2">
        <w:rPr>
          <w:rFonts w:ascii="Arial" w:hAnsi="Arial" w:cs="Arial"/>
          <w:sz w:val="22"/>
          <w:szCs w:val="22"/>
        </w:rPr>
        <w:t>Post-thaw</w:t>
      </w:r>
      <w:proofErr w:type="gramEnd"/>
      <w:r w:rsidRPr="00D940C2">
        <w:rPr>
          <w:rFonts w:ascii="Arial" w:hAnsi="Arial" w:cs="Arial"/>
          <w:sz w:val="22"/>
          <w:szCs w:val="22"/>
        </w:rPr>
        <w:t xml:space="preserve"> organoids were dissociated, and cell death was determined by flow cytometric analysis using Calcein AM (live) and DRAQ7 (dead) dye labeling. </w:t>
      </w:r>
      <w:r w:rsidRPr="00D940C2">
        <w:rPr>
          <w:rFonts w:ascii="Arial" w:hAnsi="Arial" w:cs="Arial"/>
          <w:b/>
          <w:bCs/>
          <w:sz w:val="22"/>
          <w:szCs w:val="22"/>
        </w:rPr>
        <w:t>C.</w:t>
      </w:r>
      <w:r w:rsidRPr="00D940C2">
        <w:rPr>
          <w:rFonts w:ascii="Arial" w:hAnsi="Arial" w:cs="Arial"/>
          <w:sz w:val="22"/>
          <w:szCs w:val="22"/>
        </w:rPr>
        <w:t xml:space="preserve"> Cell viability was further confirmed using 3D </w:t>
      </w:r>
      <w:proofErr w:type="spellStart"/>
      <w:r w:rsidRPr="00D940C2">
        <w:rPr>
          <w:rFonts w:ascii="Arial" w:hAnsi="Arial" w:cs="Arial"/>
          <w:sz w:val="22"/>
          <w:szCs w:val="22"/>
        </w:rPr>
        <w:t>CellTiter</w:t>
      </w:r>
      <w:proofErr w:type="spellEnd"/>
      <w:r w:rsidRPr="00D940C2">
        <w:rPr>
          <w:rFonts w:ascii="Arial" w:hAnsi="Arial" w:cs="Arial"/>
          <w:sz w:val="22"/>
          <w:szCs w:val="22"/>
        </w:rPr>
        <w:t>-Glo® cell viability assay. Intergroup comparisons were performed using ordinary one-way ANOVA followed by Tukey’s multiple comparisons. Data are presented as mean ± SD. Comparisons without asterisks are not statistically significant (p≥ 0.05). * p&lt;0.05; n= 3 biological replicates.</w:t>
      </w:r>
    </w:p>
    <w:p w14:paraId="60671F97" w14:textId="77777777" w:rsidR="00012313" w:rsidRPr="00D940C2" w:rsidRDefault="00012313" w:rsidP="00012313">
      <w:pPr>
        <w:spacing w:line="360" w:lineRule="auto"/>
        <w:jc w:val="both"/>
        <w:rPr>
          <w:rFonts w:ascii="Arial" w:hAnsi="Arial" w:cs="Arial"/>
          <w:sz w:val="22"/>
          <w:szCs w:val="22"/>
        </w:rPr>
      </w:pPr>
      <w:r w:rsidRPr="00D940C2">
        <w:rPr>
          <w:rFonts w:ascii="Arial" w:hAnsi="Arial" w:cs="Arial"/>
          <w:b/>
          <w:bCs/>
          <w:sz w:val="22"/>
          <w:szCs w:val="22"/>
        </w:rPr>
        <w:t>Figure S3. Histological characteristics are preserved in pGBM001 MGO organoids post-thaw.</w:t>
      </w:r>
      <w:r w:rsidRPr="00D940C2">
        <w:rPr>
          <w:rFonts w:ascii="Arial" w:hAnsi="Arial" w:cs="Arial"/>
          <w:sz w:val="22"/>
          <w:szCs w:val="22"/>
        </w:rPr>
        <w:t xml:space="preserve"> </w:t>
      </w:r>
      <w:r w:rsidRPr="00D940C2">
        <w:rPr>
          <w:rFonts w:ascii="Arial" w:hAnsi="Arial" w:cs="Arial"/>
          <w:b/>
          <w:bCs/>
          <w:sz w:val="22"/>
          <w:szCs w:val="22"/>
        </w:rPr>
        <w:t>A.</w:t>
      </w:r>
      <w:r w:rsidRPr="00D940C2">
        <w:rPr>
          <w:rFonts w:ascii="Arial" w:hAnsi="Arial" w:cs="Arial"/>
          <w:sz w:val="22"/>
          <w:szCs w:val="22"/>
        </w:rPr>
        <w:t xml:space="preserve"> Sections from never frozen and 10 </w:t>
      </w:r>
      <w:proofErr w:type="gramStart"/>
      <w:r w:rsidRPr="00D940C2">
        <w:rPr>
          <w:rFonts w:ascii="Arial" w:hAnsi="Arial" w:cs="Arial"/>
          <w:sz w:val="22"/>
          <w:szCs w:val="22"/>
        </w:rPr>
        <w:t>days post</w:t>
      </w:r>
      <w:proofErr w:type="gramEnd"/>
      <w:r w:rsidRPr="00D940C2">
        <w:rPr>
          <w:rFonts w:ascii="Arial" w:hAnsi="Arial" w:cs="Arial"/>
          <w:sz w:val="22"/>
          <w:szCs w:val="22"/>
        </w:rPr>
        <w:t xml:space="preserve">-thaw cultured organoids were stained for H&amp;E for histology. </w:t>
      </w:r>
      <w:r w:rsidRPr="00D940C2">
        <w:rPr>
          <w:rFonts w:ascii="Arial" w:hAnsi="Arial" w:cs="Arial"/>
          <w:b/>
          <w:bCs/>
          <w:sz w:val="22"/>
          <w:szCs w:val="22"/>
        </w:rPr>
        <w:t>B.</w:t>
      </w:r>
      <w:r w:rsidRPr="00D940C2">
        <w:rPr>
          <w:rFonts w:ascii="Arial" w:hAnsi="Arial" w:cs="Arial"/>
          <w:sz w:val="22"/>
          <w:szCs w:val="22"/>
        </w:rPr>
        <w:t xml:space="preserve"> Sections were stained for proliferation marker pH-H3, stemness markers SOX2 and </w:t>
      </w:r>
      <w:r w:rsidRPr="00D940C2">
        <w:rPr>
          <w:rFonts w:ascii="Arial" w:hAnsi="Arial" w:cs="Arial"/>
          <w:b/>
          <w:bCs/>
          <w:sz w:val="22"/>
          <w:szCs w:val="22"/>
        </w:rPr>
        <w:t>C.</w:t>
      </w:r>
      <w:r w:rsidRPr="00D940C2">
        <w:rPr>
          <w:rFonts w:ascii="Arial" w:hAnsi="Arial" w:cs="Arial"/>
          <w:sz w:val="22"/>
          <w:szCs w:val="22"/>
        </w:rPr>
        <w:t xml:space="preserve"> </w:t>
      </w:r>
      <w:proofErr w:type="spellStart"/>
      <w:r w:rsidRPr="00D940C2">
        <w:rPr>
          <w:rFonts w:ascii="Arial" w:hAnsi="Arial" w:cs="Arial"/>
          <w:sz w:val="22"/>
          <w:szCs w:val="22"/>
        </w:rPr>
        <w:t>Nestin</w:t>
      </w:r>
      <w:proofErr w:type="spellEnd"/>
      <w:r w:rsidRPr="00D940C2">
        <w:rPr>
          <w:rFonts w:ascii="Arial" w:hAnsi="Arial" w:cs="Arial"/>
          <w:sz w:val="22"/>
          <w:szCs w:val="22"/>
        </w:rPr>
        <w:t xml:space="preserve">, and </w:t>
      </w:r>
      <w:r w:rsidRPr="00D940C2">
        <w:rPr>
          <w:rFonts w:ascii="Arial" w:hAnsi="Arial" w:cs="Arial"/>
          <w:b/>
          <w:bCs/>
          <w:sz w:val="22"/>
          <w:szCs w:val="22"/>
        </w:rPr>
        <w:t>D.</w:t>
      </w:r>
      <w:r w:rsidRPr="00D940C2">
        <w:rPr>
          <w:rFonts w:ascii="Arial" w:hAnsi="Arial" w:cs="Arial"/>
          <w:sz w:val="22"/>
          <w:szCs w:val="22"/>
        </w:rPr>
        <w:t xml:space="preserve"> apoptotic marker Cleaved-Caspase3 (Cl-Casp3). Images were captured to show the organoid rim and organoid core niches. The number of positive cells per ROI in the organoid rim was quantified for (3 ROI quantified per datapoint from each of 3 independent MGO organoids per condition)</w:t>
      </w:r>
      <w:r>
        <w:rPr>
          <w:rFonts w:ascii="Arial" w:hAnsi="Arial" w:cs="Arial"/>
          <w:sz w:val="22"/>
          <w:szCs w:val="22"/>
        </w:rPr>
        <w:t xml:space="preserve"> </w:t>
      </w:r>
      <w:r w:rsidRPr="00D940C2">
        <w:rPr>
          <w:rFonts w:ascii="Arial" w:hAnsi="Arial" w:cs="Arial"/>
          <w:b/>
          <w:bCs/>
          <w:sz w:val="22"/>
          <w:szCs w:val="22"/>
        </w:rPr>
        <w:t>E.</w:t>
      </w:r>
      <w:r w:rsidRPr="00D940C2">
        <w:rPr>
          <w:rFonts w:ascii="Arial" w:hAnsi="Arial" w:cs="Arial"/>
          <w:sz w:val="22"/>
          <w:szCs w:val="22"/>
        </w:rPr>
        <w:t xml:space="preserve"> pH-H3 and </w:t>
      </w:r>
      <w:r w:rsidRPr="00D940C2">
        <w:rPr>
          <w:rFonts w:ascii="Arial" w:hAnsi="Arial" w:cs="Arial"/>
          <w:b/>
          <w:bCs/>
          <w:sz w:val="22"/>
          <w:szCs w:val="22"/>
        </w:rPr>
        <w:t>F.</w:t>
      </w:r>
      <w:r w:rsidRPr="00D940C2">
        <w:rPr>
          <w:rFonts w:ascii="Arial" w:hAnsi="Arial" w:cs="Arial"/>
          <w:sz w:val="22"/>
          <w:szCs w:val="22"/>
        </w:rPr>
        <w:t xml:space="preserve"> Cl-Casp3. Intergroup comparisons were performed using ordinary one-way ANOVA. Data are presented as mean ± SD. Comparisons without asterisks are not statistically significant (p≥ 0.05). </w:t>
      </w:r>
    </w:p>
    <w:p w14:paraId="55068059" w14:textId="6F33D55F" w:rsidR="00012313" w:rsidRDefault="00012313">
      <w:r>
        <w:br w:type="page"/>
      </w:r>
    </w:p>
    <w:p w14:paraId="0D4E4BF6" w14:textId="161CF2A3" w:rsidR="00012313" w:rsidRPr="0004146A" w:rsidRDefault="00012313" w:rsidP="00012313">
      <w:pPr>
        <w:rPr>
          <w:rFonts w:ascii="Arial" w:hAnsi="Arial" w:cs="Arial"/>
          <w:b/>
          <w:bCs/>
          <w:sz w:val="22"/>
          <w:szCs w:val="22"/>
        </w:rPr>
      </w:pPr>
      <w:r w:rsidRPr="0004146A">
        <w:rPr>
          <w:rFonts w:ascii="Arial" w:hAnsi="Arial" w:cs="Arial"/>
          <w:b/>
          <w:bCs/>
          <w:sz w:val="22"/>
          <w:szCs w:val="22"/>
        </w:rPr>
        <w:lastRenderedPageBreak/>
        <w:t>Figure S1</w:t>
      </w:r>
      <w:r w:rsidR="0004146A" w:rsidRPr="0004146A">
        <w:rPr>
          <w:rFonts w:ascii="Arial" w:hAnsi="Arial" w:cs="Arial"/>
          <w:b/>
          <w:bCs/>
          <w:sz w:val="22"/>
          <w:szCs w:val="22"/>
        </w:rPr>
        <w:t>.</w:t>
      </w:r>
    </w:p>
    <w:p w14:paraId="0FC4DF0E" w14:textId="77777777" w:rsidR="00012313" w:rsidRPr="00D940C2" w:rsidRDefault="00012313" w:rsidP="00012313">
      <w:pPr>
        <w:rPr>
          <w:rFonts w:ascii="Arial" w:hAnsi="Arial" w:cs="Arial"/>
          <w:color w:val="FF0000"/>
          <w:sz w:val="22"/>
          <w:szCs w:val="22"/>
        </w:rPr>
      </w:pPr>
    </w:p>
    <w:p w14:paraId="0EADE8E4" w14:textId="77777777" w:rsidR="00012313" w:rsidRDefault="00012313" w:rsidP="00012313">
      <w:pPr>
        <w:rPr>
          <w:rFonts w:ascii="Arial" w:hAnsi="Arial" w:cs="Arial"/>
          <w:sz w:val="22"/>
          <w:szCs w:val="22"/>
        </w:rPr>
      </w:pPr>
      <w:r w:rsidRPr="0036402E">
        <w:rPr>
          <w:rFonts w:ascii="Arial" w:hAnsi="Arial" w:cs="Arial"/>
          <w:noProof/>
          <w:sz w:val="22"/>
          <w:szCs w:val="22"/>
        </w:rPr>
        <w:drawing>
          <wp:inline distT="0" distB="0" distL="0" distR="0" wp14:anchorId="1C6AAC7E" wp14:editId="43682149">
            <wp:extent cx="5943600" cy="1855470"/>
            <wp:effectExtent l="0" t="0" r="0" b="0"/>
            <wp:docPr id="47" name="Picture 46">
              <a:extLst xmlns:a="http://schemas.openxmlformats.org/drawingml/2006/main">
                <a:ext uri="{FF2B5EF4-FFF2-40B4-BE49-F238E27FC236}">
                  <a16:creationId xmlns:a16="http://schemas.microsoft.com/office/drawing/2014/main" id="{B48BCF49-6D03-3082-9D9D-E06628B657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B48BCF49-6D03-3082-9D9D-E06628B65747}"/>
                        </a:ext>
                      </a:extLst>
                    </pic:cNvPr>
                    <pic:cNvPicPr>
                      <a:picLocks noChangeAspect="1"/>
                    </pic:cNvPicPr>
                  </pic:nvPicPr>
                  <pic:blipFill>
                    <a:blip r:embed="rId4"/>
                    <a:stretch>
                      <a:fillRect/>
                    </a:stretch>
                  </pic:blipFill>
                  <pic:spPr>
                    <a:xfrm>
                      <a:off x="0" y="0"/>
                      <a:ext cx="5943600" cy="1855470"/>
                    </a:xfrm>
                    <a:prstGeom prst="rect">
                      <a:avLst/>
                    </a:prstGeom>
                  </pic:spPr>
                </pic:pic>
              </a:graphicData>
            </a:graphic>
          </wp:inline>
        </w:drawing>
      </w:r>
    </w:p>
    <w:p w14:paraId="40CC2D46" w14:textId="77777777" w:rsidR="00012313" w:rsidRDefault="00012313" w:rsidP="00012313">
      <w:pPr>
        <w:rPr>
          <w:rFonts w:ascii="Arial" w:hAnsi="Arial" w:cs="Arial"/>
          <w:sz w:val="22"/>
          <w:szCs w:val="22"/>
        </w:rPr>
      </w:pPr>
    </w:p>
    <w:p w14:paraId="73F1A3FA" w14:textId="77777777" w:rsidR="00012313" w:rsidRDefault="00012313" w:rsidP="00012313">
      <w:pPr>
        <w:rPr>
          <w:rFonts w:ascii="Arial" w:hAnsi="Arial" w:cs="Arial"/>
          <w:sz w:val="22"/>
          <w:szCs w:val="22"/>
        </w:rPr>
      </w:pPr>
      <w:r>
        <w:rPr>
          <w:rFonts w:ascii="Arial" w:hAnsi="Arial" w:cs="Arial"/>
          <w:sz w:val="22"/>
          <w:szCs w:val="22"/>
        </w:rPr>
        <w:br w:type="page"/>
      </w:r>
    </w:p>
    <w:p w14:paraId="051A0E22" w14:textId="4143CF7A" w:rsidR="00012313" w:rsidRPr="0004146A" w:rsidRDefault="00012313" w:rsidP="00012313">
      <w:pPr>
        <w:rPr>
          <w:rFonts w:ascii="Arial" w:hAnsi="Arial" w:cs="Arial"/>
          <w:b/>
          <w:bCs/>
          <w:sz w:val="22"/>
          <w:szCs w:val="22"/>
        </w:rPr>
      </w:pPr>
      <w:r w:rsidRPr="0004146A">
        <w:rPr>
          <w:rFonts w:ascii="Arial" w:hAnsi="Arial" w:cs="Arial"/>
          <w:b/>
          <w:bCs/>
          <w:sz w:val="22"/>
          <w:szCs w:val="22"/>
        </w:rPr>
        <w:lastRenderedPageBreak/>
        <w:t>Figure S2</w:t>
      </w:r>
      <w:r w:rsidR="0004146A">
        <w:rPr>
          <w:rFonts w:ascii="Arial" w:hAnsi="Arial" w:cs="Arial"/>
          <w:b/>
          <w:bCs/>
          <w:sz w:val="22"/>
          <w:szCs w:val="22"/>
        </w:rPr>
        <w:t>.</w:t>
      </w:r>
    </w:p>
    <w:p w14:paraId="539CF36F" w14:textId="77777777" w:rsidR="00012313" w:rsidRDefault="00012313" w:rsidP="00012313">
      <w:pPr>
        <w:rPr>
          <w:rFonts w:ascii="Arial" w:hAnsi="Arial" w:cs="Arial"/>
          <w:color w:val="FF0000"/>
          <w:sz w:val="22"/>
          <w:szCs w:val="22"/>
        </w:rPr>
      </w:pPr>
    </w:p>
    <w:p w14:paraId="4733D54C" w14:textId="6210EA74" w:rsidR="00012313" w:rsidRDefault="006535CD" w:rsidP="00012313">
      <w:pPr>
        <w:rPr>
          <w:rFonts w:ascii="Arial" w:hAnsi="Arial" w:cs="Arial"/>
          <w:sz w:val="22"/>
          <w:szCs w:val="22"/>
        </w:rPr>
      </w:pPr>
      <w:r>
        <w:rPr>
          <w:noProof/>
        </w:rPr>
        <w:drawing>
          <wp:inline distT="0" distB="0" distL="0" distR="0" wp14:anchorId="3DFF3DFB" wp14:editId="0995A03D">
            <wp:extent cx="5943600" cy="3390900"/>
            <wp:effectExtent l="0" t="0" r="0" b="0"/>
            <wp:docPr id="3" name="Picture 2">
              <a:extLst xmlns:a="http://schemas.openxmlformats.org/drawingml/2006/main">
                <a:ext uri="{FF2B5EF4-FFF2-40B4-BE49-F238E27FC236}">
                  <a16:creationId xmlns:a16="http://schemas.microsoft.com/office/drawing/2014/main" id="{9DDC9F0C-EE85-53B1-08F6-3C11030195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DDC9F0C-EE85-53B1-08F6-3C110301956C}"/>
                        </a:ext>
                      </a:extLst>
                    </pic:cNvPr>
                    <pic:cNvPicPr>
                      <a:picLocks noChangeAspect="1"/>
                    </pic:cNvPicPr>
                  </pic:nvPicPr>
                  <pic:blipFill>
                    <a:blip r:embed="rId5"/>
                    <a:stretch>
                      <a:fillRect/>
                    </a:stretch>
                  </pic:blipFill>
                  <pic:spPr>
                    <a:xfrm>
                      <a:off x="0" y="0"/>
                      <a:ext cx="5943600" cy="3390900"/>
                    </a:xfrm>
                    <a:prstGeom prst="rect">
                      <a:avLst/>
                    </a:prstGeom>
                  </pic:spPr>
                </pic:pic>
              </a:graphicData>
            </a:graphic>
          </wp:inline>
        </w:drawing>
      </w:r>
    </w:p>
    <w:p w14:paraId="2A8A94A2" w14:textId="77777777" w:rsidR="00012313" w:rsidRDefault="00012313" w:rsidP="00012313">
      <w:pPr>
        <w:rPr>
          <w:rFonts w:ascii="Arial" w:hAnsi="Arial" w:cs="Arial"/>
          <w:sz w:val="22"/>
          <w:szCs w:val="22"/>
        </w:rPr>
      </w:pPr>
      <w:r>
        <w:rPr>
          <w:rFonts w:ascii="Arial" w:hAnsi="Arial" w:cs="Arial"/>
          <w:sz w:val="22"/>
          <w:szCs w:val="22"/>
        </w:rPr>
        <w:br w:type="page"/>
      </w:r>
    </w:p>
    <w:p w14:paraId="3B9C4AE6" w14:textId="77777777" w:rsidR="0004146A" w:rsidRDefault="00012313" w:rsidP="00012313">
      <w:pPr>
        <w:rPr>
          <w:rFonts w:ascii="Arial" w:hAnsi="Arial" w:cs="Arial"/>
          <w:b/>
          <w:bCs/>
          <w:sz w:val="22"/>
          <w:szCs w:val="22"/>
        </w:rPr>
      </w:pPr>
      <w:r w:rsidRPr="0004146A">
        <w:rPr>
          <w:rFonts w:ascii="Arial" w:hAnsi="Arial" w:cs="Arial"/>
          <w:b/>
          <w:bCs/>
          <w:sz w:val="22"/>
          <w:szCs w:val="22"/>
        </w:rPr>
        <w:lastRenderedPageBreak/>
        <w:t>Figure S3</w:t>
      </w:r>
      <w:r w:rsidR="0004146A">
        <w:rPr>
          <w:rFonts w:ascii="Arial" w:hAnsi="Arial" w:cs="Arial"/>
          <w:b/>
          <w:bCs/>
          <w:sz w:val="22"/>
          <w:szCs w:val="22"/>
        </w:rPr>
        <w:t>.</w:t>
      </w:r>
    </w:p>
    <w:p w14:paraId="2174E465" w14:textId="47E0215A" w:rsidR="00012313" w:rsidRDefault="00676AF7" w:rsidP="00012313">
      <w:pPr>
        <w:rPr>
          <w:rFonts w:ascii="Arial" w:hAnsi="Arial" w:cs="Arial"/>
          <w:sz w:val="22"/>
          <w:szCs w:val="22"/>
        </w:rPr>
      </w:pPr>
      <w:r w:rsidRPr="00676AF7">
        <w:rPr>
          <w:rFonts w:ascii="Arial" w:hAnsi="Arial" w:cs="Arial"/>
          <w:sz w:val="22"/>
          <w:szCs w:val="22"/>
        </w:rPr>
        <w:drawing>
          <wp:inline distT="0" distB="0" distL="0" distR="0" wp14:anchorId="7C6C4572" wp14:editId="27B90779">
            <wp:extent cx="5943600" cy="6700520"/>
            <wp:effectExtent l="0" t="0" r="0" b="0"/>
            <wp:docPr id="5" name="Picture 4">
              <a:extLst xmlns:a="http://schemas.openxmlformats.org/drawingml/2006/main">
                <a:ext uri="{FF2B5EF4-FFF2-40B4-BE49-F238E27FC236}">
                  <a16:creationId xmlns:a16="http://schemas.microsoft.com/office/drawing/2014/main" id="{0F990B23-FEBD-9FEF-246F-FDD4CE975B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F990B23-FEBD-9FEF-246F-FDD4CE975B74}"/>
                        </a:ext>
                      </a:extLst>
                    </pic:cNvPr>
                    <pic:cNvPicPr>
                      <a:picLocks noChangeAspect="1"/>
                    </pic:cNvPicPr>
                  </pic:nvPicPr>
                  <pic:blipFill>
                    <a:blip r:embed="rId6"/>
                    <a:stretch>
                      <a:fillRect/>
                    </a:stretch>
                  </pic:blipFill>
                  <pic:spPr>
                    <a:xfrm>
                      <a:off x="0" y="0"/>
                      <a:ext cx="5943600" cy="6700520"/>
                    </a:xfrm>
                    <a:prstGeom prst="rect">
                      <a:avLst/>
                    </a:prstGeom>
                  </pic:spPr>
                </pic:pic>
              </a:graphicData>
            </a:graphic>
          </wp:inline>
        </w:drawing>
      </w:r>
    </w:p>
    <w:p w14:paraId="328D7E78" w14:textId="72DB30BF" w:rsidR="00012313" w:rsidRDefault="00012313"/>
    <w:sectPr w:rsidR="00012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313"/>
    <w:rsid w:val="00012313"/>
    <w:rsid w:val="0004146A"/>
    <w:rsid w:val="00152357"/>
    <w:rsid w:val="00515DFF"/>
    <w:rsid w:val="006535CD"/>
    <w:rsid w:val="00676AF7"/>
    <w:rsid w:val="007C5513"/>
    <w:rsid w:val="009B23B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1A95"/>
  <w15:chartTrackingRefBased/>
  <w15:docId w15:val="{1565687D-EFD4-4606-8C5A-73762C26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313"/>
  </w:style>
  <w:style w:type="paragraph" w:styleId="Heading1">
    <w:name w:val="heading 1"/>
    <w:basedOn w:val="Normal"/>
    <w:next w:val="Normal"/>
    <w:link w:val="Heading1Char"/>
    <w:uiPriority w:val="9"/>
    <w:qFormat/>
    <w:rsid w:val="00012313"/>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012313"/>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012313"/>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0123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3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3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3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3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3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313"/>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012313"/>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012313"/>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0123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3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3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3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3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313"/>
    <w:rPr>
      <w:rFonts w:eastAsiaTheme="majorEastAsia" w:cstheme="majorBidi"/>
      <w:color w:val="272727" w:themeColor="text1" w:themeTint="D8"/>
    </w:rPr>
  </w:style>
  <w:style w:type="paragraph" w:styleId="Title">
    <w:name w:val="Title"/>
    <w:basedOn w:val="Normal"/>
    <w:next w:val="Normal"/>
    <w:link w:val="TitleChar"/>
    <w:uiPriority w:val="10"/>
    <w:qFormat/>
    <w:rsid w:val="00012313"/>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012313"/>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012313"/>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012313"/>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012313"/>
    <w:pPr>
      <w:spacing w:before="160"/>
      <w:jc w:val="center"/>
    </w:pPr>
    <w:rPr>
      <w:i/>
      <w:iCs/>
      <w:color w:val="404040" w:themeColor="text1" w:themeTint="BF"/>
    </w:rPr>
  </w:style>
  <w:style w:type="character" w:customStyle="1" w:styleId="QuoteChar">
    <w:name w:val="Quote Char"/>
    <w:basedOn w:val="DefaultParagraphFont"/>
    <w:link w:val="Quote"/>
    <w:uiPriority w:val="29"/>
    <w:rsid w:val="00012313"/>
    <w:rPr>
      <w:i/>
      <w:iCs/>
      <w:color w:val="404040" w:themeColor="text1" w:themeTint="BF"/>
    </w:rPr>
  </w:style>
  <w:style w:type="paragraph" w:styleId="ListParagraph">
    <w:name w:val="List Paragraph"/>
    <w:basedOn w:val="Normal"/>
    <w:uiPriority w:val="34"/>
    <w:qFormat/>
    <w:rsid w:val="00012313"/>
    <w:pPr>
      <w:ind w:left="720"/>
      <w:contextualSpacing/>
    </w:pPr>
  </w:style>
  <w:style w:type="character" w:styleId="IntenseEmphasis">
    <w:name w:val="Intense Emphasis"/>
    <w:basedOn w:val="DefaultParagraphFont"/>
    <w:uiPriority w:val="21"/>
    <w:qFormat/>
    <w:rsid w:val="00012313"/>
    <w:rPr>
      <w:i/>
      <w:iCs/>
      <w:color w:val="0F4761" w:themeColor="accent1" w:themeShade="BF"/>
    </w:rPr>
  </w:style>
  <w:style w:type="paragraph" w:styleId="IntenseQuote">
    <w:name w:val="Intense Quote"/>
    <w:basedOn w:val="Normal"/>
    <w:next w:val="Normal"/>
    <w:link w:val="IntenseQuoteChar"/>
    <w:uiPriority w:val="30"/>
    <w:qFormat/>
    <w:rsid w:val="00012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313"/>
    <w:rPr>
      <w:i/>
      <w:iCs/>
      <w:color w:val="0F4761" w:themeColor="accent1" w:themeShade="BF"/>
    </w:rPr>
  </w:style>
  <w:style w:type="character" w:styleId="IntenseReference">
    <w:name w:val="Intense Reference"/>
    <w:basedOn w:val="DefaultParagraphFont"/>
    <w:uiPriority w:val="32"/>
    <w:qFormat/>
    <w:rsid w:val="000123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Sajina Shakya</dc:creator>
  <cp:keywords/>
  <dc:description/>
  <cp:lastModifiedBy>Sajina Shakya</cp:lastModifiedBy>
  <cp:revision>2</cp:revision>
  <dcterms:created xsi:type="dcterms:W3CDTF">2026-09-01T13:42:00Z</dcterms:created>
  <dcterms:modified xsi:type="dcterms:W3CDTF">2026-09-01T13:42:00Z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3295d5e8-7802-477c-9789-0c2649f4e955</vt:lpwstr>
  </property>
</Properties>
</file>