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80"/>
      </w:pPr>
      <w:r>
        <w:rPr>
          <w:rFonts w:ascii="Times New Roman" w:cs="Times New Roman" w:eastAsia="Times New Roman" w:hAnsi="Times New Roman"/>
          <w:b/>
          <w:bCs/>
          <w:sz w:val="28"/>
          <w:szCs w:val="28"/>
        </w:rPr>
        <w:t xml:space="preserve">Additional file 1: Supplementary tables</w:t>
      </w:r>
    </w:p>
    <w:p>
      <w:pPr>
        <w:spacing w:after="200" w:line="280"/>
      </w:pPr>
      <w:r>
        <w:rPr>
          <w:rFonts w:ascii="Times New Roman" w:cs="Times New Roman" w:eastAsia="Times New Roman" w:hAnsi="Times New Roman"/>
          <w:i/>
          <w:iCs/>
          <w:sz w:val="20"/>
          <w:szCs w:val="20"/>
        </w:rPr>
        <w:t xml:space="preserve">Locomotive dysfunction and spinopelvic sagittal alignment in relation to falls and stumbling in community-dwelling adults: a cross-sectional study</w:t>
      </w:r>
    </w:p>
    <w:p>
      <w:pPr>
        <w:pStyle w:val="Heading1"/>
        <w:spacing w:after="140" w:before="300"/>
      </w:pPr>
      <w:r>
        <w:rPr>
          <w:rFonts w:ascii="Times New Roman" w:cs="Times New Roman" w:eastAsia="Times New Roman" w:hAnsi="Times New Roman"/>
          <w:b/>
          <w:bCs/>
          <w:color w:val="000000"/>
          <w:sz w:val="23"/>
          <w:szCs w:val="23"/>
        </w:rPr>
        <w:t xml:space="preserve">Table S1. Univariable logistic regression for the composite outcome (falls or stumbling), entire cohort</w:t>
      </w:r>
    </w:p>
    <w:tbl>
      <w:tblPr>
        <w:tblW w:type="dxa" w:w="9000"/>
        <w:tblBorders>
          <w:top w:val="single" w:sz="6"/>
          <w:left w:val="none"/>
          <w:bottom w:val="single" w:sz="6"/>
          <w:right w:val="none"/>
          <w:insideH w:val="single" w:color="BFBFBF" w:sz="2"/>
          <w:insideV w:val="none"/>
        </w:tblBorders>
      </w:tblPr>
      <w:tblGrid>
        <w:gridCol w:w="4400"/>
        <w:gridCol w:w="3400"/>
        <w:gridCol w:w="1200"/>
      </w:tblGrid>
      <w:tr>
        <w:trPr>
          <w:tblHeader/>
        </w:trPr>
        <w:tc>
          <w:tcPr>
            <w:tcW w:type="dxa" w:w="44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7"/>
                <w:szCs w:val="17"/>
              </w:rPr>
              <w:t xml:space="preserve">Variable</w:t>
            </w:r>
          </w:p>
        </w:tc>
        <w:tc>
          <w:tcPr>
            <w:tcW w:type="dxa" w:w="34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7"/>
                <w:szCs w:val="17"/>
              </w:rPr>
              <w:t xml:space="preserve">Crude OR (95% CI)</w:t>
            </w:r>
          </w:p>
        </w:tc>
        <w:tc>
          <w:tcPr>
            <w:tcW w:type="dxa" w:w="12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7"/>
                <w:szCs w:val="17"/>
              </w:rPr>
              <w:t xml:space="preserve">P</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Age, years</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1.019 (1.006–1.031)</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0.003</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Female sex</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1.715 (1.184–2.486)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0.004</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Body mass index, kg/m²</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0.962 (0.911–1.016)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0.167</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Bone mineral density, %YAM</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0.984 (0.973–0.996)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0.008</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Skeletal muscle index, kg/m²</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0.765 (0.640–0.914)</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0.003</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Maximum grip strength, kg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0.966 (0.947–0.986)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&lt;0.001</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Gait speed, m/s</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0.762 (0.298–1.948)</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0.570</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Vertebral fracture (Genant grade ≥ 1)</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1.210 (0.700–2.093)</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0.495</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Sleep medication use</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4.609 (1.598–13.291)</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0.005</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Antihypertensive use</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1.144 (0.750–1.745)</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0.533</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Antiosteoporotic agent use</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2.413 (0.884–6.588)</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0.086</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Regular exercise habit</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0.839 (0.574–1.226)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0.365</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GLFS-25 score</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1.106 (1.066–1.147)</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&lt;0.001</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Cervical lordosis,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0.993 (0.979–1.007)</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0.336</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Thoracic kyphosis,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1.004 (0.988–1.020)</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0.614</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Lumbar lordosis,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1.000 (0.985–1.014)</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0.974</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Sacral slope,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1.001 (0.982–1.021)</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0.891</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Pelvic tilt,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1.020 (0.996–1.045)</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0.097</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Pelvic incidence,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1.010 (0.994–1.026)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0.213</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T1 pelvic angle, deg</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1.017 (0.992–1.042)</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0.185</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Sagittal vertical axis, mm</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0.999 (0.993–1.006)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0.798</w:t>
            </w:r>
          </w:p>
        </w:tc>
      </w:tr>
      <w:tr>
        <w:trPr>
          <w:cantSplit/>
        </w:trPr>
        <w:tc>
          <w:tcPr>
            <w:tcW w:type="dxa" w:w="4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Modified GLFS-25 score (24 items)</w:t>
            </w:r>
          </w:p>
        </w:tc>
        <w:tc>
          <w:tcPr>
            <w:tcW w:type="dxa" w:w="34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1.105 (1.065–1.146)</w:t>
            </w:r>
          </w:p>
        </w:tc>
        <w:tc>
          <w:tcPr>
            <w:tcW w:type="dxa" w:w="1200"/>
            <w:tcMar>
              <w:top w:type="dxa" w:w="40"/>
              <w:left w:type="dxa" w:w="80"/>
              <w:bottom w:type="dxa" w:w="40"/>
              <w:right w:type="dxa" w:w="80"/>
            </w:tcMar>
          </w:tcPr>
          <w:p>
            <w:pPr>
              <w:spacing w:line="240"/>
            </w:pPr>
            <w:r>
              <w:rPr>
                <w:rFonts w:ascii="Times New Roman" w:cs="Times New Roman" w:eastAsia="Times New Roman" w:hAnsi="Times New Roman"/>
                <w:b w:val="false"/>
                <w:bCs w:val="false"/>
                <w:sz w:val="17"/>
                <w:szCs w:val="17"/>
              </w:rPr>
              <w:t xml:space="preserve">&lt;0.001</w:t>
            </w:r>
          </w:p>
        </w:tc>
      </w:tr>
    </w:tbl>
    <w:p>
      <w:pPr>
        <w:spacing w:after="200" w:line="280"/>
      </w:pPr>
      <w:r>
        <w:rPr>
          <w:rFonts w:ascii="Times New Roman" w:cs="Times New Roman" w:eastAsia="Times New Roman" w:hAnsi="Times New Roman"/>
          <w:sz w:val="18"/>
          <w:szCs w:val="18"/>
        </w:rPr>
        <w:t>Univariable associations are presented for completeness. They were not used to select variables for the multivariable models, which used a clinically defined adjustment set (Table 2 of the main text). OR, odds ratio; CI, confidence interval; GLFS-25, 25-question Geriatric Locomotive Function Scale; %YAM, percentage of the young adult mean.</w:t>
      </w:r>
    </w:p>
    <w:p>
      <w:r>
        <w:br w:type="page"/>
      </w:r>
    </w:p>
    <w:p>
      <w:pPr>
        <w:pStyle w:val="Heading1"/>
        <w:spacing w:after="140" w:before="300"/>
      </w:pPr>
      <w:r>
        <w:rPr>
          <w:rFonts w:ascii="Times New Roman" w:cs="Times New Roman" w:eastAsia="Times New Roman" w:hAnsi="Times New Roman"/>
          <w:b/>
          <w:bCs/>
          <w:color w:val="000000"/>
          <w:sz w:val="23"/>
          <w:szCs w:val="23"/>
        </w:rPr>
        <w:t xml:space="preserve">Table S2. Intra-observer reliability of the spinopelvic measurements</w:t>
      </w:r>
    </w:p>
    <w:tbl>
      <w:tblPr>
        <w:tblW w:type="dxa" w:w="9800"/>
        <w:tblBorders>
          <w:top w:val="single" w:sz="6"/>
          <w:left w:val="none"/>
          <w:bottom w:val="single" w:sz="6"/>
          <w:right w:val="none"/>
          <w:insideH w:val="single" w:color="BFBFBF" w:sz="2"/>
          <w:insideV w:val="none"/>
        </w:tblBorders>
      </w:tblPr>
      <w:tblGrid>
        <w:gridCol w:w="2900"/>
        <w:gridCol w:w="2100"/>
        <w:gridCol w:w="800"/>
        <w:gridCol w:w="800"/>
        <w:gridCol w:w="1300"/>
        <w:gridCol w:w="1900"/>
      </w:tblGrid>
      <w:tr>
        <w:trPr>
          <w:tblHeader/>
        </w:trPr>
        <w:tc>
          <w:tcPr>
            <w:tcW w:type="dxa" w:w="29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Parameter</w:t>
            </w:r>
          </w:p>
        </w:tc>
        <w:tc>
          <w:tcPr>
            <w:tcW w:type="dxa" w:w="21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Intra-observer ICC (95% CI)</w:t>
            </w:r>
          </w:p>
        </w:tc>
        <w:tc>
          <w:tcPr>
            <w:tcW w:type="dxa" w:w="8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SEM</w:t>
            </w:r>
          </w:p>
        </w:tc>
        <w:tc>
          <w:tcPr>
            <w:tcW w:type="dxa" w:w="8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MDC</w:t>
            </w:r>
          </w:p>
        </w:tc>
        <w:tc>
          <w:tcPr>
            <w:tcW w:type="dxa" w:w="13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Mean difference</w:t>
            </w:r>
          </w:p>
        </w:tc>
        <w:tc>
          <w:tcPr>
            <w:tcW w:type="dxa" w:w="1900"/>
            <w:shd w:fill="EFEFEF" w:val="clear"/>
            <w:tcMar>
              <w:top w:type="dxa" w:w="40"/>
              <w:left w:type="dxa" w:w="80"/>
              <w:bottom w:type="dxa" w:w="40"/>
              <w:right w:type="dxa" w:w="80"/>
            </w:tcMar>
          </w:tcPr>
          <w:p>
            <w:pPr>
              <w:spacing w:line="240"/>
            </w:pPr>
            <w:r>
              <w:rPr>
                <w:rFonts w:ascii="Times New Roman" w:cs="Times New Roman" w:eastAsia="Times New Roman" w:hAnsi="Times New Roman"/>
                <w:b/>
                <w:bCs/>
                <w:sz w:val="16"/>
                <w:szCs w:val="16"/>
              </w:rPr>
              <w:t xml:space="preserve">Limits of agreement</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Cervical lordosis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0.916 (0.832–0.959)</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2.40</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6.66</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+0.51</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-6.15 to +7.17</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Thoracic kyphosis, T4–T12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0.967 (0.933–0.984)</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2.22</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6.15</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+0.08</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-6.07 to +6.23</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Lumbar lordosis, L1–S1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0.978 (0.954–0.989)</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2.04</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5.67</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+0.24</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-5.43 to +5.90</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Sacral slope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0.978 (0.954–0.989)</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1.63</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4.52</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+0.60</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-3.92 to +5.11</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Pelvic tilt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0.991 (0.982–0.996)</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0.67</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1.85</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+0.04</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-1.80 to +1.89</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Pelvic incidence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0.973 (0.943–0.987)</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1.91</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5.28</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+0.64</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-4.64 to +5.92</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T1 pelvic angle (deg)</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0.993 (0.986–0.997)</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0.60</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1.66</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+0.05</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-1.61 to +1.71</w:t>
            </w:r>
          </w:p>
        </w:tc>
      </w:tr>
      <w:tr>
        <w:trPr>
          <w:cantSplit/>
        </w:trPr>
        <w:tc>
          <w:tcPr>
            <w:tcW w:type="dxa" w:w="2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Sagittal vertical axis (mm)</w:t>
            </w:r>
          </w:p>
        </w:tc>
        <w:tc>
          <w:tcPr>
            <w:tcW w:type="dxa" w:w="21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0.999 (0.998–0.999)</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0.58</w:t>
            </w:r>
          </w:p>
        </w:tc>
        <w:tc>
          <w:tcPr>
            <w:tcW w:type="dxa" w:w="8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1.62</w:t>
            </w:r>
          </w:p>
        </w:tc>
        <w:tc>
          <w:tcPr>
            <w:tcW w:type="dxa" w:w="13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-0.50</w:t>
            </w:r>
          </w:p>
        </w:tc>
        <w:tc>
          <w:tcPr>
            <w:tcW w:type="dxa" w:w="1900"/>
            <w:tcMar>
              <w:top w:type="dxa" w:w="40"/>
              <w:left w:type="dxa" w:w="80"/>
              <w:bottom w:type="dxa" w:w="40"/>
              <w:right w:type="dxa" w:w="80"/>
            </w:tcMar>
          </w:tcPr>
          <w:p>
            <w:pPr>
              <w:spacing w:line="240"/>
            </w:pPr>
            <w:r>
              <w:rPr>
                <w:rFonts w:ascii="Times New Roman" w:cs="Times New Roman" w:eastAsia="Times New Roman" w:hAnsi="Times New Roman"/>
                <w:b w:val="false"/>
                <w:bCs w:val="false"/>
                <w:sz w:val="16"/>
                <w:szCs w:val="16"/>
              </w:rPr>
              <w:t xml:space="preserve">-2.12 to +1.12</w:t>
            </w:r>
          </w:p>
        </w:tc>
      </w:tr>
    </w:tbl>
    <w:p>
      <w:pPr>
        <w:spacing w:after="200" w:line="280"/>
      </w:pPr>
      <w:r>
        <w:rPr>
          <w:rFonts w:ascii="Times New Roman" w:cs="Times New Roman" w:eastAsia="Times New Roman" w:hAnsi="Times New Roman"/>
          <w:sz w:val="18"/>
          <w:szCs w:val="18"/>
        </w:rPr>
        <w:t xml:space="preserve">Thirty radiographs were selected at random and remeasured by the same observer four weeks after the first measurement, from the images alone and without reference to the original values. ICC, intraclass correlation coefficient (two-way mixed effects, absolute agreement, single measurement). Mean difference and limits of agreement are the first measurement minus the second, in the unit of the parameter. SEM, standard error of measurement; MDC, minimal detectable change (1.96 × √2 × SEM).</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2026-09-16T13:36:16.093Z</dcterms:created>
  <dcterms:modified xsi:type="dcterms:W3CDTF">2026-09-16T13:36:16.093Z</dcterms:modified>
</cp:coreProperties>
</file>

<file path=docProps/custom.xml><?xml version="1.0" encoding="utf-8"?>
<Properties xmlns="http://schemas.openxmlformats.org/officeDocument/2006/custom-properties" xmlns:vt="http://schemas.openxmlformats.org/officeDocument/2006/docPropsVTypes"/>
</file>