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1E903" w14:textId="1E602869" w:rsidR="00771861" w:rsidRPr="00C745A9" w:rsidRDefault="00C745A9" w:rsidP="00C745A9">
      <w:pPr>
        <w:rPr>
          <w:rFonts w:asciiTheme="majorBidi" w:hAnsiTheme="majorBidi" w:cstheme="majorBidi"/>
        </w:rPr>
      </w:pPr>
      <w:r w:rsidRPr="00C745A9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</w:t>
      </w:r>
      <w:r w:rsidR="004D300F">
        <w:rPr>
          <w:rFonts w:asciiTheme="majorBidi" w:hAnsiTheme="majorBidi" w:cstheme="majorBidi"/>
        </w:rPr>
        <w:t>1</w:t>
      </w:r>
      <w:r w:rsidRPr="00C745A9">
        <w:rPr>
          <w:rFonts w:asciiTheme="majorBidi" w:hAnsiTheme="majorBidi" w:cstheme="majorBidi"/>
        </w:rPr>
        <w:t>. List of chemicals, reagents, their purity, and suppliers used in the present study.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0"/>
        <w:gridCol w:w="2665"/>
        <w:gridCol w:w="2041"/>
        <w:gridCol w:w="2414"/>
      </w:tblGrid>
      <w:tr w:rsidR="00C745A9" w:rsidRPr="00505BC7" w14:paraId="3FB3F1D8" w14:textId="77777777" w:rsidTr="00505B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9AEE3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Experiment</w:t>
            </w:r>
          </w:p>
        </w:tc>
        <w:tc>
          <w:tcPr>
            <w:tcW w:w="0" w:type="auto"/>
            <w:vAlign w:val="center"/>
            <w:hideMark/>
          </w:tcPr>
          <w:p w14:paraId="53B10AC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Material / reagent</w:t>
            </w:r>
          </w:p>
        </w:tc>
        <w:tc>
          <w:tcPr>
            <w:tcW w:w="2011" w:type="dxa"/>
            <w:vAlign w:val="center"/>
            <w:hideMark/>
          </w:tcPr>
          <w:p w14:paraId="49F7054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Suggested purity / grade</w:t>
            </w:r>
          </w:p>
        </w:tc>
        <w:tc>
          <w:tcPr>
            <w:tcW w:w="2369" w:type="dxa"/>
            <w:vAlign w:val="center"/>
            <w:hideMark/>
          </w:tcPr>
          <w:p w14:paraId="24933DB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Manufacturer</w:t>
            </w:r>
          </w:p>
        </w:tc>
      </w:tr>
      <w:tr w:rsidR="00C745A9" w:rsidRPr="00505BC7" w14:paraId="2E17ECD5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1CD2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Plant extraction</w:t>
            </w:r>
          </w:p>
        </w:tc>
        <w:tc>
          <w:tcPr>
            <w:tcW w:w="0" w:type="auto"/>
            <w:vAlign w:val="center"/>
            <w:hideMark/>
          </w:tcPr>
          <w:p w14:paraId="5E390BC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Illicium verum</w:t>
            </w:r>
            <w:r w:rsidRPr="00505BC7">
              <w:rPr>
                <w:rFonts w:asciiTheme="majorBidi" w:hAnsiTheme="majorBidi" w:cstheme="majorBidi"/>
                <w:sz w:val="22"/>
                <w:szCs w:val="22"/>
              </w:rPr>
              <w:t xml:space="preserve"> Hook. f. fruits</w:t>
            </w:r>
          </w:p>
        </w:tc>
        <w:tc>
          <w:tcPr>
            <w:tcW w:w="2011" w:type="dxa"/>
            <w:vAlign w:val="center"/>
            <w:hideMark/>
          </w:tcPr>
          <w:p w14:paraId="4D86397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Dried plant material</w:t>
            </w:r>
          </w:p>
        </w:tc>
        <w:tc>
          <w:tcPr>
            <w:tcW w:w="2369" w:type="dxa"/>
            <w:vAlign w:val="center"/>
            <w:hideMark/>
          </w:tcPr>
          <w:p w14:paraId="3158934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National Research Centre, Cairo, Egypt</w:t>
            </w:r>
          </w:p>
        </w:tc>
      </w:tr>
      <w:tr w:rsidR="00C745A9" w:rsidRPr="00505BC7" w14:paraId="110E1F18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5648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Plant extraction</w:t>
            </w:r>
          </w:p>
        </w:tc>
        <w:tc>
          <w:tcPr>
            <w:tcW w:w="0" w:type="auto"/>
            <w:vAlign w:val="center"/>
            <w:hideMark/>
          </w:tcPr>
          <w:p w14:paraId="094E248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Ethanol 70% v/v</w:t>
            </w:r>
          </w:p>
        </w:tc>
        <w:tc>
          <w:tcPr>
            <w:tcW w:w="2011" w:type="dxa"/>
            <w:vAlign w:val="center"/>
            <w:hideMark/>
          </w:tcPr>
          <w:p w14:paraId="15DCEDB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Analytical grade</w:t>
            </w:r>
          </w:p>
        </w:tc>
        <w:tc>
          <w:tcPr>
            <w:tcW w:w="2369" w:type="dxa"/>
            <w:vAlign w:val="center"/>
            <w:hideMark/>
          </w:tcPr>
          <w:p w14:paraId="5798840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7A78C2EF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B9CA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Filtration</w:t>
            </w:r>
          </w:p>
        </w:tc>
        <w:tc>
          <w:tcPr>
            <w:tcW w:w="0" w:type="auto"/>
            <w:vAlign w:val="center"/>
            <w:hideMark/>
          </w:tcPr>
          <w:p w14:paraId="4F46AB8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Whatman No. 1 filter paper</w:t>
            </w:r>
          </w:p>
        </w:tc>
        <w:tc>
          <w:tcPr>
            <w:tcW w:w="2011" w:type="dxa"/>
            <w:vAlign w:val="center"/>
            <w:hideMark/>
          </w:tcPr>
          <w:p w14:paraId="6530597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—</w:t>
            </w:r>
          </w:p>
        </w:tc>
        <w:tc>
          <w:tcPr>
            <w:tcW w:w="2369" w:type="dxa"/>
            <w:vAlign w:val="center"/>
            <w:hideMark/>
          </w:tcPr>
          <w:p w14:paraId="0AE47C1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Whatman, UK</w:t>
            </w:r>
          </w:p>
        </w:tc>
      </w:tr>
      <w:tr w:rsidR="00C745A9" w:rsidRPr="00505BC7" w14:paraId="2B535612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B497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Sample filtration</w:t>
            </w:r>
          </w:p>
        </w:tc>
        <w:tc>
          <w:tcPr>
            <w:tcW w:w="0" w:type="auto"/>
            <w:vAlign w:val="center"/>
            <w:hideMark/>
          </w:tcPr>
          <w:p w14:paraId="489DC01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0.22 µm syringe/membrane filter</w:t>
            </w:r>
          </w:p>
        </w:tc>
        <w:tc>
          <w:tcPr>
            <w:tcW w:w="2011" w:type="dxa"/>
            <w:vAlign w:val="center"/>
            <w:hideMark/>
          </w:tcPr>
          <w:p w14:paraId="66DEB06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Sterile / analytical</w:t>
            </w:r>
          </w:p>
        </w:tc>
        <w:tc>
          <w:tcPr>
            <w:tcW w:w="2369" w:type="dxa"/>
            <w:vAlign w:val="center"/>
            <w:hideMark/>
          </w:tcPr>
          <w:p w14:paraId="08226A4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Millipore / Merck</w:t>
            </w:r>
          </w:p>
        </w:tc>
      </w:tr>
      <w:tr w:rsidR="00C745A9" w:rsidRPr="00505BC7" w14:paraId="0C0004A8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9C030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</w:t>
            </w:r>
          </w:p>
        </w:tc>
        <w:tc>
          <w:tcPr>
            <w:tcW w:w="0" w:type="auto"/>
            <w:vAlign w:val="center"/>
            <w:hideMark/>
          </w:tcPr>
          <w:p w14:paraId="71EECE7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Methanol</w:t>
            </w:r>
          </w:p>
        </w:tc>
        <w:tc>
          <w:tcPr>
            <w:tcW w:w="2011" w:type="dxa"/>
            <w:vAlign w:val="center"/>
            <w:hideMark/>
          </w:tcPr>
          <w:p w14:paraId="7174CEE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 grade ≥99.9%</w:t>
            </w:r>
          </w:p>
        </w:tc>
        <w:tc>
          <w:tcPr>
            <w:tcW w:w="2369" w:type="dxa"/>
            <w:vAlign w:val="center"/>
            <w:hideMark/>
          </w:tcPr>
          <w:p w14:paraId="29325BF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1EC795CD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F4B4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</w:t>
            </w:r>
          </w:p>
        </w:tc>
        <w:tc>
          <w:tcPr>
            <w:tcW w:w="0" w:type="auto"/>
            <w:vAlign w:val="center"/>
            <w:hideMark/>
          </w:tcPr>
          <w:p w14:paraId="00B840C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Acetonitrile</w:t>
            </w:r>
          </w:p>
        </w:tc>
        <w:tc>
          <w:tcPr>
            <w:tcW w:w="2011" w:type="dxa"/>
            <w:vAlign w:val="center"/>
            <w:hideMark/>
          </w:tcPr>
          <w:p w14:paraId="379B007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 grade ≥99.9%</w:t>
            </w:r>
          </w:p>
        </w:tc>
        <w:tc>
          <w:tcPr>
            <w:tcW w:w="2369" w:type="dxa"/>
            <w:vAlign w:val="center"/>
            <w:hideMark/>
          </w:tcPr>
          <w:p w14:paraId="506DC91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0B603370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AA04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HPLC</w:t>
            </w:r>
          </w:p>
        </w:tc>
        <w:tc>
          <w:tcPr>
            <w:tcW w:w="0" w:type="auto"/>
            <w:vAlign w:val="center"/>
            <w:hideMark/>
          </w:tcPr>
          <w:p w14:paraId="1D73B69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Phenolic/flavonoid standards</w:t>
            </w:r>
          </w:p>
        </w:tc>
        <w:tc>
          <w:tcPr>
            <w:tcW w:w="2011" w:type="dxa"/>
            <w:vAlign w:val="center"/>
            <w:hideMark/>
          </w:tcPr>
          <w:p w14:paraId="7B30567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0871A8A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2DB707CC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2139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CuO synthesis</w:t>
            </w:r>
          </w:p>
        </w:tc>
        <w:tc>
          <w:tcPr>
            <w:tcW w:w="0" w:type="auto"/>
            <w:vAlign w:val="center"/>
            <w:hideMark/>
          </w:tcPr>
          <w:p w14:paraId="58D5B79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 xml:space="preserve">Copper sulfate pentahydrate, </w:t>
            </w:r>
            <w:proofErr w:type="spellStart"/>
            <w:r w:rsidRPr="00505BC7">
              <w:rPr>
                <w:rFonts w:asciiTheme="majorBidi" w:hAnsiTheme="majorBidi" w:cstheme="majorBidi"/>
                <w:sz w:val="22"/>
                <w:szCs w:val="22"/>
              </w:rPr>
              <w:t>CuSO</w:t>
            </w:r>
            <w:proofErr w:type="spellEnd"/>
            <w:r w:rsidRPr="00505BC7">
              <w:rPr>
                <w:rFonts w:asciiTheme="majorBidi" w:hAnsiTheme="majorBidi" w:cstheme="majorBidi"/>
                <w:sz w:val="22"/>
                <w:szCs w:val="22"/>
              </w:rPr>
              <w:t>₄·5H₂O</w:t>
            </w:r>
          </w:p>
        </w:tc>
        <w:tc>
          <w:tcPr>
            <w:tcW w:w="2011" w:type="dxa"/>
            <w:vAlign w:val="center"/>
            <w:hideMark/>
          </w:tcPr>
          <w:p w14:paraId="19F1A0E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≥99%</w:t>
            </w:r>
          </w:p>
        </w:tc>
        <w:tc>
          <w:tcPr>
            <w:tcW w:w="2369" w:type="dxa"/>
            <w:vAlign w:val="center"/>
            <w:hideMark/>
          </w:tcPr>
          <w:p w14:paraId="65B6B7D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2C70BC4D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2F76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CuO synthesis</w:t>
            </w:r>
          </w:p>
        </w:tc>
        <w:tc>
          <w:tcPr>
            <w:tcW w:w="0" w:type="auto"/>
            <w:vAlign w:val="center"/>
            <w:hideMark/>
          </w:tcPr>
          <w:p w14:paraId="29C9D92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Sodium hydroxide, NaOH</w:t>
            </w:r>
          </w:p>
        </w:tc>
        <w:tc>
          <w:tcPr>
            <w:tcW w:w="2011" w:type="dxa"/>
            <w:vAlign w:val="center"/>
            <w:hideMark/>
          </w:tcPr>
          <w:p w14:paraId="3F9D540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11ACC79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584245F1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4996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CuO synthesis/washing</w:t>
            </w:r>
          </w:p>
        </w:tc>
        <w:tc>
          <w:tcPr>
            <w:tcW w:w="0" w:type="auto"/>
            <w:vAlign w:val="center"/>
            <w:hideMark/>
          </w:tcPr>
          <w:p w14:paraId="71AE16E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Distilled water</w:t>
            </w:r>
          </w:p>
        </w:tc>
        <w:tc>
          <w:tcPr>
            <w:tcW w:w="2011" w:type="dxa"/>
            <w:vAlign w:val="center"/>
            <w:hideMark/>
          </w:tcPr>
          <w:p w14:paraId="3EB179F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—</w:t>
            </w:r>
          </w:p>
        </w:tc>
        <w:tc>
          <w:tcPr>
            <w:tcW w:w="2369" w:type="dxa"/>
            <w:vAlign w:val="center"/>
            <w:hideMark/>
          </w:tcPr>
          <w:p w14:paraId="39A05DF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Laboratory prepared</w:t>
            </w:r>
          </w:p>
        </w:tc>
      </w:tr>
      <w:tr w:rsidR="00C745A9" w:rsidRPr="00505BC7" w14:paraId="1D15D420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20DA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CuO synthesis/washing</w:t>
            </w:r>
          </w:p>
        </w:tc>
        <w:tc>
          <w:tcPr>
            <w:tcW w:w="0" w:type="auto"/>
            <w:vAlign w:val="center"/>
            <w:hideMark/>
          </w:tcPr>
          <w:p w14:paraId="7551ECF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Ethanol</w:t>
            </w:r>
          </w:p>
        </w:tc>
        <w:tc>
          <w:tcPr>
            <w:tcW w:w="2011" w:type="dxa"/>
            <w:vAlign w:val="center"/>
            <w:hideMark/>
          </w:tcPr>
          <w:p w14:paraId="62FBEBB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Analytical grade ≥99.5%</w:t>
            </w:r>
          </w:p>
        </w:tc>
        <w:tc>
          <w:tcPr>
            <w:tcW w:w="2369" w:type="dxa"/>
            <w:vAlign w:val="center"/>
            <w:hideMark/>
          </w:tcPr>
          <w:p w14:paraId="758F7F5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5E8E0EB9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7921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2B2C344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SKOV3 cells</w:t>
            </w:r>
          </w:p>
        </w:tc>
        <w:tc>
          <w:tcPr>
            <w:tcW w:w="2011" w:type="dxa"/>
            <w:vAlign w:val="center"/>
            <w:hideMark/>
          </w:tcPr>
          <w:p w14:paraId="59DD686B" w14:textId="27602233" w:rsidR="00C745A9" w:rsidRPr="00505BC7" w:rsidRDefault="00505BC7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SKOV3 (ATCC HTB-77) cells</w:t>
            </w:r>
          </w:p>
        </w:tc>
        <w:tc>
          <w:tcPr>
            <w:tcW w:w="2369" w:type="dxa"/>
            <w:vAlign w:val="center"/>
            <w:hideMark/>
          </w:tcPr>
          <w:p w14:paraId="1DFBC3AA" w14:textId="29842E37" w:rsidR="00C745A9" w:rsidRPr="00505BC7" w:rsidRDefault="00505BC7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ATCC, Manassas, VA, USA</w:t>
            </w:r>
          </w:p>
        </w:tc>
      </w:tr>
      <w:tr w:rsidR="00C745A9" w:rsidRPr="00505BC7" w14:paraId="66A68774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7B15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0FBC14A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Vero cells</w:t>
            </w:r>
          </w:p>
        </w:tc>
        <w:tc>
          <w:tcPr>
            <w:tcW w:w="2011" w:type="dxa"/>
            <w:vAlign w:val="center"/>
            <w:hideMark/>
          </w:tcPr>
          <w:p w14:paraId="3D720D29" w14:textId="219FF16A" w:rsidR="00C745A9" w:rsidRPr="00505BC7" w:rsidRDefault="00505BC7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Vero (ATCC CCL-81) cells</w:t>
            </w:r>
          </w:p>
        </w:tc>
        <w:tc>
          <w:tcPr>
            <w:tcW w:w="2369" w:type="dxa"/>
            <w:vAlign w:val="center"/>
            <w:hideMark/>
          </w:tcPr>
          <w:p w14:paraId="5B6FAF57" w14:textId="5CCCAFF2" w:rsidR="00C745A9" w:rsidRPr="00505BC7" w:rsidRDefault="00505BC7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ATCC, Manassas, VA, USA</w:t>
            </w:r>
          </w:p>
        </w:tc>
      </w:tr>
      <w:tr w:rsidR="00C745A9" w:rsidRPr="00505BC7" w14:paraId="4A9CA84E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747B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35779B90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DMEM medium</w:t>
            </w:r>
          </w:p>
        </w:tc>
        <w:tc>
          <w:tcPr>
            <w:tcW w:w="2011" w:type="dxa"/>
            <w:vAlign w:val="center"/>
            <w:hideMark/>
          </w:tcPr>
          <w:p w14:paraId="4897B9D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 grade</w:t>
            </w:r>
          </w:p>
        </w:tc>
        <w:tc>
          <w:tcPr>
            <w:tcW w:w="2369" w:type="dxa"/>
            <w:vAlign w:val="center"/>
            <w:hideMark/>
          </w:tcPr>
          <w:p w14:paraId="7FC1D88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Gibco / Thermo Fisher Scientific</w:t>
            </w:r>
          </w:p>
        </w:tc>
      </w:tr>
      <w:tr w:rsidR="00C745A9" w:rsidRPr="00505BC7" w14:paraId="1430D983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19C8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2E0E482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Fetal bovine serum, FBS</w:t>
            </w:r>
          </w:p>
        </w:tc>
        <w:tc>
          <w:tcPr>
            <w:tcW w:w="2011" w:type="dxa"/>
            <w:vAlign w:val="center"/>
            <w:hideMark/>
          </w:tcPr>
          <w:p w14:paraId="74F3A01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 grade</w:t>
            </w:r>
          </w:p>
        </w:tc>
        <w:tc>
          <w:tcPr>
            <w:tcW w:w="2369" w:type="dxa"/>
            <w:vAlign w:val="center"/>
            <w:hideMark/>
          </w:tcPr>
          <w:p w14:paraId="41527A7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Gibco / Thermo Fisher Scientific</w:t>
            </w:r>
          </w:p>
        </w:tc>
      </w:tr>
      <w:tr w:rsidR="00C745A9" w:rsidRPr="00505BC7" w14:paraId="04D52C26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5257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</w:t>
            </w:r>
          </w:p>
        </w:tc>
        <w:tc>
          <w:tcPr>
            <w:tcW w:w="0" w:type="auto"/>
            <w:vAlign w:val="center"/>
            <w:hideMark/>
          </w:tcPr>
          <w:p w14:paraId="134C47B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Penicillin–streptomycin</w:t>
            </w:r>
          </w:p>
        </w:tc>
        <w:tc>
          <w:tcPr>
            <w:tcW w:w="2011" w:type="dxa"/>
            <w:vAlign w:val="center"/>
            <w:hideMark/>
          </w:tcPr>
          <w:p w14:paraId="7068E5E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culture grade</w:t>
            </w:r>
          </w:p>
        </w:tc>
        <w:tc>
          <w:tcPr>
            <w:tcW w:w="2369" w:type="dxa"/>
            <w:vAlign w:val="center"/>
            <w:hideMark/>
          </w:tcPr>
          <w:p w14:paraId="0348399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Gibco / Thermo Fisher Scientific</w:t>
            </w:r>
          </w:p>
        </w:tc>
      </w:tr>
      <w:tr w:rsidR="00C745A9" w:rsidRPr="00505BC7" w14:paraId="3DC3BD47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B5154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MTT assay</w:t>
            </w:r>
          </w:p>
        </w:tc>
        <w:tc>
          <w:tcPr>
            <w:tcW w:w="0" w:type="auto"/>
            <w:vAlign w:val="center"/>
            <w:hideMark/>
          </w:tcPr>
          <w:p w14:paraId="2A3BAB5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MTT reagent</w:t>
            </w:r>
          </w:p>
        </w:tc>
        <w:tc>
          <w:tcPr>
            <w:tcW w:w="2011" w:type="dxa"/>
            <w:vAlign w:val="center"/>
            <w:hideMark/>
          </w:tcPr>
          <w:p w14:paraId="4E2A180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3FE7E18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1D8C3BD5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1205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Apoptosis assay</w:t>
            </w:r>
          </w:p>
        </w:tc>
        <w:tc>
          <w:tcPr>
            <w:tcW w:w="0" w:type="auto"/>
            <w:vAlign w:val="center"/>
            <w:hideMark/>
          </w:tcPr>
          <w:p w14:paraId="7282716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Annexin V-FITC/PI kit</w:t>
            </w:r>
          </w:p>
        </w:tc>
        <w:tc>
          <w:tcPr>
            <w:tcW w:w="2011" w:type="dxa"/>
            <w:vAlign w:val="center"/>
            <w:hideMark/>
          </w:tcPr>
          <w:p w14:paraId="1144BD4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Flow cytometry grade</w:t>
            </w:r>
          </w:p>
        </w:tc>
        <w:tc>
          <w:tcPr>
            <w:tcW w:w="2369" w:type="dxa"/>
            <w:vAlign w:val="center"/>
            <w:hideMark/>
          </w:tcPr>
          <w:p w14:paraId="151D3BC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BD Biosciences / Thermo Fisher</w:t>
            </w:r>
          </w:p>
        </w:tc>
      </w:tr>
      <w:tr w:rsidR="00C745A9" w:rsidRPr="00505BC7" w14:paraId="1D4A0A00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026B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cycle</w:t>
            </w:r>
          </w:p>
        </w:tc>
        <w:tc>
          <w:tcPr>
            <w:tcW w:w="0" w:type="auto"/>
            <w:vAlign w:val="center"/>
            <w:hideMark/>
          </w:tcPr>
          <w:p w14:paraId="5D3AB14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 xml:space="preserve">Vybrant® </w:t>
            </w:r>
            <w:proofErr w:type="spellStart"/>
            <w:r w:rsidRPr="00505BC7">
              <w:rPr>
                <w:rFonts w:asciiTheme="majorBidi" w:hAnsiTheme="majorBidi" w:cstheme="majorBidi"/>
                <w:sz w:val="22"/>
                <w:szCs w:val="22"/>
              </w:rPr>
              <w:t>DyeCycle</w:t>
            </w:r>
            <w:proofErr w:type="spellEnd"/>
            <w:r w:rsidRPr="00505BC7">
              <w:rPr>
                <w:rFonts w:asciiTheme="majorBidi" w:hAnsiTheme="majorBidi" w:cstheme="majorBidi"/>
                <w:sz w:val="22"/>
                <w:szCs w:val="22"/>
              </w:rPr>
              <w:t>™ Violet</w:t>
            </w:r>
          </w:p>
        </w:tc>
        <w:tc>
          <w:tcPr>
            <w:tcW w:w="2011" w:type="dxa"/>
            <w:vAlign w:val="center"/>
            <w:hideMark/>
          </w:tcPr>
          <w:p w14:paraId="2FB0708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Cell cycle dye</w:t>
            </w:r>
          </w:p>
        </w:tc>
        <w:tc>
          <w:tcPr>
            <w:tcW w:w="2369" w:type="dxa"/>
            <w:vAlign w:val="center"/>
            <w:hideMark/>
          </w:tcPr>
          <w:p w14:paraId="1ED99C3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Thermo Fisher Scientific</w:t>
            </w:r>
          </w:p>
        </w:tc>
      </w:tr>
      <w:tr w:rsidR="00C745A9" w:rsidRPr="00505BC7" w14:paraId="6F754E71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E61B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qPCR</w:t>
            </w:r>
          </w:p>
        </w:tc>
        <w:tc>
          <w:tcPr>
            <w:tcW w:w="0" w:type="auto"/>
            <w:vAlign w:val="center"/>
            <w:hideMark/>
          </w:tcPr>
          <w:p w14:paraId="71A685E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505BC7">
              <w:rPr>
                <w:rFonts w:asciiTheme="majorBidi" w:hAnsiTheme="majorBidi" w:cstheme="majorBidi"/>
                <w:sz w:val="22"/>
                <w:szCs w:val="22"/>
              </w:rPr>
              <w:t>TRIzol</w:t>
            </w:r>
            <w:proofErr w:type="spellEnd"/>
            <w:r w:rsidRPr="00505BC7">
              <w:rPr>
                <w:rFonts w:asciiTheme="majorBidi" w:hAnsiTheme="majorBidi" w:cstheme="majorBidi"/>
                <w:sz w:val="22"/>
                <w:szCs w:val="22"/>
              </w:rPr>
              <w:t xml:space="preserve"> reagent</w:t>
            </w:r>
          </w:p>
        </w:tc>
        <w:tc>
          <w:tcPr>
            <w:tcW w:w="2011" w:type="dxa"/>
            <w:vAlign w:val="center"/>
            <w:hideMark/>
          </w:tcPr>
          <w:p w14:paraId="1C6C27D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Molecular biology grade</w:t>
            </w:r>
          </w:p>
        </w:tc>
        <w:tc>
          <w:tcPr>
            <w:tcW w:w="2369" w:type="dxa"/>
            <w:vAlign w:val="center"/>
            <w:hideMark/>
          </w:tcPr>
          <w:p w14:paraId="7C41480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Invitrogen / Thermo Fisher</w:t>
            </w:r>
          </w:p>
        </w:tc>
      </w:tr>
      <w:tr w:rsidR="00C745A9" w:rsidRPr="00505BC7" w14:paraId="0D7029FB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F48D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qPCR</w:t>
            </w:r>
          </w:p>
        </w:tc>
        <w:tc>
          <w:tcPr>
            <w:tcW w:w="0" w:type="auto"/>
            <w:vAlign w:val="center"/>
            <w:hideMark/>
          </w:tcPr>
          <w:p w14:paraId="36AA9A2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Reverse transcription kit</w:t>
            </w:r>
          </w:p>
        </w:tc>
        <w:tc>
          <w:tcPr>
            <w:tcW w:w="2011" w:type="dxa"/>
            <w:vAlign w:val="center"/>
            <w:hideMark/>
          </w:tcPr>
          <w:p w14:paraId="49E8A48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Molecular biology grade</w:t>
            </w:r>
          </w:p>
        </w:tc>
        <w:tc>
          <w:tcPr>
            <w:tcW w:w="2369" w:type="dxa"/>
            <w:vAlign w:val="center"/>
            <w:hideMark/>
          </w:tcPr>
          <w:p w14:paraId="7CFCE87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Thermo Fisher / Applied Biosystems</w:t>
            </w:r>
          </w:p>
        </w:tc>
      </w:tr>
      <w:tr w:rsidR="00C745A9" w:rsidRPr="00505BC7" w14:paraId="359340D2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72D9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qPCR</w:t>
            </w:r>
          </w:p>
        </w:tc>
        <w:tc>
          <w:tcPr>
            <w:tcW w:w="0" w:type="auto"/>
            <w:vAlign w:val="center"/>
            <w:hideMark/>
          </w:tcPr>
          <w:p w14:paraId="656BF40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SYBR Green Master Mix</w:t>
            </w:r>
          </w:p>
        </w:tc>
        <w:tc>
          <w:tcPr>
            <w:tcW w:w="2011" w:type="dxa"/>
            <w:vAlign w:val="center"/>
            <w:hideMark/>
          </w:tcPr>
          <w:p w14:paraId="797DC75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qPCR grade</w:t>
            </w:r>
          </w:p>
        </w:tc>
        <w:tc>
          <w:tcPr>
            <w:tcW w:w="2369" w:type="dxa"/>
            <w:vAlign w:val="center"/>
            <w:hideMark/>
          </w:tcPr>
          <w:p w14:paraId="69567A00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Applied Biosystems</w:t>
            </w:r>
          </w:p>
        </w:tc>
      </w:tr>
      <w:tr w:rsidR="00C745A9" w:rsidRPr="00505BC7" w14:paraId="0C0F06BF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A8490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132C851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α-Glucosidase</w:t>
            </w:r>
          </w:p>
        </w:tc>
        <w:tc>
          <w:tcPr>
            <w:tcW w:w="2011" w:type="dxa"/>
            <w:vAlign w:val="center"/>
            <w:hideMark/>
          </w:tcPr>
          <w:p w14:paraId="2DF9C7A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Enzymatic grade</w:t>
            </w:r>
          </w:p>
        </w:tc>
        <w:tc>
          <w:tcPr>
            <w:tcW w:w="2369" w:type="dxa"/>
            <w:vAlign w:val="center"/>
            <w:hideMark/>
          </w:tcPr>
          <w:p w14:paraId="626D096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6C7E61A9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27BB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23D018E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505BC7">
              <w:rPr>
                <w:rFonts w:asciiTheme="majorBidi" w:hAnsiTheme="majorBidi" w:cstheme="majorBidi"/>
                <w:sz w:val="22"/>
                <w:szCs w:val="22"/>
              </w:rPr>
              <w:t>pNPG</w:t>
            </w:r>
            <w:proofErr w:type="spellEnd"/>
          </w:p>
        </w:tc>
        <w:tc>
          <w:tcPr>
            <w:tcW w:w="2011" w:type="dxa"/>
            <w:vAlign w:val="center"/>
            <w:hideMark/>
          </w:tcPr>
          <w:p w14:paraId="015758F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0EFBC9E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3DBEF73A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5908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04379F6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Sodium carbonate</w:t>
            </w:r>
          </w:p>
        </w:tc>
        <w:tc>
          <w:tcPr>
            <w:tcW w:w="2011" w:type="dxa"/>
            <w:vAlign w:val="center"/>
            <w:hideMark/>
          </w:tcPr>
          <w:p w14:paraId="64EC24D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≥99%</w:t>
            </w:r>
          </w:p>
        </w:tc>
        <w:tc>
          <w:tcPr>
            <w:tcW w:w="2369" w:type="dxa"/>
            <w:vAlign w:val="center"/>
            <w:hideMark/>
          </w:tcPr>
          <w:p w14:paraId="524F0D5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6D5139D7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F503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66567B7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α-Amylase</w:t>
            </w:r>
          </w:p>
        </w:tc>
        <w:tc>
          <w:tcPr>
            <w:tcW w:w="2011" w:type="dxa"/>
            <w:vAlign w:val="center"/>
            <w:hideMark/>
          </w:tcPr>
          <w:p w14:paraId="1ECB8AB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Enzymatic grade</w:t>
            </w:r>
          </w:p>
        </w:tc>
        <w:tc>
          <w:tcPr>
            <w:tcW w:w="2369" w:type="dxa"/>
            <w:vAlign w:val="center"/>
            <w:hideMark/>
          </w:tcPr>
          <w:p w14:paraId="0195DD2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4A0D53BE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4DAC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00EACCDC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Soluble starch</w:t>
            </w:r>
          </w:p>
        </w:tc>
        <w:tc>
          <w:tcPr>
            <w:tcW w:w="2011" w:type="dxa"/>
            <w:vAlign w:val="center"/>
            <w:hideMark/>
          </w:tcPr>
          <w:p w14:paraId="4AC1B3FE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Analytical grade</w:t>
            </w:r>
          </w:p>
        </w:tc>
        <w:tc>
          <w:tcPr>
            <w:tcW w:w="2369" w:type="dxa"/>
            <w:vAlign w:val="center"/>
            <w:hideMark/>
          </w:tcPr>
          <w:p w14:paraId="0422E73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13E68D43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27849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Enzyme assay</w:t>
            </w:r>
          </w:p>
        </w:tc>
        <w:tc>
          <w:tcPr>
            <w:tcW w:w="0" w:type="auto"/>
            <w:vAlign w:val="center"/>
            <w:hideMark/>
          </w:tcPr>
          <w:p w14:paraId="02DD87A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DNSA reagent</w:t>
            </w:r>
          </w:p>
        </w:tc>
        <w:tc>
          <w:tcPr>
            <w:tcW w:w="2011" w:type="dxa"/>
            <w:vAlign w:val="center"/>
            <w:hideMark/>
          </w:tcPr>
          <w:p w14:paraId="07AAB4C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Analytical grade</w:t>
            </w:r>
          </w:p>
        </w:tc>
        <w:tc>
          <w:tcPr>
            <w:tcW w:w="2369" w:type="dxa"/>
            <w:vAlign w:val="center"/>
            <w:hideMark/>
          </w:tcPr>
          <w:p w14:paraId="3AE5908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DA1B30" w:rsidRPr="00DA1B30" w14:paraId="50FB3022" w14:textId="77777777" w:rsidTr="00070CEE">
        <w:trPr>
          <w:tblCellSpacing w:w="15" w:type="dxa"/>
        </w:trPr>
        <w:tc>
          <w:tcPr>
            <w:tcW w:w="0" w:type="auto"/>
          </w:tcPr>
          <w:p w14:paraId="5C3761F1" w14:textId="3FE0F209" w:rsidR="00DA1B30" w:rsidRPr="00DA1B30" w:rsidRDefault="00DA1B30" w:rsidP="00DA1B30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DA1B30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α-Amylase/α-glucosidase assays</w:t>
            </w:r>
          </w:p>
        </w:tc>
        <w:tc>
          <w:tcPr>
            <w:tcW w:w="0" w:type="auto"/>
          </w:tcPr>
          <w:p w14:paraId="53B533DD" w14:textId="78CD2A14" w:rsidR="00DA1B30" w:rsidRPr="00DA1B30" w:rsidRDefault="00DA1B30" w:rsidP="00DA1B30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DA1B30">
              <w:rPr>
                <w:rFonts w:asciiTheme="majorBidi" w:hAnsiTheme="majorBidi" w:cstheme="majorBidi"/>
                <w:sz w:val="22"/>
                <w:szCs w:val="22"/>
              </w:rPr>
              <w:t>Acarbose</w:t>
            </w:r>
          </w:p>
        </w:tc>
        <w:tc>
          <w:tcPr>
            <w:tcW w:w="2011" w:type="dxa"/>
          </w:tcPr>
          <w:p w14:paraId="699392E7" w14:textId="58EA5A58" w:rsidR="00DA1B30" w:rsidRPr="00DA1B30" w:rsidRDefault="00DA1B30" w:rsidP="00DA1B30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DA1B30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</w:tcPr>
          <w:p w14:paraId="5D779E27" w14:textId="402365F1" w:rsidR="00DA1B30" w:rsidRPr="00DA1B30" w:rsidRDefault="00DA1B30" w:rsidP="00DA1B30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DA1B30">
              <w:rPr>
                <w:rFonts w:asciiTheme="majorBidi" w:hAnsiTheme="majorBidi" w:cstheme="majorBidi"/>
                <w:sz w:val="22"/>
                <w:szCs w:val="22"/>
              </w:rPr>
              <w:t>Sigma-Aldrich (Merck), Germany</w:t>
            </w:r>
          </w:p>
        </w:tc>
      </w:tr>
      <w:tr w:rsidR="00C745A9" w:rsidRPr="00505BC7" w14:paraId="131F17D4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6020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Lipase assay</w:t>
            </w:r>
          </w:p>
        </w:tc>
        <w:tc>
          <w:tcPr>
            <w:tcW w:w="0" w:type="auto"/>
            <w:vAlign w:val="center"/>
            <w:hideMark/>
          </w:tcPr>
          <w:p w14:paraId="5D49AE3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Pancreatic lipase</w:t>
            </w:r>
          </w:p>
        </w:tc>
        <w:tc>
          <w:tcPr>
            <w:tcW w:w="2011" w:type="dxa"/>
            <w:vAlign w:val="center"/>
            <w:hideMark/>
          </w:tcPr>
          <w:p w14:paraId="6EACAF9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Enzymatic grade</w:t>
            </w:r>
          </w:p>
        </w:tc>
        <w:tc>
          <w:tcPr>
            <w:tcW w:w="2369" w:type="dxa"/>
            <w:vAlign w:val="center"/>
            <w:hideMark/>
          </w:tcPr>
          <w:p w14:paraId="71D8541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4A461D38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1E44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Lipase assay</w:t>
            </w:r>
          </w:p>
        </w:tc>
        <w:tc>
          <w:tcPr>
            <w:tcW w:w="0" w:type="auto"/>
            <w:vAlign w:val="center"/>
            <w:hideMark/>
          </w:tcPr>
          <w:p w14:paraId="36FF3D7A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p-Nitrophenyl butyrate</w:t>
            </w:r>
          </w:p>
        </w:tc>
        <w:tc>
          <w:tcPr>
            <w:tcW w:w="2011" w:type="dxa"/>
            <w:vAlign w:val="center"/>
            <w:hideMark/>
          </w:tcPr>
          <w:p w14:paraId="78E6484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3570FA7B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4578BD95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BD3B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Lipase assay</w:t>
            </w:r>
          </w:p>
        </w:tc>
        <w:tc>
          <w:tcPr>
            <w:tcW w:w="0" w:type="auto"/>
            <w:vAlign w:val="center"/>
            <w:hideMark/>
          </w:tcPr>
          <w:p w14:paraId="5255322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Orlistat</w:t>
            </w:r>
          </w:p>
        </w:tc>
        <w:tc>
          <w:tcPr>
            <w:tcW w:w="2011" w:type="dxa"/>
            <w:vAlign w:val="center"/>
            <w:hideMark/>
          </w:tcPr>
          <w:p w14:paraId="2971B79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0A9D0941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36698F04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DD518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Antioxidant</w:t>
            </w:r>
          </w:p>
        </w:tc>
        <w:tc>
          <w:tcPr>
            <w:tcW w:w="0" w:type="auto"/>
            <w:vAlign w:val="center"/>
            <w:hideMark/>
          </w:tcPr>
          <w:p w14:paraId="61B4DCF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ABTS</w:t>
            </w:r>
          </w:p>
        </w:tc>
        <w:tc>
          <w:tcPr>
            <w:tcW w:w="2011" w:type="dxa"/>
            <w:vAlign w:val="center"/>
            <w:hideMark/>
          </w:tcPr>
          <w:p w14:paraId="728F165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≥98%</w:t>
            </w:r>
          </w:p>
        </w:tc>
        <w:tc>
          <w:tcPr>
            <w:tcW w:w="2369" w:type="dxa"/>
            <w:vAlign w:val="center"/>
            <w:hideMark/>
          </w:tcPr>
          <w:p w14:paraId="7658595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1DBBAE2A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06FE3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Antioxidant</w:t>
            </w:r>
          </w:p>
        </w:tc>
        <w:tc>
          <w:tcPr>
            <w:tcW w:w="0" w:type="auto"/>
            <w:vAlign w:val="center"/>
            <w:hideMark/>
          </w:tcPr>
          <w:p w14:paraId="47F10C5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Potassium persulfate</w:t>
            </w:r>
          </w:p>
        </w:tc>
        <w:tc>
          <w:tcPr>
            <w:tcW w:w="2011" w:type="dxa"/>
            <w:vAlign w:val="center"/>
            <w:hideMark/>
          </w:tcPr>
          <w:p w14:paraId="05742EC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≥99%</w:t>
            </w:r>
          </w:p>
        </w:tc>
        <w:tc>
          <w:tcPr>
            <w:tcW w:w="2369" w:type="dxa"/>
            <w:vAlign w:val="center"/>
            <w:hideMark/>
          </w:tcPr>
          <w:p w14:paraId="5532ED05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598C0C26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5307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Antioxidant</w:t>
            </w:r>
          </w:p>
        </w:tc>
        <w:tc>
          <w:tcPr>
            <w:tcW w:w="0" w:type="auto"/>
            <w:vAlign w:val="center"/>
            <w:hideMark/>
          </w:tcPr>
          <w:p w14:paraId="7BF1095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DPPH</w:t>
            </w:r>
          </w:p>
        </w:tc>
        <w:tc>
          <w:tcPr>
            <w:tcW w:w="2011" w:type="dxa"/>
            <w:vAlign w:val="center"/>
            <w:hideMark/>
          </w:tcPr>
          <w:p w14:paraId="69002CB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≥95%</w:t>
            </w:r>
          </w:p>
        </w:tc>
        <w:tc>
          <w:tcPr>
            <w:tcW w:w="2369" w:type="dxa"/>
            <w:vAlign w:val="center"/>
            <w:hideMark/>
          </w:tcPr>
          <w:p w14:paraId="46C047B7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  <w:tr w:rsidR="00C745A9" w:rsidRPr="00505BC7" w14:paraId="34EC2D60" w14:textId="77777777" w:rsidTr="00505B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AF162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Antioxidant</w:t>
            </w:r>
          </w:p>
        </w:tc>
        <w:tc>
          <w:tcPr>
            <w:tcW w:w="0" w:type="auto"/>
            <w:vAlign w:val="center"/>
            <w:hideMark/>
          </w:tcPr>
          <w:p w14:paraId="5ACB25CD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Ascorbic acid</w:t>
            </w:r>
          </w:p>
        </w:tc>
        <w:tc>
          <w:tcPr>
            <w:tcW w:w="2011" w:type="dxa"/>
            <w:vAlign w:val="center"/>
            <w:hideMark/>
          </w:tcPr>
          <w:p w14:paraId="3E760436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≥99%</w:t>
            </w:r>
          </w:p>
        </w:tc>
        <w:tc>
          <w:tcPr>
            <w:tcW w:w="2369" w:type="dxa"/>
            <w:vAlign w:val="center"/>
            <w:hideMark/>
          </w:tcPr>
          <w:p w14:paraId="508C642F" w14:textId="77777777" w:rsidR="00C745A9" w:rsidRPr="00505BC7" w:rsidRDefault="00C745A9" w:rsidP="00505BC7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05BC7">
              <w:rPr>
                <w:rFonts w:asciiTheme="majorBidi" w:hAnsiTheme="majorBidi" w:cstheme="majorBidi"/>
                <w:sz w:val="22"/>
                <w:szCs w:val="22"/>
              </w:rPr>
              <w:t>Sigma-Aldrich / Merck</w:t>
            </w:r>
          </w:p>
        </w:tc>
      </w:tr>
    </w:tbl>
    <w:p w14:paraId="5FBDF89E" w14:textId="77777777" w:rsidR="004D300F" w:rsidRDefault="004D300F" w:rsidP="00C745A9">
      <w:pPr>
        <w:spacing w:line="360" w:lineRule="auto"/>
        <w:jc w:val="both"/>
        <w:rPr>
          <w:rFonts w:asciiTheme="majorBidi" w:hAnsiTheme="majorBidi" w:cstheme="majorBidi"/>
        </w:rPr>
      </w:pPr>
    </w:p>
    <w:p w14:paraId="6866B641" w14:textId="6D48A6B1" w:rsidR="004D300F" w:rsidRPr="002C12FF" w:rsidRDefault="004D300F" w:rsidP="004D300F">
      <w:pPr>
        <w:spacing w:line="360" w:lineRule="auto"/>
        <w:jc w:val="both"/>
        <w:rPr>
          <w:rFonts w:asciiTheme="majorBidi" w:hAnsiTheme="majorBidi" w:cstheme="majorBidi"/>
        </w:rPr>
      </w:pPr>
      <w:r w:rsidRPr="002C12FF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S2</w:t>
      </w:r>
      <w:r w:rsidRPr="002C12FF">
        <w:rPr>
          <w:rFonts w:asciiTheme="majorBidi" w:hAnsiTheme="majorBidi" w:cstheme="majorBidi"/>
        </w:rPr>
        <w:t xml:space="preserve">. Primer sequences used for </w:t>
      </w:r>
      <w:proofErr w:type="spellStart"/>
      <w:r w:rsidRPr="002C12FF">
        <w:rPr>
          <w:rFonts w:asciiTheme="majorBidi" w:hAnsiTheme="majorBidi" w:cstheme="majorBidi"/>
        </w:rPr>
        <w:t>qRT</w:t>
      </w:r>
      <w:proofErr w:type="spellEnd"/>
      <w:r w:rsidRPr="002C12FF">
        <w:rPr>
          <w:rFonts w:asciiTheme="majorBidi" w:hAnsiTheme="majorBidi" w:cstheme="majorBidi"/>
        </w:rPr>
        <w:t>-PCR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1824"/>
        <w:gridCol w:w="4017"/>
        <w:gridCol w:w="1665"/>
      </w:tblGrid>
      <w:tr w:rsidR="004D300F" w:rsidRPr="002C12FF" w14:paraId="6B2E22F5" w14:textId="77777777" w:rsidTr="004D300F">
        <w:tc>
          <w:tcPr>
            <w:tcW w:w="1844" w:type="dxa"/>
            <w:vAlign w:val="center"/>
          </w:tcPr>
          <w:p w14:paraId="476ABD78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Gene</w:t>
            </w:r>
          </w:p>
        </w:tc>
        <w:tc>
          <w:tcPr>
            <w:tcW w:w="1824" w:type="dxa"/>
            <w:vAlign w:val="center"/>
          </w:tcPr>
          <w:p w14:paraId="64F386F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Primer</w:t>
            </w:r>
          </w:p>
        </w:tc>
        <w:tc>
          <w:tcPr>
            <w:tcW w:w="4017" w:type="dxa"/>
            <w:vAlign w:val="center"/>
          </w:tcPr>
          <w:p w14:paraId="6D8DEB40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Sequence (5′–3′)</w:t>
            </w:r>
          </w:p>
        </w:tc>
        <w:tc>
          <w:tcPr>
            <w:tcW w:w="1665" w:type="dxa"/>
          </w:tcPr>
          <w:p w14:paraId="7886EC8F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Ref.</w:t>
            </w:r>
          </w:p>
        </w:tc>
      </w:tr>
      <w:tr w:rsidR="004D300F" w:rsidRPr="002C12FF" w14:paraId="6F296F67" w14:textId="77777777" w:rsidTr="004D300F">
        <w:tc>
          <w:tcPr>
            <w:tcW w:w="1844" w:type="dxa"/>
            <w:vAlign w:val="center"/>
          </w:tcPr>
          <w:p w14:paraId="63FFF854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Caspase-3</w:t>
            </w:r>
          </w:p>
        </w:tc>
        <w:tc>
          <w:tcPr>
            <w:tcW w:w="1824" w:type="dxa"/>
            <w:vAlign w:val="center"/>
          </w:tcPr>
          <w:p w14:paraId="6DE69AEF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Forward</w:t>
            </w:r>
          </w:p>
        </w:tc>
        <w:tc>
          <w:tcPr>
            <w:tcW w:w="4017" w:type="dxa"/>
            <w:vAlign w:val="center"/>
          </w:tcPr>
          <w:p w14:paraId="42D2BCA8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GTGGAGGCCGACTTCTTGTA</w:t>
            </w:r>
          </w:p>
        </w:tc>
        <w:tc>
          <w:tcPr>
            <w:tcW w:w="1665" w:type="dxa"/>
          </w:tcPr>
          <w:p w14:paraId="299C605C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fldChar w:fldCharType="begin"/>
            </w:r>
            <w:r>
              <w:rPr>
                <w:rFonts w:asciiTheme="majorBidi" w:hAnsiTheme="majorBidi" w:cstheme="majorBidi"/>
              </w:rPr>
              <w:instrText xml:space="preserve"> ADDIN EN.CITE &lt;EndNote&gt;&lt;Cite&gt;&lt;Author&gt;Li&lt;/Author&gt;&lt;Year&gt;2025&lt;/Year&gt;&lt;RecNum&gt;1701&lt;/RecNum&gt;&lt;DisplayText&gt;[1]&lt;/DisplayText&gt;&lt;record&gt;&lt;rec-number&gt;1701&lt;/rec-number&gt;&lt;foreign-keys&gt;&lt;key app="EN" db-id="fawp2wswdp0zpwesr085pa9m2tzpew9t9025" timestamp="1774518544"&gt;1701&lt;/key&gt;&lt;/foreign-keys&gt;&lt;ref-type name="Journal Article"&gt;17&lt;/ref-type&gt;&lt;contributors&gt;&lt;authors&gt;&lt;author&gt;Li, Tong&lt;/author&gt;&lt;author&gt;Yang, Xiao-hui&lt;/author&gt;&lt;author&gt;Shao, Ming-ju&lt;/author&gt;&lt;author&gt;Dong, Yu-xia&lt;/author&gt;&lt;author&gt;Li, Lin-yu&lt;/author&gt;&lt;author&gt;Lin, Cun-zhi&lt;/author&gt;&lt;/authors&gt;&lt;/contributors&gt;&lt;titles&gt;&lt;title&gt;Effectiveness and mechanism of cisplatin combined with PDT on human lung adenocarcinoma A549 cells transplanted tumor in nude mice&lt;/title&gt;&lt;secondary-title&gt;Scientific Reports&lt;/secondary-title&gt;&lt;/titles&gt;&lt;periodical&gt;&lt;full-title&gt;Scientific Reports&lt;/full-title&gt;&lt;/periodical&gt;&lt;pages&gt;10062&lt;/pages&gt;&lt;volume&gt;15&lt;/volume&gt;&lt;number&gt;1&lt;/number&gt;&lt;dates&gt;&lt;year&gt;2025&lt;/year&gt;&lt;/dates&gt;&lt;isbn&gt;2045-2322&lt;/isbn&gt;&lt;urls&gt;&lt;/urls&gt;&lt;/record&gt;&lt;/Cite&gt;&lt;/EndNote&gt;</w:instrText>
            </w:r>
            <w:r w:rsidRPr="002C12FF">
              <w:rPr>
                <w:rFonts w:asciiTheme="majorBidi" w:hAnsiTheme="majorBidi" w:cstheme="majorBidi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</w:rPr>
              <w:t>[1]</w:t>
            </w:r>
            <w:r w:rsidRPr="002C12FF">
              <w:rPr>
                <w:rFonts w:asciiTheme="majorBidi" w:hAnsiTheme="majorBidi" w:cstheme="majorBidi"/>
              </w:rPr>
              <w:fldChar w:fldCharType="end"/>
            </w:r>
          </w:p>
        </w:tc>
      </w:tr>
      <w:tr w:rsidR="004D300F" w:rsidRPr="002C12FF" w14:paraId="0F2ABC08" w14:textId="77777777" w:rsidTr="004D300F">
        <w:tc>
          <w:tcPr>
            <w:tcW w:w="1844" w:type="dxa"/>
            <w:vAlign w:val="center"/>
          </w:tcPr>
          <w:p w14:paraId="23A3B54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24" w:type="dxa"/>
            <w:vAlign w:val="center"/>
          </w:tcPr>
          <w:p w14:paraId="5A6E7687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Reverse</w:t>
            </w:r>
          </w:p>
        </w:tc>
        <w:tc>
          <w:tcPr>
            <w:tcW w:w="4017" w:type="dxa"/>
            <w:vAlign w:val="center"/>
          </w:tcPr>
          <w:p w14:paraId="5AC5FE0C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TGTCGGCATACTGTTTCAGC</w:t>
            </w:r>
          </w:p>
        </w:tc>
        <w:tc>
          <w:tcPr>
            <w:tcW w:w="1665" w:type="dxa"/>
          </w:tcPr>
          <w:p w14:paraId="78AFE680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4D300F" w:rsidRPr="002C12FF" w14:paraId="1F0F0002" w14:textId="77777777" w:rsidTr="004D300F">
        <w:tc>
          <w:tcPr>
            <w:tcW w:w="1844" w:type="dxa"/>
            <w:vAlign w:val="center"/>
          </w:tcPr>
          <w:p w14:paraId="757C3860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BAX</w:t>
            </w:r>
          </w:p>
        </w:tc>
        <w:tc>
          <w:tcPr>
            <w:tcW w:w="1824" w:type="dxa"/>
            <w:vAlign w:val="center"/>
          </w:tcPr>
          <w:p w14:paraId="398BA0EE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Forward</w:t>
            </w:r>
          </w:p>
        </w:tc>
        <w:tc>
          <w:tcPr>
            <w:tcW w:w="4017" w:type="dxa"/>
            <w:vAlign w:val="center"/>
          </w:tcPr>
          <w:p w14:paraId="3CA98D3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AGACACCTGAGCTGACCTTGGAG</w:t>
            </w:r>
          </w:p>
        </w:tc>
        <w:tc>
          <w:tcPr>
            <w:tcW w:w="1665" w:type="dxa"/>
          </w:tcPr>
          <w:p w14:paraId="4F9B977A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fldChar w:fldCharType="begin"/>
            </w:r>
            <w:r>
              <w:rPr>
                <w:rFonts w:asciiTheme="majorBidi" w:hAnsiTheme="majorBidi" w:cstheme="majorBidi"/>
              </w:rPr>
              <w:instrText xml:space="preserve"> ADDIN EN.CITE &lt;EndNote&gt;&lt;Cite&gt;&lt;Author&gt;Zhang&lt;/Author&gt;&lt;Year&gt;2018&lt;/Year&gt;&lt;RecNum&gt;1702&lt;/RecNum&gt;&lt;DisplayText&gt;[2]&lt;/DisplayText&gt;&lt;record&gt;&lt;rec-number&gt;1702&lt;/rec-number&gt;&lt;foreign-keys&gt;&lt;key app="EN" db-id="fawp2wswdp0zpwesr085pa9m2tzpew9t9025" timestamp="1774518748"&gt;1702&lt;/key&gt;&lt;/foreign-keys&gt;&lt;ref-type name="Journal Article"&gt;17&lt;/ref-type&gt;&lt;contributors&gt;&lt;authors&gt;&lt;author&gt;Zhang, Lin&lt;/author&gt;&lt;author&gt;Ma, Xinxin&lt;/author&gt;&lt;author&gt;Dong, Youhong&lt;/author&gt;&lt;/authors&gt;&lt;/contributors&gt;&lt;titles&gt;&lt;title&gt;Effect of genistein on apoptosis of lung adenocarcinoma A549 cells and expression of apoptosis factors&lt;/title&gt;&lt;secondary-title&gt;J buon&lt;/secondary-title&gt;&lt;/titles&gt;&lt;periodical&gt;&lt;full-title&gt;J buon&lt;/full-title&gt;&lt;/periodical&gt;&lt;pages&gt;641-6&lt;/pages&gt;&lt;volume&gt;23&lt;/volume&gt;&lt;number&gt;3&lt;/number&gt;&lt;dates&gt;&lt;year&gt;2018&lt;/year&gt;&lt;/dates&gt;&lt;urls&gt;&lt;/urls&gt;&lt;/record&gt;&lt;/Cite&gt;&lt;/EndNote&gt;</w:instrText>
            </w:r>
            <w:r w:rsidRPr="002C12FF">
              <w:rPr>
                <w:rFonts w:asciiTheme="majorBidi" w:hAnsiTheme="majorBidi" w:cstheme="majorBidi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</w:rPr>
              <w:t>[2]</w:t>
            </w:r>
            <w:r w:rsidRPr="002C12FF">
              <w:rPr>
                <w:rFonts w:asciiTheme="majorBidi" w:hAnsiTheme="majorBidi" w:cstheme="majorBidi"/>
              </w:rPr>
              <w:fldChar w:fldCharType="end"/>
            </w:r>
          </w:p>
        </w:tc>
      </w:tr>
      <w:tr w:rsidR="004D300F" w:rsidRPr="002C12FF" w14:paraId="5A325E68" w14:textId="77777777" w:rsidTr="004D300F">
        <w:tc>
          <w:tcPr>
            <w:tcW w:w="1844" w:type="dxa"/>
            <w:vAlign w:val="center"/>
          </w:tcPr>
          <w:p w14:paraId="1D801AA8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24" w:type="dxa"/>
            <w:vAlign w:val="center"/>
          </w:tcPr>
          <w:p w14:paraId="568B4EE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Reverse</w:t>
            </w:r>
          </w:p>
        </w:tc>
        <w:tc>
          <w:tcPr>
            <w:tcW w:w="4017" w:type="dxa"/>
            <w:vAlign w:val="center"/>
          </w:tcPr>
          <w:p w14:paraId="395F1D1B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GTTGAAGTTGCCATCAGCAAACA</w:t>
            </w:r>
          </w:p>
        </w:tc>
        <w:tc>
          <w:tcPr>
            <w:tcW w:w="1665" w:type="dxa"/>
          </w:tcPr>
          <w:p w14:paraId="10EC7432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4D300F" w:rsidRPr="002C12FF" w14:paraId="450E41E3" w14:textId="77777777" w:rsidTr="004D300F">
        <w:tc>
          <w:tcPr>
            <w:tcW w:w="1844" w:type="dxa"/>
            <w:vAlign w:val="center"/>
          </w:tcPr>
          <w:p w14:paraId="595C971E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Bcl-2</w:t>
            </w:r>
          </w:p>
        </w:tc>
        <w:tc>
          <w:tcPr>
            <w:tcW w:w="1824" w:type="dxa"/>
            <w:vAlign w:val="center"/>
          </w:tcPr>
          <w:p w14:paraId="501E43D9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Forward</w:t>
            </w:r>
          </w:p>
        </w:tc>
        <w:tc>
          <w:tcPr>
            <w:tcW w:w="4017" w:type="dxa"/>
            <w:vAlign w:val="center"/>
          </w:tcPr>
          <w:p w14:paraId="341DAF87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TGAACCGGCATCTGCACAC</w:t>
            </w:r>
          </w:p>
        </w:tc>
        <w:tc>
          <w:tcPr>
            <w:tcW w:w="1665" w:type="dxa"/>
          </w:tcPr>
          <w:p w14:paraId="71E3A3C2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fldChar w:fldCharType="begin"/>
            </w:r>
            <w:r>
              <w:rPr>
                <w:rFonts w:asciiTheme="majorBidi" w:hAnsiTheme="majorBidi" w:cstheme="majorBidi"/>
              </w:rPr>
              <w:instrText xml:space="preserve"> ADDIN EN.CITE &lt;EndNote&gt;&lt;Cite&gt;&lt;Author&gt;Zhang&lt;/Author&gt;&lt;Year&gt;2018&lt;/Year&gt;&lt;RecNum&gt;1702&lt;/RecNum&gt;&lt;DisplayText&gt;[2]&lt;/DisplayText&gt;&lt;record&gt;&lt;rec-number&gt;1702&lt;/rec-number&gt;&lt;foreign-keys&gt;&lt;key app="EN" db-id="fawp2wswdp0zpwesr085pa9m2tzpew9t9025" timestamp="1774518748"&gt;1702&lt;/key&gt;&lt;/foreign-keys&gt;&lt;ref-type name="Journal Article"&gt;17&lt;/ref-type&gt;&lt;contributors&gt;&lt;authors&gt;&lt;author&gt;Zhang, Lin&lt;/author&gt;&lt;author&gt;Ma, Xinxin&lt;/author&gt;&lt;author&gt;Dong, Youhong&lt;/author&gt;&lt;/authors&gt;&lt;/contributors&gt;&lt;titles&gt;&lt;title&gt;Effect of genistein on apoptosis of lung adenocarcinoma A549 cells and expression of apoptosis factors&lt;/title&gt;&lt;secondary-title&gt;J buon&lt;/secondary-title&gt;&lt;/titles&gt;&lt;periodical&gt;&lt;full-title&gt;J buon&lt;/full-title&gt;&lt;/periodical&gt;&lt;pages&gt;641-6&lt;/pages&gt;&lt;volume&gt;23&lt;/volume&gt;&lt;number&gt;3&lt;/number&gt;&lt;dates&gt;&lt;year&gt;2018&lt;/year&gt;&lt;/dates&gt;&lt;urls&gt;&lt;/urls&gt;&lt;/record&gt;&lt;/Cite&gt;&lt;/EndNote&gt;</w:instrText>
            </w:r>
            <w:r w:rsidRPr="002C12FF">
              <w:rPr>
                <w:rFonts w:asciiTheme="majorBidi" w:hAnsiTheme="majorBidi" w:cstheme="majorBidi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</w:rPr>
              <w:t>[2]</w:t>
            </w:r>
            <w:r w:rsidRPr="002C12FF">
              <w:rPr>
                <w:rFonts w:asciiTheme="majorBidi" w:hAnsiTheme="majorBidi" w:cstheme="majorBidi"/>
              </w:rPr>
              <w:fldChar w:fldCharType="end"/>
            </w:r>
          </w:p>
        </w:tc>
      </w:tr>
      <w:tr w:rsidR="004D300F" w:rsidRPr="002C12FF" w14:paraId="290B9C31" w14:textId="77777777" w:rsidTr="004D300F">
        <w:tc>
          <w:tcPr>
            <w:tcW w:w="1844" w:type="dxa"/>
            <w:vAlign w:val="center"/>
          </w:tcPr>
          <w:p w14:paraId="4F027768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824" w:type="dxa"/>
            <w:vAlign w:val="center"/>
          </w:tcPr>
          <w:p w14:paraId="2CABB7BC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Reverse</w:t>
            </w:r>
          </w:p>
        </w:tc>
        <w:tc>
          <w:tcPr>
            <w:tcW w:w="4017" w:type="dxa"/>
            <w:vAlign w:val="center"/>
          </w:tcPr>
          <w:p w14:paraId="52B470CD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  <w:r w:rsidRPr="002C12FF">
              <w:rPr>
                <w:rFonts w:asciiTheme="majorBidi" w:hAnsiTheme="majorBidi" w:cstheme="majorBidi"/>
              </w:rPr>
              <w:t>CGTCTTCAGAGACAGCCAGGAG</w:t>
            </w:r>
          </w:p>
        </w:tc>
        <w:tc>
          <w:tcPr>
            <w:tcW w:w="1665" w:type="dxa"/>
          </w:tcPr>
          <w:p w14:paraId="6F584994" w14:textId="77777777" w:rsidR="004D300F" w:rsidRPr="002C12FF" w:rsidRDefault="004D300F" w:rsidP="004D300F">
            <w:pPr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3D73CD28" w14:textId="77777777" w:rsidR="004D300F" w:rsidRDefault="004D300F" w:rsidP="004D300F"/>
    <w:p w14:paraId="5CD4BD15" w14:textId="77777777" w:rsidR="004D300F" w:rsidRDefault="004D300F" w:rsidP="00C745A9">
      <w:pPr>
        <w:spacing w:line="360" w:lineRule="auto"/>
        <w:jc w:val="both"/>
        <w:rPr>
          <w:rFonts w:asciiTheme="majorBidi" w:hAnsiTheme="majorBidi" w:cstheme="majorBidi"/>
        </w:rPr>
      </w:pPr>
    </w:p>
    <w:p w14:paraId="4967243D" w14:textId="60478508" w:rsidR="00C745A9" w:rsidRPr="002C12FF" w:rsidRDefault="00C745A9" w:rsidP="00C745A9">
      <w:pPr>
        <w:spacing w:line="360" w:lineRule="auto"/>
        <w:jc w:val="both"/>
        <w:rPr>
          <w:rFonts w:asciiTheme="majorBidi" w:hAnsiTheme="majorBidi" w:cstheme="majorBidi"/>
        </w:rPr>
      </w:pPr>
      <w:r w:rsidRPr="002C12FF">
        <w:rPr>
          <w:rFonts w:asciiTheme="majorBidi" w:hAnsiTheme="majorBidi" w:cstheme="majorBidi"/>
        </w:rPr>
        <w:t>Table</w:t>
      </w:r>
      <w:r>
        <w:rPr>
          <w:rFonts w:asciiTheme="majorBidi" w:hAnsiTheme="majorBidi" w:cstheme="majorBidi"/>
        </w:rPr>
        <w:t xml:space="preserve"> S</w:t>
      </w:r>
      <w:r w:rsidR="00DB10C7">
        <w:rPr>
          <w:rFonts w:asciiTheme="majorBidi" w:hAnsiTheme="majorBidi" w:cstheme="majorBidi"/>
        </w:rPr>
        <w:t>3</w:t>
      </w:r>
      <w:r>
        <w:rPr>
          <w:rFonts w:asciiTheme="majorBidi" w:hAnsiTheme="majorBidi" w:cstheme="majorBidi"/>
        </w:rPr>
        <w:t>.</w:t>
      </w:r>
      <w:r w:rsidRPr="002C12FF">
        <w:rPr>
          <w:rFonts w:asciiTheme="majorBidi" w:hAnsiTheme="majorBidi" w:cstheme="majorBidi"/>
        </w:rPr>
        <w:t xml:space="preserve"> Major phytochemical constituents identified in </w:t>
      </w:r>
      <w:r w:rsidRPr="00A832BC">
        <w:rPr>
          <w:rFonts w:asciiTheme="majorBidi" w:hAnsiTheme="majorBidi" w:cstheme="majorBidi"/>
        </w:rPr>
        <w:t xml:space="preserve">ethanolic extract of </w:t>
      </w:r>
      <w:r>
        <w:rPr>
          <w:rFonts w:asciiTheme="majorBidi" w:hAnsiTheme="majorBidi" w:cstheme="majorBidi"/>
        </w:rPr>
        <w:t xml:space="preserve"> </w:t>
      </w:r>
      <w:r w:rsidRPr="00A832BC">
        <w:rPr>
          <w:rFonts w:asciiTheme="majorBidi" w:hAnsiTheme="majorBidi" w:cstheme="majorBidi"/>
          <w:i/>
          <w:iCs/>
        </w:rPr>
        <w:t>Illicium verum</w:t>
      </w:r>
      <w:r w:rsidRPr="00A832BC">
        <w:rPr>
          <w:rFonts w:asciiTheme="majorBidi" w:hAnsiTheme="majorBidi" w:cstheme="majorBidi"/>
        </w:rPr>
        <w:t xml:space="preserve"> Hook. f. (star anise)</w:t>
      </w:r>
      <w:r>
        <w:rPr>
          <w:rFonts w:asciiTheme="majorBidi" w:hAnsiTheme="majorBidi" w:cstheme="majorBidi"/>
        </w:rPr>
        <w:t xml:space="preserve"> </w:t>
      </w:r>
      <w:r w:rsidRPr="002C12FF">
        <w:rPr>
          <w:rFonts w:asciiTheme="majorBidi" w:hAnsiTheme="majorBidi" w:cstheme="majorBidi"/>
        </w:rPr>
        <w:t>by GC–MS analysis</w:t>
      </w:r>
    </w:p>
    <w:tbl>
      <w:tblPr>
        <w:tblW w:w="9212" w:type="dxa"/>
        <w:jc w:val="center"/>
        <w:tblLook w:val="04A0" w:firstRow="1" w:lastRow="0" w:firstColumn="1" w:lastColumn="0" w:noHBand="0" w:noVBand="1"/>
      </w:tblPr>
      <w:tblGrid>
        <w:gridCol w:w="820"/>
        <w:gridCol w:w="821"/>
        <w:gridCol w:w="1371"/>
        <w:gridCol w:w="1400"/>
        <w:gridCol w:w="4800"/>
      </w:tblGrid>
      <w:tr w:rsidR="00C745A9" w:rsidRPr="002C12FF" w14:paraId="64BE790C" w14:textId="77777777" w:rsidTr="00B35F3E">
        <w:trPr>
          <w:trHeight w:val="315"/>
          <w:jc w:val="center"/>
        </w:trPr>
        <w:tc>
          <w:tcPr>
            <w:tcW w:w="820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14E615F9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Peak</w:t>
            </w:r>
          </w:p>
        </w:tc>
        <w:tc>
          <w:tcPr>
            <w:tcW w:w="821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9E5B4D1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RT</w:t>
            </w:r>
          </w:p>
        </w:tc>
        <w:tc>
          <w:tcPr>
            <w:tcW w:w="1371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C569B14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Area</w:t>
            </w:r>
          </w:p>
        </w:tc>
        <w:tc>
          <w:tcPr>
            <w:tcW w:w="1400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0188305A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Area Sum %</w:t>
            </w:r>
          </w:p>
        </w:tc>
        <w:tc>
          <w:tcPr>
            <w:tcW w:w="4800" w:type="dxa"/>
            <w:tcBorders>
              <w:top w:val="single" w:sz="18" w:space="0" w:color="auto"/>
              <w:bottom w:val="single" w:sz="18" w:space="0" w:color="auto"/>
            </w:tcBorders>
            <w:noWrap/>
            <w:vAlign w:val="bottom"/>
            <w:hideMark/>
          </w:tcPr>
          <w:p w14:paraId="60B39741" w14:textId="77777777" w:rsidR="00C745A9" w:rsidRPr="002C12FF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2C12FF">
              <w:rPr>
                <w:rFonts w:asciiTheme="majorBidi" w:hAnsiTheme="majorBidi" w:cstheme="majorBidi"/>
                <w:sz w:val="22"/>
                <w:szCs w:val="22"/>
              </w:rPr>
              <w:t>Peak Name</w:t>
            </w:r>
          </w:p>
        </w:tc>
      </w:tr>
      <w:tr w:rsidR="00C745A9" w:rsidRPr="002C12FF" w14:paraId="40872042" w14:textId="77777777" w:rsidTr="00B35F3E">
        <w:trPr>
          <w:trHeight w:val="288"/>
          <w:jc w:val="center"/>
        </w:trPr>
        <w:tc>
          <w:tcPr>
            <w:tcW w:w="820" w:type="dxa"/>
            <w:tcBorders>
              <w:top w:val="single" w:sz="18" w:space="0" w:color="auto"/>
            </w:tcBorders>
            <w:noWrap/>
            <w:hideMark/>
          </w:tcPr>
          <w:p w14:paraId="7A369DE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1" w:type="dxa"/>
            <w:tcBorders>
              <w:top w:val="single" w:sz="18" w:space="0" w:color="auto"/>
            </w:tcBorders>
            <w:noWrap/>
            <w:hideMark/>
          </w:tcPr>
          <w:p w14:paraId="1C54408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4.419</w:t>
            </w:r>
          </w:p>
        </w:tc>
        <w:tc>
          <w:tcPr>
            <w:tcW w:w="1371" w:type="dxa"/>
            <w:tcBorders>
              <w:top w:val="single" w:sz="18" w:space="0" w:color="auto"/>
            </w:tcBorders>
            <w:noWrap/>
            <w:hideMark/>
          </w:tcPr>
          <w:p w14:paraId="673CF32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462883.82</w:t>
            </w:r>
          </w:p>
        </w:tc>
        <w:tc>
          <w:tcPr>
            <w:tcW w:w="1400" w:type="dxa"/>
            <w:tcBorders>
              <w:top w:val="single" w:sz="18" w:space="0" w:color="auto"/>
            </w:tcBorders>
            <w:noWrap/>
            <w:hideMark/>
          </w:tcPr>
          <w:p w14:paraId="284822A4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2.85</w:t>
            </w:r>
          </w:p>
        </w:tc>
        <w:tc>
          <w:tcPr>
            <w:tcW w:w="4800" w:type="dxa"/>
            <w:tcBorders>
              <w:top w:val="single" w:sz="18" w:space="0" w:color="auto"/>
            </w:tcBorders>
            <w:noWrap/>
            <w:vAlign w:val="bottom"/>
            <w:hideMark/>
          </w:tcPr>
          <w:p w14:paraId="7265A56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Hexanal</w:t>
            </w:r>
          </w:p>
        </w:tc>
      </w:tr>
      <w:tr w:rsidR="00C745A9" w:rsidRPr="002C12FF" w14:paraId="5F86E31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1AED548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1DD07CA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5.293</w:t>
            </w:r>
          </w:p>
        </w:tc>
        <w:tc>
          <w:tcPr>
            <w:tcW w:w="1371" w:type="dxa"/>
            <w:noWrap/>
            <w:hideMark/>
          </w:tcPr>
          <w:p w14:paraId="624A388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529475.15</w:t>
            </w:r>
          </w:p>
        </w:tc>
        <w:tc>
          <w:tcPr>
            <w:tcW w:w="1400" w:type="dxa"/>
            <w:noWrap/>
            <w:hideMark/>
          </w:tcPr>
          <w:p w14:paraId="54677F8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3.25</w:t>
            </w:r>
          </w:p>
        </w:tc>
        <w:tc>
          <w:tcPr>
            <w:tcW w:w="4800" w:type="dxa"/>
            <w:noWrap/>
            <w:vAlign w:val="bottom"/>
            <w:hideMark/>
          </w:tcPr>
          <w:p w14:paraId="2194AB9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Furfural</w:t>
            </w:r>
          </w:p>
        </w:tc>
      </w:tr>
      <w:tr w:rsidR="00C745A9" w:rsidRPr="002C12FF" w14:paraId="31E2723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54C2EE8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55449C1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9.07</w:t>
            </w:r>
          </w:p>
        </w:tc>
        <w:tc>
          <w:tcPr>
            <w:tcW w:w="1371" w:type="dxa"/>
            <w:noWrap/>
            <w:hideMark/>
          </w:tcPr>
          <w:p w14:paraId="4424CDE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330794.16</w:t>
            </w:r>
          </w:p>
        </w:tc>
        <w:tc>
          <w:tcPr>
            <w:tcW w:w="1400" w:type="dxa"/>
            <w:noWrap/>
            <w:hideMark/>
          </w:tcPr>
          <w:p w14:paraId="52FD30C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2.03</w:t>
            </w:r>
          </w:p>
        </w:tc>
        <w:tc>
          <w:tcPr>
            <w:tcW w:w="4800" w:type="dxa"/>
            <w:noWrap/>
            <w:vAlign w:val="bottom"/>
            <w:hideMark/>
          </w:tcPr>
          <w:p w14:paraId="56450BC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Benzaldehyde</w:t>
            </w:r>
          </w:p>
        </w:tc>
      </w:tr>
      <w:tr w:rsidR="00C745A9" w:rsidRPr="002C12FF" w14:paraId="473A02B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5744916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21" w:type="dxa"/>
            <w:noWrap/>
            <w:hideMark/>
          </w:tcPr>
          <w:p w14:paraId="7C8B0C0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11.104</w:t>
            </w:r>
          </w:p>
        </w:tc>
        <w:tc>
          <w:tcPr>
            <w:tcW w:w="1371" w:type="dxa"/>
            <w:noWrap/>
            <w:hideMark/>
          </w:tcPr>
          <w:p w14:paraId="7D5A8E0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271474.96</w:t>
            </w:r>
          </w:p>
        </w:tc>
        <w:tc>
          <w:tcPr>
            <w:tcW w:w="1400" w:type="dxa"/>
            <w:noWrap/>
            <w:hideMark/>
          </w:tcPr>
          <w:p w14:paraId="1606FEF4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4800" w:type="dxa"/>
            <w:noWrap/>
            <w:vAlign w:val="bottom"/>
            <w:hideMark/>
          </w:tcPr>
          <w:p w14:paraId="256FA5D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1,3-Dimethyl-4-ethyl benzene</w:t>
            </w:r>
          </w:p>
        </w:tc>
      </w:tr>
      <w:tr w:rsidR="00C745A9" w:rsidRPr="002C12FF" w14:paraId="315DB16B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17872FF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21" w:type="dxa"/>
            <w:noWrap/>
            <w:hideMark/>
          </w:tcPr>
          <w:p w14:paraId="3848493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12.643</w:t>
            </w:r>
          </w:p>
        </w:tc>
        <w:tc>
          <w:tcPr>
            <w:tcW w:w="1371" w:type="dxa"/>
            <w:noWrap/>
            <w:hideMark/>
          </w:tcPr>
          <w:p w14:paraId="482D69B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328250.03</w:t>
            </w:r>
          </w:p>
        </w:tc>
        <w:tc>
          <w:tcPr>
            <w:tcW w:w="1400" w:type="dxa"/>
            <w:noWrap/>
            <w:hideMark/>
          </w:tcPr>
          <w:p w14:paraId="113D8E2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2.02</w:t>
            </w:r>
          </w:p>
        </w:tc>
        <w:tc>
          <w:tcPr>
            <w:tcW w:w="4800" w:type="dxa"/>
            <w:noWrap/>
            <w:vAlign w:val="bottom"/>
            <w:hideMark/>
          </w:tcPr>
          <w:p w14:paraId="01839E54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6-Methyl-2-(2-oxiranyl)-5-hepten-2-ol  </w:t>
            </w:r>
          </w:p>
        </w:tc>
      </w:tr>
      <w:tr w:rsidR="00C745A9" w:rsidRPr="002C12FF" w14:paraId="518F263A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726C127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21" w:type="dxa"/>
            <w:noWrap/>
            <w:hideMark/>
          </w:tcPr>
          <w:p w14:paraId="370E28B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13.64</w:t>
            </w:r>
          </w:p>
        </w:tc>
        <w:tc>
          <w:tcPr>
            <w:tcW w:w="1371" w:type="dxa"/>
            <w:noWrap/>
            <w:hideMark/>
          </w:tcPr>
          <w:p w14:paraId="353D4B9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376292.58</w:t>
            </w:r>
          </w:p>
        </w:tc>
        <w:tc>
          <w:tcPr>
            <w:tcW w:w="1400" w:type="dxa"/>
            <w:noWrap/>
            <w:hideMark/>
          </w:tcPr>
          <w:p w14:paraId="0B8A193B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2.31</w:t>
            </w:r>
          </w:p>
        </w:tc>
        <w:tc>
          <w:tcPr>
            <w:tcW w:w="4800" w:type="dxa"/>
            <w:noWrap/>
            <w:vAlign w:val="bottom"/>
            <w:hideMark/>
          </w:tcPr>
          <w:p w14:paraId="4BF6AE7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.(2Z)-2-Nonen-1-ol </w:t>
            </w:r>
          </w:p>
        </w:tc>
      </w:tr>
      <w:tr w:rsidR="00C745A9" w:rsidRPr="002C12FF" w14:paraId="5E7DDE01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7BBA5E9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21" w:type="dxa"/>
            <w:noWrap/>
            <w:hideMark/>
          </w:tcPr>
          <w:p w14:paraId="37CC2A7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15.045</w:t>
            </w:r>
          </w:p>
        </w:tc>
        <w:tc>
          <w:tcPr>
            <w:tcW w:w="1371" w:type="dxa"/>
            <w:noWrap/>
            <w:hideMark/>
          </w:tcPr>
          <w:p w14:paraId="2E86D0A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562947.97</w:t>
            </w:r>
          </w:p>
        </w:tc>
        <w:tc>
          <w:tcPr>
            <w:tcW w:w="1400" w:type="dxa"/>
            <w:noWrap/>
            <w:hideMark/>
          </w:tcPr>
          <w:p w14:paraId="04FF8F4E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3.46</w:t>
            </w:r>
          </w:p>
        </w:tc>
        <w:tc>
          <w:tcPr>
            <w:tcW w:w="4800" w:type="dxa"/>
            <w:noWrap/>
            <w:vAlign w:val="bottom"/>
            <w:hideMark/>
          </w:tcPr>
          <w:p w14:paraId="5B2967BE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p-</w:t>
            </w: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Vinylanisole</w:t>
            </w:r>
            <w:proofErr w:type="spellEnd"/>
          </w:p>
        </w:tc>
      </w:tr>
      <w:tr w:rsidR="00C745A9" w:rsidRPr="002C12FF" w14:paraId="11F5251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1DBAC17B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21" w:type="dxa"/>
            <w:noWrap/>
            <w:hideMark/>
          </w:tcPr>
          <w:p w14:paraId="209D3B7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15.954</w:t>
            </w:r>
          </w:p>
        </w:tc>
        <w:tc>
          <w:tcPr>
            <w:tcW w:w="1371" w:type="dxa"/>
            <w:noWrap/>
            <w:hideMark/>
          </w:tcPr>
          <w:p w14:paraId="4AFFFFE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296408.38</w:t>
            </w:r>
          </w:p>
        </w:tc>
        <w:tc>
          <w:tcPr>
            <w:tcW w:w="1400" w:type="dxa"/>
            <w:noWrap/>
            <w:hideMark/>
          </w:tcPr>
          <w:p w14:paraId="5A09246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4800" w:type="dxa"/>
            <w:noWrap/>
            <w:vAlign w:val="bottom"/>
            <w:hideMark/>
          </w:tcPr>
          <w:p w14:paraId="2BC7257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p-</w:t>
            </w: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Cymen</w:t>
            </w:r>
            <w:proofErr w:type="spellEnd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-α-</w:t>
            </w: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ol</w:t>
            </w:r>
            <w:proofErr w:type="spellEnd"/>
          </w:p>
        </w:tc>
      </w:tr>
      <w:tr w:rsidR="00C745A9" w:rsidRPr="002C12FF" w14:paraId="4E9A145A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049CBB8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21" w:type="dxa"/>
            <w:noWrap/>
            <w:hideMark/>
          </w:tcPr>
          <w:p w14:paraId="0BD3BBA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16.088</w:t>
            </w:r>
          </w:p>
        </w:tc>
        <w:tc>
          <w:tcPr>
            <w:tcW w:w="1371" w:type="dxa"/>
            <w:noWrap/>
            <w:hideMark/>
          </w:tcPr>
          <w:p w14:paraId="54D3E989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687956.38</w:t>
            </w:r>
          </w:p>
        </w:tc>
        <w:tc>
          <w:tcPr>
            <w:tcW w:w="1400" w:type="dxa"/>
            <w:noWrap/>
            <w:hideMark/>
          </w:tcPr>
          <w:p w14:paraId="60B3191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4.23</w:t>
            </w:r>
          </w:p>
        </w:tc>
        <w:tc>
          <w:tcPr>
            <w:tcW w:w="4800" w:type="dxa"/>
            <w:noWrap/>
            <w:vAlign w:val="bottom"/>
            <w:hideMark/>
          </w:tcPr>
          <w:p w14:paraId="51D7606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α-Terpineol</w:t>
            </w:r>
          </w:p>
        </w:tc>
      </w:tr>
      <w:tr w:rsidR="00C745A9" w:rsidRPr="002C12FF" w14:paraId="7E134498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080B9EB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21" w:type="dxa"/>
            <w:noWrap/>
            <w:hideMark/>
          </w:tcPr>
          <w:p w14:paraId="40D5443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16.269</w:t>
            </w:r>
          </w:p>
        </w:tc>
        <w:tc>
          <w:tcPr>
            <w:tcW w:w="1371" w:type="dxa"/>
            <w:noWrap/>
            <w:hideMark/>
          </w:tcPr>
          <w:p w14:paraId="50A6315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371685.07</w:t>
            </w:r>
          </w:p>
        </w:tc>
        <w:tc>
          <w:tcPr>
            <w:tcW w:w="1400" w:type="dxa"/>
            <w:noWrap/>
            <w:hideMark/>
          </w:tcPr>
          <w:p w14:paraId="12BED3A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2.28</w:t>
            </w:r>
          </w:p>
        </w:tc>
        <w:tc>
          <w:tcPr>
            <w:tcW w:w="4800" w:type="dxa"/>
            <w:noWrap/>
            <w:vAlign w:val="bottom"/>
            <w:hideMark/>
          </w:tcPr>
          <w:p w14:paraId="3DC9B43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γ-</w:t>
            </w: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Elemene</w:t>
            </w:r>
            <w:proofErr w:type="spellEnd"/>
          </w:p>
        </w:tc>
      </w:tr>
      <w:tr w:rsidR="00C745A9" w:rsidRPr="002C12FF" w14:paraId="2C554529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443B784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21" w:type="dxa"/>
            <w:noWrap/>
            <w:hideMark/>
          </w:tcPr>
          <w:p w14:paraId="3881F56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17.557</w:t>
            </w:r>
          </w:p>
        </w:tc>
        <w:tc>
          <w:tcPr>
            <w:tcW w:w="1371" w:type="dxa"/>
            <w:noWrap/>
            <w:hideMark/>
          </w:tcPr>
          <w:p w14:paraId="6CB0B12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446127.28</w:t>
            </w:r>
          </w:p>
        </w:tc>
        <w:tc>
          <w:tcPr>
            <w:tcW w:w="1400" w:type="dxa"/>
            <w:noWrap/>
            <w:hideMark/>
          </w:tcPr>
          <w:p w14:paraId="5188461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2.74</w:t>
            </w:r>
          </w:p>
        </w:tc>
        <w:tc>
          <w:tcPr>
            <w:tcW w:w="4800" w:type="dxa"/>
            <w:noWrap/>
            <w:vAlign w:val="bottom"/>
            <w:hideMark/>
          </w:tcPr>
          <w:p w14:paraId="73F580A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3-Carene-2,5-dione</w:t>
            </w:r>
          </w:p>
        </w:tc>
      </w:tr>
      <w:tr w:rsidR="00C745A9" w:rsidRPr="002C12FF" w14:paraId="1C9A0C45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5E4AFC40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21" w:type="dxa"/>
            <w:noWrap/>
            <w:hideMark/>
          </w:tcPr>
          <w:p w14:paraId="7DBC129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17.67</w:t>
            </w:r>
          </w:p>
        </w:tc>
        <w:tc>
          <w:tcPr>
            <w:tcW w:w="1371" w:type="dxa"/>
            <w:noWrap/>
            <w:hideMark/>
          </w:tcPr>
          <w:p w14:paraId="332227E9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4852639.83</w:t>
            </w:r>
          </w:p>
        </w:tc>
        <w:tc>
          <w:tcPr>
            <w:tcW w:w="1400" w:type="dxa"/>
            <w:noWrap/>
            <w:hideMark/>
          </w:tcPr>
          <w:p w14:paraId="4061F5A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29.83</w:t>
            </w:r>
          </w:p>
        </w:tc>
        <w:tc>
          <w:tcPr>
            <w:tcW w:w="4800" w:type="dxa"/>
            <w:noWrap/>
            <w:vAlign w:val="bottom"/>
            <w:hideMark/>
          </w:tcPr>
          <w:p w14:paraId="0918EF1E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Anisaldehyde</w:t>
            </w:r>
          </w:p>
        </w:tc>
      </w:tr>
      <w:tr w:rsidR="00C745A9" w:rsidRPr="002C12FF" w14:paraId="21909CD5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5CD579A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21" w:type="dxa"/>
            <w:noWrap/>
            <w:hideMark/>
          </w:tcPr>
          <w:p w14:paraId="04A8B33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18.373</w:t>
            </w:r>
          </w:p>
        </w:tc>
        <w:tc>
          <w:tcPr>
            <w:tcW w:w="1371" w:type="dxa"/>
            <w:noWrap/>
            <w:hideMark/>
          </w:tcPr>
          <w:p w14:paraId="56EF292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3370873.07</w:t>
            </w:r>
          </w:p>
        </w:tc>
        <w:tc>
          <w:tcPr>
            <w:tcW w:w="1400" w:type="dxa"/>
            <w:noWrap/>
            <w:hideMark/>
          </w:tcPr>
          <w:p w14:paraId="3009B80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20.72</w:t>
            </w:r>
          </w:p>
        </w:tc>
        <w:tc>
          <w:tcPr>
            <w:tcW w:w="4800" w:type="dxa"/>
            <w:noWrap/>
            <w:vAlign w:val="bottom"/>
            <w:hideMark/>
          </w:tcPr>
          <w:p w14:paraId="7FE57A4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Anethole</w:t>
            </w:r>
          </w:p>
        </w:tc>
      </w:tr>
      <w:tr w:rsidR="00C745A9" w:rsidRPr="002C12FF" w14:paraId="62464940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43DD634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21" w:type="dxa"/>
            <w:noWrap/>
            <w:hideMark/>
          </w:tcPr>
          <w:p w14:paraId="1F369B1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20.477</w:t>
            </w:r>
          </w:p>
        </w:tc>
        <w:tc>
          <w:tcPr>
            <w:tcW w:w="1371" w:type="dxa"/>
            <w:noWrap/>
            <w:hideMark/>
          </w:tcPr>
          <w:p w14:paraId="0CE7DA2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2089033.27</w:t>
            </w:r>
          </w:p>
        </w:tc>
        <w:tc>
          <w:tcPr>
            <w:tcW w:w="1400" w:type="dxa"/>
            <w:noWrap/>
            <w:hideMark/>
          </w:tcPr>
          <w:p w14:paraId="35A9EBFB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12.84</w:t>
            </w:r>
          </w:p>
        </w:tc>
        <w:tc>
          <w:tcPr>
            <w:tcW w:w="4800" w:type="dxa"/>
            <w:noWrap/>
            <w:vAlign w:val="bottom"/>
            <w:hideMark/>
          </w:tcPr>
          <w:p w14:paraId="52CECAC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Anisyl</w:t>
            </w:r>
            <w:proofErr w:type="spellEnd"/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methyl ketone</w:t>
            </w:r>
          </w:p>
        </w:tc>
      </w:tr>
      <w:tr w:rsidR="00C745A9" w:rsidRPr="002C12FF" w14:paraId="76C44381" w14:textId="77777777" w:rsidTr="00B35F3E">
        <w:trPr>
          <w:trHeight w:val="288"/>
          <w:jc w:val="center"/>
        </w:trPr>
        <w:tc>
          <w:tcPr>
            <w:tcW w:w="820" w:type="dxa"/>
            <w:noWrap/>
            <w:hideMark/>
          </w:tcPr>
          <w:p w14:paraId="3D74F9FC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821" w:type="dxa"/>
            <w:noWrap/>
            <w:hideMark/>
          </w:tcPr>
          <w:p w14:paraId="4BA71B4D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21.252</w:t>
            </w:r>
          </w:p>
        </w:tc>
        <w:tc>
          <w:tcPr>
            <w:tcW w:w="1371" w:type="dxa"/>
            <w:noWrap/>
            <w:hideMark/>
          </w:tcPr>
          <w:p w14:paraId="64CF423F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272088.58</w:t>
            </w:r>
          </w:p>
        </w:tc>
        <w:tc>
          <w:tcPr>
            <w:tcW w:w="1400" w:type="dxa"/>
            <w:noWrap/>
            <w:hideMark/>
          </w:tcPr>
          <w:p w14:paraId="7E2D4C97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4800" w:type="dxa"/>
            <w:noWrap/>
            <w:vAlign w:val="bottom"/>
            <w:hideMark/>
          </w:tcPr>
          <w:p w14:paraId="2AE037A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1-(1-Ethylvinyl)-4-methoxybenzene  </w:t>
            </w:r>
          </w:p>
        </w:tc>
      </w:tr>
      <w:tr w:rsidR="00C745A9" w:rsidRPr="002C12FF" w14:paraId="6B9A9D10" w14:textId="77777777" w:rsidTr="00B35F3E">
        <w:trPr>
          <w:trHeight w:val="288"/>
          <w:jc w:val="center"/>
        </w:trPr>
        <w:tc>
          <w:tcPr>
            <w:tcW w:w="820" w:type="dxa"/>
            <w:noWrap/>
          </w:tcPr>
          <w:p w14:paraId="625EA864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821" w:type="dxa"/>
            <w:noWrap/>
          </w:tcPr>
          <w:p w14:paraId="646F005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28.264</w:t>
            </w:r>
          </w:p>
        </w:tc>
        <w:tc>
          <w:tcPr>
            <w:tcW w:w="1371" w:type="dxa"/>
            <w:noWrap/>
          </w:tcPr>
          <w:p w14:paraId="116CAE53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279646.14</w:t>
            </w:r>
          </w:p>
        </w:tc>
        <w:tc>
          <w:tcPr>
            <w:tcW w:w="1400" w:type="dxa"/>
            <w:noWrap/>
          </w:tcPr>
          <w:p w14:paraId="116859C8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4800" w:type="dxa"/>
            <w:noWrap/>
            <w:vAlign w:val="bottom"/>
          </w:tcPr>
          <w:p w14:paraId="6B4906E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Oleyl oleate</w:t>
            </w:r>
          </w:p>
        </w:tc>
      </w:tr>
      <w:tr w:rsidR="00C745A9" w:rsidRPr="002C12FF" w14:paraId="7091B47A" w14:textId="77777777" w:rsidTr="00B35F3E">
        <w:trPr>
          <w:trHeight w:val="288"/>
          <w:jc w:val="center"/>
        </w:trPr>
        <w:tc>
          <w:tcPr>
            <w:tcW w:w="820" w:type="dxa"/>
            <w:tcBorders>
              <w:bottom w:val="single" w:sz="18" w:space="0" w:color="auto"/>
            </w:tcBorders>
            <w:noWrap/>
          </w:tcPr>
          <w:p w14:paraId="2588643A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21" w:type="dxa"/>
            <w:tcBorders>
              <w:bottom w:val="single" w:sz="18" w:space="0" w:color="auto"/>
            </w:tcBorders>
            <w:noWrap/>
          </w:tcPr>
          <w:p w14:paraId="7C79D0D2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28.695</w:t>
            </w:r>
          </w:p>
        </w:tc>
        <w:tc>
          <w:tcPr>
            <w:tcW w:w="1371" w:type="dxa"/>
            <w:tcBorders>
              <w:bottom w:val="single" w:sz="18" w:space="0" w:color="auto"/>
            </w:tcBorders>
            <w:noWrap/>
          </w:tcPr>
          <w:p w14:paraId="684CFAA1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740715.67</w:t>
            </w:r>
          </w:p>
        </w:tc>
        <w:tc>
          <w:tcPr>
            <w:tcW w:w="1400" w:type="dxa"/>
            <w:tcBorders>
              <w:bottom w:val="single" w:sz="18" w:space="0" w:color="auto"/>
            </w:tcBorders>
            <w:noWrap/>
          </w:tcPr>
          <w:p w14:paraId="6C37D385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4.55</w:t>
            </w:r>
          </w:p>
        </w:tc>
        <w:tc>
          <w:tcPr>
            <w:tcW w:w="4800" w:type="dxa"/>
            <w:tcBorders>
              <w:bottom w:val="single" w:sz="18" w:space="0" w:color="auto"/>
            </w:tcBorders>
            <w:noWrap/>
            <w:vAlign w:val="bottom"/>
          </w:tcPr>
          <w:p w14:paraId="34BA77C6" w14:textId="77777777" w:rsidR="00C745A9" w:rsidRPr="00DC4D19" w:rsidRDefault="00C745A9" w:rsidP="00B35F3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DC4D19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(Z)-(Z)-icos-11-en-1-yl icos-11-enoate</w:t>
            </w:r>
          </w:p>
        </w:tc>
      </w:tr>
    </w:tbl>
    <w:p w14:paraId="20C5AC73" w14:textId="77777777" w:rsidR="00C745A9" w:rsidRDefault="00C745A9" w:rsidP="00C745A9">
      <w:pPr>
        <w:rPr>
          <w:rFonts w:asciiTheme="majorBidi" w:hAnsiTheme="majorBidi" w:cstheme="majorBidi"/>
        </w:rPr>
      </w:pPr>
    </w:p>
    <w:p w14:paraId="61C84DCC" w14:textId="26DFA8FD" w:rsidR="00C745A9" w:rsidRPr="002C12FF" w:rsidRDefault="00C745A9" w:rsidP="00C745A9">
      <w:pPr>
        <w:spacing w:line="360" w:lineRule="auto"/>
        <w:jc w:val="both"/>
        <w:rPr>
          <w:rFonts w:asciiTheme="majorBidi" w:hAnsiTheme="majorBidi" w:cstheme="majorBidi"/>
        </w:rPr>
      </w:pPr>
      <w:r w:rsidRPr="002C12FF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S</w:t>
      </w:r>
      <w:r w:rsidR="00DB10C7">
        <w:rPr>
          <w:rFonts w:asciiTheme="majorBidi" w:hAnsiTheme="majorBidi" w:cstheme="majorBidi"/>
        </w:rPr>
        <w:t>4</w:t>
      </w:r>
      <w:r>
        <w:rPr>
          <w:rFonts w:asciiTheme="majorBidi" w:hAnsiTheme="majorBidi" w:cstheme="majorBidi"/>
        </w:rPr>
        <w:t>.</w:t>
      </w:r>
      <w:r w:rsidRPr="002C12FF">
        <w:rPr>
          <w:rFonts w:asciiTheme="majorBidi" w:hAnsiTheme="majorBidi" w:cstheme="majorBidi"/>
        </w:rPr>
        <w:t xml:space="preserve"> Quantitative profiling of phenolic and flavonoid compounds in </w:t>
      </w:r>
      <w:r w:rsidRPr="00A832BC">
        <w:rPr>
          <w:rFonts w:asciiTheme="majorBidi" w:hAnsiTheme="majorBidi" w:cstheme="majorBidi"/>
        </w:rPr>
        <w:t xml:space="preserve">the ethanolic extract of </w:t>
      </w:r>
      <w:r w:rsidRPr="00A832BC">
        <w:rPr>
          <w:rFonts w:asciiTheme="majorBidi" w:hAnsiTheme="majorBidi" w:cstheme="majorBidi"/>
          <w:i/>
          <w:iCs/>
        </w:rPr>
        <w:t>Illicium verum</w:t>
      </w:r>
      <w:r w:rsidRPr="00A832BC">
        <w:rPr>
          <w:rFonts w:asciiTheme="majorBidi" w:hAnsiTheme="majorBidi" w:cstheme="majorBidi"/>
        </w:rPr>
        <w:t xml:space="preserve"> Hook. f. (star anise)</w:t>
      </w:r>
      <w:r>
        <w:rPr>
          <w:rFonts w:asciiTheme="majorBidi" w:hAnsiTheme="majorBidi" w:cstheme="majorBidi"/>
        </w:rPr>
        <w:t xml:space="preserve"> </w:t>
      </w:r>
      <w:r w:rsidRPr="002C12FF">
        <w:rPr>
          <w:rFonts w:asciiTheme="majorBidi" w:hAnsiTheme="majorBidi" w:cstheme="majorBidi"/>
        </w:rPr>
        <w:t>using HPLC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1365"/>
        <w:gridCol w:w="1193"/>
        <w:gridCol w:w="1382"/>
        <w:gridCol w:w="1094"/>
        <w:gridCol w:w="1117"/>
        <w:gridCol w:w="1117"/>
        <w:gridCol w:w="1115"/>
      </w:tblGrid>
      <w:tr w:rsidR="00C745A9" w:rsidRPr="005B5B84" w14:paraId="61C00F62" w14:textId="77777777" w:rsidTr="00B35F3E">
        <w:tc>
          <w:tcPr>
            <w:tcW w:w="977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C5D637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No.</w:t>
            </w:r>
          </w:p>
        </w:tc>
        <w:tc>
          <w:tcPr>
            <w:tcW w:w="136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5BD128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Peak Name</w:t>
            </w:r>
          </w:p>
        </w:tc>
        <w:tc>
          <w:tcPr>
            <w:tcW w:w="119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17CF0D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Retention Time (min)</w:t>
            </w:r>
          </w:p>
        </w:tc>
        <w:tc>
          <w:tcPr>
            <w:tcW w:w="138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130C84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Area (</w:t>
            </w:r>
            <w:proofErr w:type="spellStart"/>
            <w:r w:rsidRPr="005B5B84">
              <w:rPr>
                <w:rFonts w:asciiTheme="majorBidi" w:hAnsiTheme="majorBidi" w:cstheme="majorBidi"/>
                <w:sz w:val="22"/>
                <w:szCs w:val="22"/>
              </w:rPr>
              <w:t>mAU·min</w:t>
            </w:r>
            <w:proofErr w:type="spellEnd"/>
            <w:r w:rsidRPr="005B5B84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09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780AAB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Height (</w:t>
            </w:r>
            <w:proofErr w:type="spellStart"/>
            <w:r w:rsidRPr="005B5B84">
              <w:rPr>
                <w:rFonts w:asciiTheme="majorBidi" w:hAnsiTheme="majorBidi" w:cstheme="majorBidi"/>
                <w:sz w:val="22"/>
                <w:szCs w:val="22"/>
              </w:rPr>
              <w:t>mAU</w:t>
            </w:r>
            <w:proofErr w:type="spellEnd"/>
            <w:r w:rsidRPr="005B5B84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1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E21A3E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Relative Area (%)</w:t>
            </w:r>
          </w:p>
        </w:tc>
        <w:tc>
          <w:tcPr>
            <w:tcW w:w="11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B9A30D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Relative Height (%)</w:t>
            </w:r>
          </w:p>
        </w:tc>
        <w:tc>
          <w:tcPr>
            <w:tcW w:w="111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355039A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Amount (ppm)</w:t>
            </w:r>
          </w:p>
        </w:tc>
      </w:tr>
      <w:tr w:rsidR="00C745A9" w:rsidRPr="005B5B84" w14:paraId="0DC3A1B1" w14:textId="77777777" w:rsidTr="00B35F3E">
        <w:tc>
          <w:tcPr>
            <w:tcW w:w="977" w:type="dxa"/>
            <w:tcBorders>
              <w:top w:val="single" w:sz="18" w:space="0" w:color="auto"/>
            </w:tcBorders>
            <w:vAlign w:val="center"/>
          </w:tcPr>
          <w:p w14:paraId="201B156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1365" w:type="dxa"/>
            <w:tcBorders>
              <w:top w:val="single" w:sz="18" w:space="0" w:color="auto"/>
            </w:tcBorders>
            <w:vAlign w:val="center"/>
          </w:tcPr>
          <w:p w14:paraId="4A1081A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Apigenin</w:t>
            </w:r>
          </w:p>
        </w:tc>
        <w:tc>
          <w:tcPr>
            <w:tcW w:w="1193" w:type="dxa"/>
            <w:tcBorders>
              <w:top w:val="single" w:sz="18" w:space="0" w:color="auto"/>
            </w:tcBorders>
            <w:vAlign w:val="center"/>
          </w:tcPr>
          <w:p w14:paraId="764AEC2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1.510</w:t>
            </w:r>
          </w:p>
        </w:tc>
        <w:tc>
          <w:tcPr>
            <w:tcW w:w="1382" w:type="dxa"/>
            <w:tcBorders>
              <w:top w:val="single" w:sz="18" w:space="0" w:color="auto"/>
            </w:tcBorders>
            <w:vAlign w:val="center"/>
          </w:tcPr>
          <w:p w14:paraId="3353C55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132.737</w:t>
            </w:r>
          </w:p>
        </w:tc>
        <w:tc>
          <w:tcPr>
            <w:tcW w:w="1094" w:type="dxa"/>
            <w:tcBorders>
              <w:top w:val="single" w:sz="18" w:space="0" w:color="auto"/>
            </w:tcBorders>
            <w:vAlign w:val="center"/>
          </w:tcPr>
          <w:p w14:paraId="2FC603E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1076.323</w:t>
            </w:r>
          </w:p>
        </w:tc>
        <w:tc>
          <w:tcPr>
            <w:tcW w:w="1117" w:type="dxa"/>
            <w:tcBorders>
              <w:top w:val="single" w:sz="18" w:space="0" w:color="auto"/>
            </w:tcBorders>
            <w:vAlign w:val="center"/>
          </w:tcPr>
          <w:p w14:paraId="5A908D5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49.06</w:t>
            </w:r>
          </w:p>
        </w:tc>
        <w:tc>
          <w:tcPr>
            <w:tcW w:w="1117" w:type="dxa"/>
            <w:tcBorders>
              <w:top w:val="single" w:sz="18" w:space="0" w:color="auto"/>
            </w:tcBorders>
            <w:vAlign w:val="center"/>
          </w:tcPr>
          <w:p w14:paraId="768ADC9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69.58</w:t>
            </w:r>
          </w:p>
        </w:tc>
        <w:tc>
          <w:tcPr>
            <w:tcW w:w="1115" w:type="dxa"/>
            <w:tcBorders>
              <w:top w:val="single" w:sz="18" w:space="0" w:color="auto"/>
            </w:tcBorders>
            <w:vAlign w:val="center"/>
          </w:tcPr>
          <w:p w14:paraId="483E014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2651.60</w:t>
            </w:r>
          </w:p>
        </w:tc>
      </w:tr>
      <w:tr w:rsidR="00C745A9" w:rsidRPr="005B5B84" w14:paraId="2C7F3C78" w14:textId="77777777" w:rsidTr="00B35F3E">
        <w:tc>
          <w:tcPr>
            <w:tcW w:w="977" w:type="dxa"/>
            <w:vAlign w:val="center"/>
          </w:tcPr>
          <w:p w14:paraId="251EACD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1365" w:type="dxa"/>
            <w:vAlign w:val="center"/>
          </w:tcPr>
          <w:p w14:paraId="24D8732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5B5B84">
              <w:rPr>
                <w:rFonts w:asciiTheme="majorBidi" w:hAnsiTheme="majorBidi" w:cstheme="majorBidi"/>
                <w:sz w:val="22"/>
                <w:szCs w:val="22"/>
              </w:rPr>
              <w:t>Diosmin</w:t>
            </w:r>
            <w:proofErr w:type="spellEnd"/>
          </w:p>
        </w:tc>
        <w:tc>
          <w:tcPr>
            <w:tcW w:w="1193" w:type="dxa"/>
            <w:vAlign w:val="center"/>
          </w:tcPr>
          <w:p w14:paraId="1EC6F6A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4.470</w:t>
            </w:r>
          </w:p>
        </w:tc>
        <w:tc>
          <w:tcPr>
            <w:tcW w:w="1382" w:type="dxa"/>
            <w:vAlign w:val="center"/>
          </w:tcPr>
          <w:p w14:paraId="51F19A8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19.590</w:t>
            </w:r>
          </w:p>
        </w:tc>
        <w:tc>
          <w:tcPr>
            <w:tcW w:w="1094" w:type="dxa"/>
            <w:vAlign w:val="center"/>
          </w:tcPr>
          <w:p w14:paraId="3CC1B41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52.772</w:t>
            </w:r>
          </w:p>
        </w:tc>
        <w:tc>
          <w:tcPr>
            <w:tcW w:w="1117" w:type="dxa"/>
            <w:vAlign w:val="center"/>
          </w:tcPr>
          <w:p w14:paraId="6E268CAD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7.24</w:t>
            </w:r>
          </w:p>
        </w:tc>
        <w:tc>
          <w:tcPr>
            <w:tcW w:w="1117" w:type="dxa"/>
            <w:vAlign w:val="center"/>
          </w:tcPr>
          <w:p w14:paraId="57EFBD2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3.41</w:t>
            </w:r>
          </w:p>
        </w:tc>
        <w:tc>
          <w:tcPr>
            <w:tcW w:w="1115" w:type="dxa"/>
            <w:vAlign w:val="center"/>
          </w:tcPr>
          <w:p w14:paraId="2337BDF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0.61</w:t>
            </w:r>
          </w:p>
        </w:tc>
      </w:tr>
      <w:tr w:rsidR="00C745A9" w:rsidRPr="005B5B84" w14:paraId="533717FC" w14:textId="77777777" w:rsidTr="00B35F3E">
        <w:tc>
          <w:tcPr>
            <w:tcW w:w="977" w:type="dxa"/>
            <w:vAlign w:val="center"/>
          </w:tcPr>
          <w:p w14:paraId="283F809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1365" w:type="dxa"/>
            <w:vAlign w:val="center"/>
          </w:tcPr>
          <w:p w14:paraId="2735E9A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Rutin</w:t>
            </w:r>
          </w:p>
        </w:tc>
        <w:tc>
          <w:tcPr>
            <w:tcW w:w="1193" w:type="dxa"/>
            <w:vAlign w:val="center"/>
          </w:tcPr>
          <w:p w14:paraId="5A5113E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5.797</w:t>
            </w:r>
          </w:p>
        </w:tc>
        <w:tc>
          <w:tcPr>
            <w:tcW w:w="1382" w:type="dxa"/>
            <w:vAlign w:val="center"/>
          </w:tcPr>
          <w:p w14:paraId="7375E1F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19.694</w:t>
            </w:r>
          </w:p>
        </w:tc>
        <w:tc>
          <w:tcPr>
            <w:tcW w:w="1094" w:type="dxa"/>
            <w:vAlign w:val="center"/>
          </w:tcPr>
          <w:p w14:paraId="0C6A47B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61.079</w:t>
            </w:r>
          </w:p>
        </w:tc>
        <w:tc>
          <w:tcPr>
            <w:tcW w:w="1117" w:type="dxa"/>
            <w:vAlign w:val="center"/>
          </w:tcPr>
          <w:p w14:paraId="644D73D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7.28</w:t>
            </w:r>
          </w:p>
        </w:tc>
        <w:tc>
          <w:tcPr>
            <w:tcW w:w="1117" w:type="dxa"/>
            <w:vAlign w:val="center"/>
          </w:tcPr>
          <w:p w14:paraId="0A61184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3.95</w:t>
            </w:r>
          </w:p>
        </w:tc>
        <w:tc>
          <w:tcPr>
            <w:tcW w:w="1115" w:type="dxa"/>
            <w:vAlign w:val="center"/>
          </w:tcPr>
          <w:p w14:paraId="49EE3A1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5.10</w:t>
            </w:r>
          </w:p>
        </w:tc>
      </w:tr>
      <w:tr w:rsidR="00C745A9" w:rsidRPr="005B5B84" w14:paraId="443B99A1" w14:textId="77777777" w:rsidTr="00B35F3E">
        <w:tc>
          <w:tcPr>
            <w:tcW w:w="977" w:type="dxa"/>
            <w:vAlign w:val="center"/>
          </w:tcPr>
          <w:p w14:paraId="03A00F0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1365" w:type="dxa"/>
            <w:vAlign w:val="center"/>
          </w:tcPr>
          <w:p w14:paraId="2E6CD89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Hesperidin</w:t>
            </w:r>
          </w:p>
        </w:tc>
        <w:tc>
          <w:tcPr>
            <w:tcW w:w="1193" w:type="dxa"/>
            <w:vAlign w:val="center"/>
          </w:tcPr>
          <w:p w14:paraId="20BD949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7.597</w:t>
            </w:r>
          </w:p>
        </w:tc>
        <w:tc>
          <w:tcPr>
            <w:tcW w:w="1382" w:type="dxa"/>
            <w:vAlign w:val="center"/>
          </w:tcPr>
          <w:p w14:paraId="23FA0AC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8.680</w:t>
            </w:r>
          </w:p>
        </w:tc>
        <w:tc>
          <w:tcPr>
            <w:tcW w:w="1094" w:type="dxa"/>
            <w:vAlign w:val="center"/>
          </w:tcPr>
          <w:p w14:paraId="4A7BFDF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45.020</w:t>
            </w:r>
          </w:p>
        </w:tc>
        <w:tc>
          <w:tcPr>
            <w:tcW w:w="1117" w:type="dxa"/>
            <w:vAlign w:val="center"/>
          </w:tcPr>
          <w:p w14:paraId="11CA8A6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3.21</w:t>
            </w:r>
          </w:p>
        </w:tc>
        <w:tc>
          <w:tcPr>
            <w:tcW w:w="1117" w:type="dxa"/>
            <w:vAlign w:val="center"/>
          </w:tcPr>
          <w:p w14:paraId="222C689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2.91</w:t>
            </w:r>
          </w:p>
        </w:tc>
        <w:tc>
          <w:tcPr>
            <w:tcW w:w="1115" w:type="dxa"/>
            <w:vAlign w:val="center"/>
          </w:tcPr>
          <w:p w14:paraId="1CB4194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7.68</w:t>
            </w:r>
          </w:p>
        </w:tc>
      </w:tr>
      <w:tr w:rsidR="00C745A9" w:rsidRPr="005B5B84" w14:paraId="479B76D5" w14:textId="77777777" w:rsidTr="00B35F3E">
        <w:tc>
          <w:tcPr>
            <w:tcW w:w="977" w:type="dxa"/>
            <w:vAlign w:val="center"/>
          </w:tcPr>
          <w:p w14:paraId="3D819C9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1365" w:type="dxa"/>
            <w:vAlign w:val="center"/>
          </w:tcPr>
          <w:p w14:paraId="3061244C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Kaempferol</w:t>
            </w:r>
          </w:p>
        </w:tc>
        <w:tc>
          <w:tcPr>
            <w:tcW w:w="1193" w:type="dxa"/>
            <w:vAlign w:val="center"/>
          </w:tcPr>
          <w:p w14:paraId="19BA507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12.450</w:t>
            </w:r>
          </w:p>
        </w:tc>
        <w:tc>
          <w:tcPr>
            <w:tcW w:w="1382" w:type="dxa"/>
            <w:vAlign w:val="center"/>
          </w:tcPr>
          <w:p w14:paraId="1BAE1C2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23.211</w:t>
            </w:r>
          </w:p>
        </w:tc>
        <w:tc>
          <w:tcPr>
            <w:tcW w:w="1094" w:type="dxa"/>
            <w:vAlign w:val="center"/>
          </w:tcPr>
          <w:p w14:paraId="017A069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90.992</w:t>
            </w:r>
          </w:p>
        </w:tc>
        <w:tc>
          <w:tcPr>
            <w:tcW w:w="1117" w:type="dxa"/>
            <w:vAlign w:val="center"/>
          </w:tcPr>
          <w:p w14:paraId="415B983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8.58</w:t>
            </w:r>
          </w:p>
        </w:tc>
        <w:tc>
          <w:tcPr>
            <w:tcW w:w="1117" w:type="dxa"/>
            <w:vAlign w:val="center"/>
          </w:tcPr>
          <w:p w14:paraId="71EB22C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5.88</w:t>
            </w:r>
          </w:p>
        </w:tc>
        <w:tc>
          <w:tcPr>
            <w:tcW w:w="1115" w:type="dxa"/>
            <w:vAlign w:val="center"/>
          </w:tcPr>
          <w:p w14:paraId="64A2762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7.71</w:t>
            </w:r>
          </w:p>
        </w:tc>
      </w:tr>
      <w:tr w:rsidR="00C745A9" w:rsidRPr="005B5B84" w14:paraId="15AE75EB" w14:textId="77777777" w:rsidTr="00B35F3E">
        <w:tc>
          <w:tcPr>
            <w:tcW w:w="977" w:type="dxa"/>
            <w:vAlign w:val="center"/>
          </w:tcPr>
          <w:p w14:paraId="322A99D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1365" w:type="dxa"/>
            <w:vAlign w:val="center"/>
          </w:tcPr>
          <w:p w14:paraId="275D1D2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Quercetin</w:t>
            </w:r>
          </w:p>
        </w:tc>
        <w:tc>
          <w:tcPr>
            <w:tcW w:w="1193" w:type="dxa"/>
            <w:vAlign w:val="center"/>
          </w:tcPr>
          <w:p w14:paraId="3A35578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12.703</w:t>
            </w:r>
          </w:p>
        </w:tc>
        <w:tc>
          <w:tcPr>
            <w:tcW w:w="1382" w:type="dxa"/>
            <w:vAlign w:val="center"/>
          </w:tcPr>
          <w:p w14:paraId="2B6B025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66.645</w:t>
            </w:r>
          </w:p>
        </w:tc>
        <w:tc>
          <w:tcPr>
            <w:tcW w:w="1094" w:type="dxa"/>
            <w:vAlign w:val="center"/>
          </w:tcPr>
          <w:p w14:paraId="4345EE4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220.744</w:t>
            </w:r>
          </w:p>
        </w:tc>
        <w:tc>
          <w:tcPr>
            <w:tcW w:w="1117" w:type="dxa"/>
            <w:vAlign w:val="center"/>
          </w:tcPr>
          <w:p w14:paraId="6CD3848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24.63</w:t>
            </w:r>
          </w:p>
        </w:tc>
        <w:tc>
          <w:tcPr>
            <w:tcW w:w="1117" w:type="dxa"/>
            <w:vAlign w:val="center"/>
          </w:tcPr>
          <w:p w14:paraId="0990A56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14.27</w:t>
            </w:r>
          </w:p>
        </w:tc>
        <w:tc>
          <w:tcPr>
            <w:tcW w:w="1115" w:type="dxa"/>
            <w:vAlign w:val="center"/>
          </w:tcPr>
          <w:p w14:paraId="0D26699D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83.80</w:t>
            </w:r>
          </w:p>
        </w:tc>
      </w:tr>
      <w:tr w:rsidR="00C745A9" w:rsidRPr="005B5B84" w14:paraId="169191CB" w14:textId="77777777" w:rsidTr="00B35F3E">
        <w:tc>
          <w:tcPr>
            <w:tcW w:w="977" w:type="dxa"/>
            <w:vAlign w:val="center"/>
          </w:tcPr>
          <w:p w14:paraId="60EE6F9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1365" w:type="dxa"/>
            <w:vAlign w:val="center"/>
          </w:tcPr>
          <w:p w14:paraId="363BEF0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5B5B84">
              <w:rPr>
                <w:rFonts w:asciiTheme="majorBidi" w:hAnsiTheme="majorBidi" w:cstheme="majorBidi"/>
                <w:sz w:val="22"/>
                <w:szCs w:val="22"/>
              </w:rPr>
              <w:t>Quinic</w:t>
            </w:r>
            <w:proofErr w:type="spellEnd"/>
            <w:r w:rsidRPr="005B5B84">
              <w:rPr>
                <w:rFonts w:asciiTheme="majorBidi" w:hAnsiTheme="majorBidi" w:cstheme="majorBidi"/>
                <w:sz w:val="22"/>
                <w:szCs w:val="22"/>
              </w:rPr>
              <w:t xml:space="preserve"> acid</w:t>
            </w:r>
          </w:p>
        </w:tc>
        <w:tc>
          <w:tcPr>
            <w:tcW w:w="1193" w:type="dxa"/>
            <w:vAlign w:val="center"/>
          </w:tcPr>
          <w:p w14:paraId="344E1DC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2.027</w:t>
            </w:r>
          </w:p>
        </w:tc>
        <w:tc>
          <w:tcPr>
            <w:tcW w:w="1382" w:type="dxa"/>
            <w:vAlign w:val="center"/>
          </w:tcPr>
          <w:p w14:paraId="33D988F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45.092</w:t>
            </w:r>
          </w:p>
        </w:tc>
        <w:tc>
          <w:tcPr>
            <w:tcW w:w="1094" w:type="dxa"/>
            <w:vAlign w:val="center"/>
          </w:tcPr>
          <w:p w14:paraId="3B68BA4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402.393</w:t>
            </w:r>
          </w:p>
        </w:tc>
        <w:tc>
          <w:tcPr>
            <w:tcW w:w="1117" w:type="dxa"/>
            <w:vAlign w:val="center"/>
          </w:tcPr>
          <w:p w14:paraId="3BC03A3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35.71</w:t>
            </w:r>
          </w:p>
        </w:tc>
        <w:tc>
          <w:tcPr>
            <w:tcW w:w="1117" w:type="dxa"/>
            <w:vAlign w:val="center"/>
          </w:tcPr>
          <w:p w14:paraId="5886682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51.73</w:t>
            </w:r>
          </w:p>
        </w:tc>
        <w:tc>
          <w:tcPr>
            <w:tcW w:w="1115" w:type="dxa"/>
            <w:vAlign w:val="center"/>
          </w:tcPr>
          <w:p w14:paraId="3756C35D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481.70</w:t>
            </w:r>
          </w:p>
        </w:tc>
      </w:tr>
      <w:tr w:rsidR="00C745A9" w:rsidRPr="005B5B84" w14:paraId="70EDF4D6" w14:textId="77777777" w:rsidTr="00B35F3E">
        <w:tc>
          <w:tcPr>
            <w:tcW w:w="977" w:type="dxa"/>
            <w:vAlign w:val="center"/>
          </w:tcPr>
          <w:p w14:paraId="6992C56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1365" w:type="dxa"/>
            <w:vAlign w:val="center"/>
          </w:tcPr>
          <w:p w14:paraId="3EABE42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Gallic acid</w:t>
            </w:r>
          </w:p>
        </w:tc>
        <w:tc>
          <w:tcPr>
            <w:tcW w:w="1193" w:type="dxa"/>
            <w:vAlign w:val="center"/>
          </w:tcPr>
          <w:p w14:paraId="635C569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2.550</w:t>
            </w:r>
          </w:p>
        </w:tc>
        <w:tc>
          <w:tcPr>
            <w:tcW w:w="1382" w:type="dxa"/>
            <w:vAlign w:val="center"/>
          </w:tcPr>
          <w:p w14:paraId="68723E4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6.128</w:t>
            </w:r>
          </w:p>
        </w:tc>
        <w:tc>
          <w:tcPr>
            <w:tcW w:w="1094" w:type="dxa"/>
            <w:vAlign w:val="center"/>
          </w:tcPr>
          <w:p w14:paraId="01CB69A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84.220</w:t>
            </w:r>
          </w:p>
        </w:tc>
        <w:tc>
          <w:tcPr>
            <w:tcW w:w="1117" w:type="dxa"/>
            <w:vAlign w:val="center"/>
          </w:tcPr>
          <w:p w14:paraId="73A1194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4.85</w:t>
            </w:r>
          </w:p>
        </w:tc>
        <w:tc>
          <w:tcPr>
            <w:tcW w:w="1117" w:type="dxa"/>
            <w:vAlign w:val="center"/>
          </w:tcPr>
          <w:p w14:paraId="0653FBC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10.83</w:t>
            </w:r>
          </w:p>
        </w:tc>
        <w:tc>
          <w:tcPr>
            <w:tcW w:w="1115" w:type="dxa"/>
            <w:vAlign w:val="center"/>
          </w:tcPr>
          <w:p w14:paraId="5EEE242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47.90</w:t>
            </w:r>
          </w:p>
        </w:tc>
      </w:tr>
      <w:tr w:rsidR="00C745A9" w:rsidRPr="005B5B84" w14:paraId="4721D5DD" w14:textId="77777777" w:rsidTr="00B35F3E">
        <w:tc>
          <w:tcPr>
            <w:tcW w:w="977" w:type="dxa"/>
            <w:vAlign w:val="center"/>
          </w:tcPr>
          <w:p w14:paraId="73D69B9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1365" w:type="dxa"/>
            <w:vAlign w:val="center"/>
          </w:tcPr>
          <w:p w14:paraId="0B1B043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Chlorogenic acid</w:t>
            </w:r>
          </w:p>
        </w:tc>
        <w:tc>
          <w:tcPr>
            <w:tcW w:w="1193" w:type="dxa"/>
            <w:vAlign w:val="center"/>
          </w:tcPr>
          <w:p w14:paraId="267C585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4.030</w:t>
            </w:r>
          </w:p>
        </w:tc>
        <w:tc>
          <w:tcPr>
            <w:tcW w:w="1382" w:type="dxa"/>
            <w:vAlign w:val="center"/>
          </w:tcPr>
          <w:p w14:paraId="0B54DBB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0.595</w:t>
            </w:r>
          </w:p>
        </w:tc>
        <w:tc>
          <w:tcPr>
            <w:tcW w:w="1094" w:type="dxa"/>
            <w:vAlign w:val="center"/>
          </w:tcPr>
          <w:p w14:paraId="517DCF7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30.426</w:t>
            </w:r>
          </w:p>
        </w:tc>
        <w:tc>
          <w:tcPr>
            <w:tcW w:w="1117" w:type="dxa"/>
            <w:vAlign w:val="center"/>
          </w:tcPr>
          <w:p w14:paraId="628D468C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0.47</w:t>
            </w:r>
          </w:p>
        </w:tc>
        <w:tc>
          <w:tcPr>
            <w:tcW w:w="1117" w:type="dxa"/>
            <w:vAlign w:val="center"/>
          </w:tcPr>
          <w:p w14:paraId="60D850C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3.91</w:t>
            </w:r>
          </w:p>
        </w:tc>
        <w:tc>
          <w:tcPr>
            <w:tcW w:w="1115" w:type="dxa"/>
            <w:vAlign w:val="center"/>
          </w:tcPr>
          <w:p w14:paraId="65A0066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9.09</w:t>
            </w:r>
          </w:p>
        </w:tc>
      </w:tr>
      <w:tr w:rsidR="00C745A9" w:rsidRPr="005B5B84" w14:paraId="67C6082C" w14:textId="77777777" w:rsidTr="00B35F3E">
        <w:tc>
          <w:tcPr>
            <w:tcW w:w="977" w:type="dxa"/>
            <w:vAlign w:val="center"/>
          </w:tcPr>
          <w:p w14:paraId="7816473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10</w:t>
            </w:r>
          </w:p>
        </w:tc>
        <w:tc>
          <w:tcPr>
            <w:tcW w:w="1365" w:type="dxa"/>
            <w:vAlign w:val="center"/>
          </w:tcPr>
          <w:p w14:paraId="09B6F13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Resorcinol</w:t>
            </w:r>
          </w:p>
        </w:tc>
        <w:tc>
          <w:tcPr>
            <w:tcW w:w="1193" w:type="dxa"/>
            <w:vAlign w:val="center"/>
          </w:tcPr>
          <w:p w14:paraId="4A504B3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4.473</w:t>
            </w:r>
          </w:p>
        </w:tc>
        <w:tc>
          <w:tcPr>
            <w:tcW w:w="1382" w:type="dxa"/>
            <w:vAlign w:val="center"/>
          </w:tcPr>
          <w:p w14:paraId="0561F8A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8.145</w:t>
            </w:r>
          </w:p>
        </w:tc>
        <w:tc>
          <w:tcPr>
            <w:tcW w:w="1094" w:type="dxa"/>
            <w:vAlign w:val="center"/>
          </w:tcPr>
          <w:p w14:paraId="1A8C4A8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24.757</w:t>
            </w:r>
          </w:p>
        </w:tc>
        <w:tc>
          <w:tcPr>
            <w:tcW w:w="1117" w:type="dxa"/>
            <w:vAlign w:val="center"/>
          </w:tcPr>
          <w:p w14:paraId="1313D13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6.45</w:t>
            </w:r>
          </w:p>
        </w:tc>
        <w:tc>
          <w:tcPr>
            <w:tcW w:w="1117" w:type="dxa"/>
            <w:vAlign w:val="center"/>
          </w:tcPr>
          <w:p w14:paraId="7A4D2ED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3.18</w:t>
            </w:r>
          </w:p>
        </w:tc>
        <w:tc>
          <w:tcPr>
            <w:tcW w:w="1115" w:type="dxa"/>
            <w:vAlign w:val="center"/>
          </w:tcPr>
          <w:p w14:paraId="7E0A2F5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162.65</w:t>
            </w:r>
          </w:p>
        </w:tc>
      </w:tr>
      <w:tr w:rsidR="00C745A9" w:rsidRPr="005B5B84" w14:paraId="3D718B3D" w14:textId="77777777" w:rsidTr="00B35F3E">
        <w:tc>
          <w:tcPr>
            <w:tcW w:w="977" w:type="dxa"/>
            <w:vAlign w:val="center"/>
          </w:tcPr>
          <w:p w14:paraId="3334606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11</w:t>
            </w:r>
          </w:p>
        </w:tc>
        <w:tc>
          <w:tcPr>
            <w:tcW w:w="1365" w:type="dxa"/>
            <w:vAlign w:val="center"/>
          </w:tcPr>
          <w:p w14:paraId="7B63B9F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Pyrocatechol</w:t>
            </w:r>
          </w:p>
        </w:tc>
        <w:tc>
          <w:tcPr>
            <w:tcW w:w="1193" w:type="dxa"/>
            <w:vAlign w:val="center"/>
          </w:tcPr>
          <w:p w14:paraId="3BE140EC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5.217</w:t>
            </w:r>
          </w:p>
        </w:tc>
        <w:tc>
          <w:tcPr>
            <w:tcW w:w="1382" w:type="dxa"/>
            <w:vAlign w:val="center"/>
          </w:tcPr>
          <w:p w14:paraId="4B8466A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12.868</w:t>
            </w:r>
          </w:p>
        </w:tc>
        <w:tc>
          <w:tcPr>
            <w:tcW w:w="1094" w:type="dxa"/>
            <w:vAlign w:val="center"/>
          </w:tcPr>
          <w:p w14:paraId="3162714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48.071</w:t>
            </w:r>
          </w:p>
        </w:tc>
        <w:tc>
          <w:tcPr>
            <w:tcW w:w="1117" w:type="dxa"/>
            <w:vAlign w:val="center"/>
          </w:tcPr>
          <w:p w14:paraId="28A17B0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10.19</w:t>
            </w:r>
          </w:p>
        </w:tc>
        <w:tc>
          <w:tcPr>
            <w:tcW w:w="1117" w:type="dxa"/>
            <w:vAlign w:val="center"/>
          </w:tcPr>
          <w:p w14:paraId="55F89BA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6.18</w:t>
            </w:r>
          </w:p>
        </w:tc>
        <w:tc>
          <w:tcPr>
            <w:tcW w:w="1115" w:type="dxa"/>
            <w:vAlign w:val="center"/>
          </w:tcPr>
          <w:p w14:paraId="3D77F15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685.89</w:t>
            </w:r>
          </w:p>
        </w:tc>
      </w:tr>
      <w:tr w:rsidR="00C745A9" w:rsidRPr="005B5B84" w14:paraId="7B22DCF6" w14:textId="77777777" w:rsidTr="00B35F3E">
        <w:tc>
          <w:tcPr>
            <w:tcW w:w="977" w:type="dxa"/>
            <w:vAlign w:val="center"/>
          </w:tcPr>
          <w:p w14:paraId="47F782B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</w:t>
            </w:r>
          </w:p>
        </w:tc>
        <w:tc>
          <w:tcPr>
            <w:tcW w:w="1365" w:type="dxa"/>
            <w:vAlign w:val="center"/>
          </w:tcPr>
          <w:p w14:paraId="7D5DB0D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Vanillic acid</w:t>
            </w:r>
          </w:p>
        </w:tc>
        <w:tc>
          <w:tcPr>
            <w:tcW w:w="1193" w:type="dxa"/>
            <w:vAlign w:val="center"/>
          </w:tcPr>
          <w:p w14:paraId="0E56219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6.123</w:t>
            </w:r>
          </w:p>
        </w:tc>
        <w:tc>
          <w:tcPr>
            <w:tcW w:w="1382" w:type="dxa"/>
            <w:vAlign w:val="center"/>
          </w:tcPr>
          <w:p w14:paraId="19527C1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3.468</w:t>
            </w:r>
          </w:p>
        </w:tc>
        <w:tc>
          <w:tcPr>
            <w:tcW w:w="1094" w:type="dxa"/>
            <w:vAlign w:val="center"/>
          </w:tcPr>
          <w:p w14:paraId="0C6F2B9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19.780</w:t>
            </w:r>
          </w:p>
        </w:tc>
        <w:tc>
          <w:tcPr>
            <w:tcW w:w="1117" w:type="dxa"/>
            <w:vAlign w:val="center"/>
          </w:tcPr>
          <w:p w14:paraId="1FE8F4C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2.75</w:t>
            </w:r>
          </w:p>
        </w:tc>
        <w:tc>
          <w:tcPr>
            <w:tcW w:w="1117" w:type="dxa"/>
            <w:vAlign w:val="center"/>
          </w:tcPr>
          <w:p w14:paraId="47039930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2.54</w:t>
            </w:r>
          </w:p>
        </w:tc>
        <w:tc>
          <w:tcPr>
            <w:tcW w:w="1115" w:type="dxa"/>
            <w:vAlign w:val="center"/>
          </w:tcPr>
          <w:p w14:paraId="70189BEE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9.68</w:t>
            </w:r>
          </w:p>
        </w:tc>
      </w:tr>
      <w:tr w:rsidR="00C745A9" w:rsidRPr="005B5B84" w14:paraId="1C427557" w14:textId="77777777" w:rsidTr="00B35F3E">
        <w:tc>
          <w:tcPr>
            <w:tcW w:w="977" w:type="dxa"/>
            <w:vAlign w:val="center"/>
          </w:tcPr>
          <w:p w14:paraId="0383D1F7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13</w:t>
            </w:r>
          </w:p>
        </w:tc>
        <w:tc>
          <w:tcPr>
            <w:tcW w:w="1365" w:type="dxa"/>
            <w:vAlign w:val="center"/>
          </w:tcPr>
          <w:p w14:paraId="731AA94C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Coumaric acid</w:t>
            </w:r>
          </w:p>
        </w:tc>
        <w:tc>
          <w:tcPr>
            <w:tcW w:w="1193" w:type="dxa"/>
            <w:vAlign w:val="center"/>
          </w:tcPr>
          <w:p w14:paraId="60DDCE2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7.417</w:t>
            </w:r>
          </w:p>
        </w:tc>
        <w:tc>
          <w:tcPr>
            <w:tcW w:w="1382" w:type="dxa"/>
            <w:vAlign w:val="center"/>
          </w:tcPr>
          <w:p w14:paraId="3839BC3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17.949</w:t>
            </w:r>
          </w:p>
        </w:tc>
        <w:tc>
          <w:tcPr>
            <w:tcW w:w="1094" w:type="dxa"/>
            <w:vAlign w:val="center"/>
          </w:tcPr>
          <w:p w14:paraId="19F5E62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35.117</w:t>
            </w:r>
          </w:p>
        </w:tc>
        <w:tc>
          <w:tcPr>
            <w:tcW w:w="1117" w:type="dxa"/>
            <w:vAlign w:val="center"/>
          </w:tcPr>
          <w:p w14:paraId="098BB9D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14.21</w:t>
            </w:r>
          </w:p>
        </w:tc>
        <w:tc>
          <w:tcPr>
            <w:tcW w:w="1117" w:type="dxa"/>
            <w:vAlign w:val="center"/>
          </w:tcPr>
          <w:p w14:paraId="50654C1D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4.51</w:t>
            </w:r>
          </w:p>
        </w:tc>
        <w:tc>
          <w:tcPr>
            <w:tcW w:w="1115" w:type="dxa"/>
            <w:vAlign w:val="center"/>
          </w:tcPr>
          <w:p w14:paraId="5925DAA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32.65</w:t>
            </w:r>
          </w:p>
        </w:tc>
      </w:tr>
      <w:tr w:rsidR="00C745A9" w:rsidRPr="005B5B84" w14:paraId="15F1F518" w14:textId="77777777" w:rsidTr="00B35F3E">
        <w:tc>
          <w:tcPr>
            <w:tcW w:w="977" w:type="dxa"/>
            <w:vAlign w:val="center"/>
          </w:tcPr>
          <w:p w14:paraId="3C9C4C5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14</w:t>
            </w:r>
          </w:p>
        </w:tc>
        <w:tc>
          <w:tcPr>
            <w:tcW w:w="1365" w:type="dxa"/>
            <w:vAlign w:val="center"/>
          </w:tcPr>
          <w:p w14:paraId="5328A4B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Ellagic acid</w:t>
            </w:r>
          </w:p>
        </w:tc>
        <w:tc>
          <w:tcPr>
            <w:tcW w:w="1193" w:type="dxa"/>
            <w:vAlign w:val="center"/>
          </w:tcPr>
          <w:p w14:paraId="5944639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9.430</w:t>
            </w:r>
          </w:p>
        </w:tc>
        <w:tc>
          <w:tcPr>
            <w:tcW w:w="1382" w:type="dxa"/>
            <w:vAlign w:val="center"/>
          </w:tcPr>
          <w:p w14:paraId="2FAD608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9.205</w:t>
            </w:r>
          </w:p>
        </w:tc>
        <w:tc>
          <w:tcPr>
            <w:tcW w:w="1094" w:type="dxa"/>
            <w:vAlign w:val="center"/>
          </w:tcPr>
          <w:p w14:paraId="295D48F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38.480</w:t>
            </w:r>
          </w:p>
        </w:tc>
        <w:tc>
          <w:tcPr>
            <w:tcW w:w="1117" w:type="dxa"/>
            <w:vAlign w:val="center"/>
          </w:tcPr>
          <w:p w14:paraId="7AC482AB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7.29</w:t>
            </w:r>
          </w:p>
        </w:tc>
        <w:tc>
          <w:tcPr>
            <w:tcW w:w="1117" w:type="dxa"/>
            <w:vAlign w:val="center"/>
          </w:tcPr>
          <w:p w14:paraId="5FD5C5A4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4.95</w:t>
            </w:r>
          </w:p>
        </w:tc>
        <w:tc>
          <w:tcPr>
            <w:tcW w:w="1115" w:type="dxa"/>
            <w:vAlign w:val="center"/>
          </w:tcPr>
          <w:p w14:paraId="270C179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12.21</w:t>
            </w:r>
          </w:p>
        </w:tc>
      </w:tr>
      <w:tr w:rsidR="00C745A9" w:rsidRPr="005B5B84" w14:paraId="35DD4E12" w14:textId="77777777" w:rsidTr="00B35F3E">
        <w:tc>
          <w:tcPr>
            <w:tcW w:w="977" w:type="dxa"/>
            <w:vAlign w:val="center"/>
          </w:tcPr>
          <w:p w14:paraId="7E54492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15</w:t>
            </w:r>
          </w:p>
        </w:tc>
        <w:tc>
          <w:tcPr>
            <w:tcW w:w="1365" w:type="dxa"/>
            <w:vAlign w:val="center"/>
          </w:tcPr>
          <w:p w14:paraId="02870FD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Ferulic acid</w:t>
            </w:r>
          </w:p>
        </w:tc>
        <w:tc>
          <w:tcPr>
            <w:tcW w:w="1193" w:type="dxa"/>
            <w:vAlign w:val="center"/>
          </w:tcPr>
          <w:p w14:paraId="1276BD0A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9.737</w:t>
            </w:r>
          </w:p>
        </w:tc>
        <w:tc>
          <w:tcPr>
            <w:tcW w:w="1382" w:type="dxa"/>
            <w:vAlign w:val="center"/>
          </w:tcPr>
          <w:p w14:paraId="703EE2A1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7.246</w:t>
            </w:r>
          </w:p>
        </w:tc>
        <w:tc>
          <w:tcPr>
            <w:tcW w:w="1094" w:type="dxa"/>
            <w:vAlign w:val="center"/>
          </w:tcPr>
          <w:p w14:paraId="37891B9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39.468</w:t>
            </w:r>
          </w:p>
        </w:tc>
        <w:tc>
          <w:tcPr>
            <w:tcW w:w="1117" w:type="dxa"/>
            <w:vAlign w:val="center"/>
          </w:tcPr>
          <w:p w14:paraId="21F47FA5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5.74</w:t>
            </w:r>
          </w:p>
        </w:tc>
        <w:tc>
          <w:tcPr>
            <w:tcW w:w="1117" w:type="dxa"/>
            <w:vAlign w:val="center"/>
          </w:tcPr>
          <w:p w14:paraId="3BD1A639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5.07</w:t>
            </w:r>
          </w:p>
        </w:tc>
        <w:tc>
          <w:tcPr>
            <w:tcW w:w="1115" w:type="dxa"/>
            <w:vAlign w:val="center"/>
          </w:tcPr>
          <w:p w14:paraId="74E2A4E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29.93</w:t>
            </w:r>
          </w:p>
        </w:tc>
      </w:tr>
      <w:tr w:rsidR="00C745A9" w:rsidRPr="005B5B84" w14:paraId="3904736B" w14:textId="77777777" w:rsidTr="00B35F3E">
        <w:tc>
          <w:tcPr>
            <w:tcW w:w="977" w:type="dxa"/>
            <w:tcBorders>
              <w:bottom w:val="single" w:sz="18" w:space="0" w:color="auto"/>
            </w:tcBorders>
            <w:vAlign w:val="center"/>
          </w:tcPr>
          <w:p w14:paraId="0608D0B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16</w:t>
            </w:r>
          </w:p>
        </w:tc>
        <w:tc>
          <w:tcPr>
            <w:tcW w:w="1365" w:type="dxa"/>
            <w:tcBorders>
              <w:bottom w:val="single" w:sz="18" w:space="0" w:color="auto"/>
            </w:tcBorders>
            <w:vAlign w:val="center"/>
          </w:tcPr>
          <w:p w14:paraId="1B3B136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Cinnamic acid</w:t>
            </w:r>
          </w:p>
        </w:tc>
        <w:tc>
          <w:tcPr>
            <w:tcW w:w="1193" w:type="dxa"/>
            <w:tcBorders>
              <w:bottom w:val="single" w:sz="18" w:space="0" w:color="auto"/>
            </w:tcBorders>
            <w:vAlign w:val="center"/>
          </w:tcPr>
          <w:p w14:paraId="446549D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13.720</w:t>
            </w:r>
          </w:p>
        </w:tc>
        <w:tc>
          <w:tcPr>
            <w:tcW w:w="1382" w:type="dxa"/>
            <w:tcBorders>
              <w:bottom w:val="single" w:sz="18" w:space="0" w:color="auto"/>
            </w:tcBorders>
            <w:vAlign w:val="center"/>
          </w:tcPr>
          <w:p w14:paraId="7CCE7FA3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15.575</w:t>
            </w:r>
          </w:p>
        </w:tc>
        <w:tc>
          <w:tcPr>
            <w:tcW w:w="1094" w:type="dxa"/>
            <w:tcBorders>
              <w:bottom w:val="single" w:sz="18" w:space="0" w:color="auto"/>
            </w:tcBorders>
            <w:vAlign w:val="center"/>
          </w:tcPr>
          <w:p w14:paraId="19039BCF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55.200</w:t>
            </w:r>
          </w:p>
        </w:tc>
        <w:tc>
          <w:tcPr>
            <w:tcW w:w="1117" w:type="dxa"/>
            <w:tcBorders>
              <w:bottom w:val="single" w:sz="18" w:space="0" w:color="auto"/>
            </w:tcBorders>
            <w:vAlign w:val="center"/>
          </w:tcPr>
          <w:p w14:paraId="3A7D16F6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12.33</w:t>
            </w:r>
          </w:p>
        </w:tc>
        <w:tc>
          <w:tcPr>
            <w:tcW w:w="1117" w:type="dxa"/>
            <w:tcBorders>
              <w:bottom w:val="single" w:sz="18" w:space="0" w:color="auto"/>
            </w:tcBorders>
            <w:vAlign w:val="center"/>
          </w:tcPr>
          <w:p w14:paraId="6BE6AF22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7.10</w:t>
            </w:r>
          </w:p>
        </w:tc>
        <w:tc>
          <w:tcPr>
            <w:tcW w:w="1115" w:type="dxa"/>
            <w:tcBorders>
              <w:bottom w:val="single" w:sz="18" w:space="0" w:color="auto"/>
            </w:tcBorders>
            <w:vAlign w:val="center"/>
          </w:tcPr>
          <w:p w14:paraId="0BD9AE68" w14:textId="77777777" w:rsidR="00C745A9" w:rsidRPr="005B5B84" w:rsidRDefault="00C745A9" w:rsidP="00B35F3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B5B84">
              <w:rPr>
                <w:rFonts w:asciiTheme="majorBidi" w:hAnsiTheme="majorBidi" w:cstheme="majorBidi"/>
                <w:sz w:val="22"/>
                <w:szCs w:val="22"/>
              </w:rPr>
              <w:t>55.48</w:t>
            </w:r>
          </w:p>
        </w:tc>
      </w:tr>
    </w:tbl>
    <w:p w14:paraId="7ACCAD14" w14:textId="77777777" w:rsidR="00C745A9" w:rsidRPr="002C12FF" w:rsidRDefault="00C745A9" w:rsidP="00C745A9">
      <w:pPr>
        <w:spacing w:line="360" w:lineRule="auto"/>
        <w:jc w:val="both"/>
        <w:rPr>
          <w:rFonts w:asciiTheme="majorBidi" w:hAnsiTheme="majorBidi" w:cstheme="majorBidi"/>
        </w:rPr>
      </w:pPr>
    </w:p>
    <w:p w14:paraId="1918D6F9" w14:textId="77777777" w:rsidR="00C745A9" w:rsidRDefault="00C745A9" w:rsidP="00C745A9">
      <w:pPr>
        <w:rPr>
          <w:rFonts w:asciiTheme="majorBidi" w:hAnsiTheme="majorBidi" w:cstheme="majorBidi"/>
        </w:rPr>
      </w:pPr>
    </w:p>
    <w:p w14:paraId="32797980" w14:textId="77777777" w:rsidR="004D300F" w:rsidRDefault="004D300F" w:rsidP="00C745A9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4BCA597D" w14:textId="77777777" w:rsidR="004D300F" w:rsidRDefault="004D300F" w:rsidP="00C745A9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42CFE83D" w14:textId="77777777" w:rsidR="004D300F" w:rsidRPr="004D300F" w:rsidRDefault="004D300F" w:rsidP="004D300F">
      <w:pPr>
        <w:pStyle w:val="EndNoteBibliography"/>
        <w:spacing w:after="0"/>
        <w:ind w:left="720" w:hanging="720"/>
      </w:pP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ADDIN EN.REFLIST </w:instrText>
      </w:r>
      <w:r>
        <w:rPr>
          <w:rFonts w:asciiTheme="majorBidi" w:hAnsiTheme="majorBidi" w:cstheme="majorBidi"/>
        </w:rPr>
        <w:fldChar w:fldCharType="separate"/>
      </w:r>
      <w:r w:rsidRPr="004D300F">
        <w:t>1.</w:t>
      </w:r>
      <w:r w:rsidRPr="004D300F">
        <w:tab/>
        <w:t xml:space="preserve">Li T, Yang X-h, Shao M-j, Dong Y-x, Li L-y, Lin C-z: </w:t>
      </w:r>
      <w:r w:rsidRPr="004D300F">
        <w:rPr>
          <w:b/>
        </w:rPr>
        <w:t>Effectiveness and mechanism of cisplatin combined with PDT on human lung adenocarcinoma A549 cells transplanted tumor in nude mice</w:t>
      </w:r>
      <w:r w:rsidRPr="004D300F">
        <w:t xml:space="preserve">. </w:t>
      </w:r>
      <w:r w:rsidRPr="004D300F">
        <w:rPr>
          <w:i/>
        </w:rPr>
        <w:t xml:space="preserve">Scientific Reports </w:t>
      </w:r>
      <w:r w:rsidRPr="004D300F">
        <w:t xml:space="preserve">2025, </w:t>
      </w:r>
      <w:r w:rsidRPr="004D300F">
        <w:rPr>
          <w:b/>
        </w:rPr>
        <w:t>15</w:t>
      </w:r>
      <w:r w:rsidRPr="004D300F">
        <w:t>(1):10062.</w:t>
      </w:r>
    </w:p>
    <w:p w14:paraId="6768C784" w14:textId="77777777" w:rsidR="004D300F" w:rsidRPr="004D300F" w:rsidRDefault="004D300F" w:rsidP="004D300F">
      <w:pPr>
        <w:pStyle w:val="EndNoteBibliography"/>
        <w:ind w:left="720" w:hanging="720"/>
      </w:pPr>
      <w:r w:rsidRPr="004D300F">
        <w:t>2.</w:t>
      </w:r>
      <w:r w:rsidRPr="004D300F">
        <w:tab/>
        <w:t xml:space="preserve">Zhang L, Ma X, Dong Y: </w:t>
      </w:r>
      <w:r w:rsidRPr="004D300F">
        <w:rPr>
          <w:b/>
        </w:rPr>
        <w:t>Effect of genistein on apoptosis of lung adenocarcinoma A549 cells and expression of apoptosis factors</w:t>
      </w:r>
      <w:r w:rsidRPr="004D300F">
        <w:t xml:space="preserve">. </w:t>
      </w:r>
      <w:r w:rsidRPr="004D300F">
        <w:rPr>
          <w:i/>
        </w:rPr>
        <w:t xml:space="preserve">J buon </w:t>
      </w:r>
      <w:r w:rsidRPr="004D300F">
        <w:t xml:space="preserve">2018, </w:t>
      </w:r>
      <w:r w:rsidRPr="004D300F">
        <w:rPr>
          <w:b/>
        </w:rPr>
        <w:t>23</w:t>
      </w:r>
      <w:r w:rsidRPr="004D300F">
        <w:t>(3):641-646.</w:t>
      </w:r>
    </w:p>
    <w:p w14:paraId="60C9CC54" w14:textId="41D01956" w:rsidR="00C745A9" w:rsidRPr="00C745A9" w:rsidRDefault="004D300F" w:rsidP="004D300F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fldChar w:fldCharType="end"/>
      </w:r>
    </w:p>
    <w:sectPr w:rsidR="00C745A9" w:rsidRPr="00C745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2C64E" w14:textId="77777777" w:rsidR="00611042" w:rsidRDefault="00611042" w:rsidP="00C745A9">
      <w:pPr>
        <w:spacing w:after="0" w:line="240" w:lineRule="auto"/>
      </w:pPr>
      <w:r>
        <w:separator/>
      </w:r>
    </w:p>
  </w:endnote>
  <w:endnote w:type="continuationSeparator" w:id="0">
    <w:p w14:paraId="4BE29F2B" w14:textId="77777777" w:rsidR="00611042" w:rsidRDefault="00611042" w:rsidP="00C74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0F99E" w14:textId="77777777" w:rsidR="00611042" w:rsidRDefault="00611042" w:rsidP="00C745A9">
      <w:pPr>
        <w:spacing w:after="0" w:line="240" w:lineRule="auto"/>
      </w:pPr>
      <w:r>
        <w:separator/>
      </w:r>
    </w:p>
  </w:footnote>
  <w:footnote w:type="continuationSeparator" w:id="0">
    <w:p w14:paraId="3BB149E8" w14:textId="77777777" w:rsidR="00611042" w:rsidRDefault="00611042" w:rsidP="00C745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Biotechn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wp2wswdp0zpwesr085pa9m2tzpew9t9025&quot;&gt;My EndNote Library&lt;record-ids&gt;&lt;item&gt;1701&lt;/item&gt;&lt;item&gt;1702&lt;/item&gt;&lt;/record-ids&gt;&lt;/item&gt;&lt;/Libraries&gt;"/>
  </w:docVars>
  <w:rsids>
    <w:rsidRoot w:val="00771861"/>
    <w:rsid w:val="00265FE2"/>
    <w:rsid w:val="004D300F"/>
    <w:rsid w:val="00505BC7"/>
    <w:rsid w:val="00575655"/>
    <w:rsid w:val="005C72B0"/>
    <w:rsid w:val="00611042"/>
    <w:rsid w:val="00771861"/>
    <w:rsid w:val="00945A81"/>
    <w:rsid w:val="009D4574"/>
    <w:rsid w:val="00AD1FDB"/>
    <w:rsid w:val="00B22868"/>
    <w:rsid w:val="00B80C8F"/>
    <w:rsid w:val="00C745A9"/>
    <w:rsid w:val="00DA1B30"/>
    <w:rsid w:val="00DB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2FF37"/>
  <w15:chartTrackingRefBased/>
  <w15:docId w15:val="{4EAA8524-CE17-4592-B28B-095B8ADE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8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8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8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8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8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8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8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8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8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86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4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5A9"/>
  </w:style>
  <w:style w:type="paragraph" w:styleId="Footer">
    <w:name w:val="footer"/>
    <w:basedOn w:val="Normal"/>
    <w:link w:val="FooterChar"/>
    <w:uiPriority w:val="99"/>
    <w:unhideWhenUsed/>
    <w:rsid w:val="00C74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5A9"/>
  </w:style>
  <w:style w:type="table" w:styleId="TableGrid">
    <w:name w:val="Table Grid"/>
    <w:basedOn w:val="TableNormal"/>
    <w:uiPriority w:val="39"/>
    <w:rsid w:val="00C74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D300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D300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D300F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D300F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Khalil Yousef Soliman Hassan</dc:creator>
  <cp:keywords/>
  <dc:description/>
  <cp:lastModifiedBy>Mohamed Khalil Yousef Soliman Hassan</cp:lastModifiedBy>
  <cp:revision>12</cp:revision>
  <dcterms:created xsi:type="dcterms:W3CDTF">2026-07-08T14:55:00Z</dcterms:created>
  <dcterms:modified xsi:type="dcterms:W3CDTF">2026-09-26T15:35:00Z</dcterms:modified>
</cp:coreProperties>
</file>