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margin" w:tblpY="106"/>
        <w:tblOverlap w:val="never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2208"/>
        <w:gridCol w:w="1717"/>
        <w:gridCol w:w="2335"/>
      </w:tblGrid>
      <w:tr w14:paraId="59F9A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4660C7C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Table S1. Prognostic Impact of Tumor Deposits by Lymph Node Status</w:t>
            </w:r>
          </w:p>
        </w:tc>
      </w:tr>
      <w:tr w14:paraId="01BCE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tblHeader/>
        </w:trPr>
        <w:tc>
          <w:tcPr>
            <w:tcW w:w="132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9E731D1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Lymph Node Status</w:t>
            </w:r>
          </w:p>
        </w:tc>
        <w:tc>
          <w:tcPr>
            <w:tcW w:w="129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56EF4DF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HR (95% CI)</w:t>
            </w:r>
          </w:p>
        </w:tc>
        <w:tc>
          <w:tcPr>
            <w:tcW w:w="100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CB4CF99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P value</w:t>
            </w:r>
          </w:p>
        </w:tc>
        <w:tc>
          <w:tcPr>
            <w:tcW w:w="137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F8D1074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Interaction P value*</w:t>
            </w:r>
          </w:p>
        </w:tc>
      </w:tr>
      <w:tr w14:paraId="0E70E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132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7D88387">
            <w:pPr>
              <w:spacing w:after="0" w:line="30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PN = 0</w:t>
            </w:r>
          </w:p>
        </w:tc>
        <w:tc>
          <w:tcPr>
            <w:tcW w:w="1296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83A9B53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2.28 (0.81-6.42)</w:t>
            </w:r>
          </w:p>
        </w:tc>
        <w:tc>
          <w:tcPr>
            <w:tcW w:w="1008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B65A25B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0.119</w:t>
            </w:r>
          </w:p>
        </w:tc>
        <w:tc>
          <w:tcPr>
            <w:tcW w:w="1371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51269C7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eastAsia="zh-CN" w:bidi="ar"/>
              </w:rPr>
              <w:t>—</w:t>
            </w:r>
          </w:p>
        </w:tc>
      </w:tr>
      <w:tr w14:paraId="07238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CD1E9">
            <w:pPr>
              <w:spacing w:after="0" w:line="30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PN = 1-3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D9130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2.63 (1.36-5.08)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CB75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0.004</w:t>
            </w: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2C5C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0.843</w:t>
            </w:r>
          </w:p>
        </w:tc>
      </w:tr>
      <w:tr w14:paraId="4B401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132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9B640A2">
            <w:pPr>
              <w:spacing w:after="0" w:line="30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PN ≥ 4</w:t>
            </w:r>
          </w:p>
        </w:tc>
        <w:tc>
          <w:tcPr>
            <w:tcW w:w="129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FDA83E8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1.98 (1.15-3.38)</w:t>
            </w:r>
          </w:p>
        </w:tc>
        <w:tc>
          <w:tcPr>
            <w:tcW w:w="1008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D033B43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0.013</w:t>
            </w:r>
          </w:p>
        </w:tc>
        <w:tc>
          <w:tcPr>
            <w:tcW w:w="1371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0056D54">
            <w:pPr>
              <w:spacing w:after="0" w:line="30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0.746</w:t>
            </w:r>
          </w:p>
        </w:tc>
      </w:tr>
      <w:tr w14:paraId="15372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000" w:type="pct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3BC2D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eastAsia="zh-CN"/>
              </w:rPr>
              <w:t>*Interaction P value tests whether the prognostic effect of TD differs across lymph node strata (reference: PN = 0). P &gt; 0.05 indicates no statistically significant interaction; the adverse point estimates were directionally consistent across PN strata.</w:t>
            </w:r>
          </w:p>
        </w:tc>
      </w:tr>
    </w:tbl>
    <w:p w14:paraId="1F24D3B8">
      <w:pPr>
        <w:tabs>
          <w:tab w:val="left" w:pos="1953"/>
        </w:tabs>
        <w:rPr>
          <w:rFonts w:ascii="Times New Roman" w:hAnsi="Times New Roman" w:cs="Times New Roman"/>
          <w:sz w:val="20"/>
          <w:szCs w:val="20"/>
        </w:rPr>
      </w:pPr>
    </w:p>
    <w:p w14:paraId="0C39ED10">
      <w:pP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7"/>
        <w:gridCol w:w="1836"/>
        <w:gridCol w:w="1836"/>
        <w:gridCol w:w="1853"/>
      </w:tblGrid>
      <w:tr w14:paraId="60F70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54847CB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Table S2. Calibration Performance of the Nomogram Model</w:t>
            </w:r>
          </w:p>
        </w:tc>
      </w:tr>
      <w:tr w14:paraId="0F2AB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5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0CB619A">
            <w:pPr>
              <w:spacing w:after="0" w:line="300" w:lineRule="auto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Cohort</w:t>
            </w:r>
          </w:p>
        </w:tc>
        <w:tc>
          <w:tcPr>
            <w:tcW w:w="107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56BF13E">
            <w:pPr>
              <w:spacing w:after="0" w:line="300" w:lineRule="auto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H-L χ²</w:t>
            </w:r>
          </w:p>
        </w:tc>
        <w:tc>
          <w:tcPr>
            <w:tcW w:w="107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9129603">
            <w:pPr>
              <w:spacing w:after="0" w:line="300" w:lineRule="auto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H-L P Value</w:t>
            </w:r>
          </w:p>
        </w:tc>
        <w:tc>
          <w:tcPr>
            <w:tcW w:w="108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911E92B">
            <w:pPr>
              <w:spacing w:after="0" w:line="300" w:lineRule="auto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Brier Score</w:t>
            </w:r>
          </w:p>
        </w:tc>
      </w:tr>
      <w:tr w14:paraId="190EE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DEE8E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Training cohort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C102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8.663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A5AA6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0.372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43B97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0.095</w:t>
            </w:r>
          </w:p>
        </w:tc>
      </w:tr>
      <w:tr w14:paraId="35F24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3BDC6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Internal validation cohort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43CEE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3.468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254CB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0.902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BE3E2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0.098</w:t>
            </w:r>
          </w:p>
        </w:tc>
      </w:tr>
      <w:tr w14:paraId="78526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5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A248117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External validation cohort</w:t>
            </w:r>
          </w:p>
        </w:tc>
        <w:tc>
          <w:tcPr>
            <w:tcW w:w="1077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579065A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2.395</w:t>
            </w:r>
          </w:p>
        </w:tc>
        <w:tc>
          <w:tcPr>
            <w:tcW w:w="1077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EF590FA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0.967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DC777F9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0.086</w:t>
            </w:r>
          </w:p>
        </w:tc>
      </w:tr>
      <w:tr w14:paraId="29044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CEADBF0">
            <w:pPr>
              <w:spacing w:after="0" w:line="240" w:lineRule="auto"/>
              <w:rPr>
                <w:rFonts w:ascii="Times New Roman" w:hAnsi="Times New Roman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8090C"/>
                <w:sz w:val="20"/>
                <w:szCs w:val="20"/>
                <w:lang w:eastAsia="zh-CN" w:bidi="ar"/>
              </w:rPr>
              <w:t xml:space="preserve">Abbreviations: H-L, Hosmer-Lemeshow.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8090C"/>
                <w:sz w:val="20"/>
                <w:szCs w:val="20"/>
                <w:lang w:eastAsia="zh-CN" w:bidi="ar"/>
              </w:rPr>
              <w:t>The H–L test assesses goodness of fit, with P &gt; 0.05 indicating no evidence of poor fit. Lower Brier scores indicate better overall probabilistic accuracy.</w:t>
            </w:r>
          </w:p>
        </w:tc>
      </w:tr>
    </w:tbl>
    <w:p w14:paraId="246F660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2"/>
        <w:tblpPr w:leftFromText="180" w:rightFromText="180" w:vertAnchor="text" w:horzAnchor="page" w:tblpX="1877" w:tblpY="586"/>
        <w:tblOverlap w:val="never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2206"/>
        <w:gridCol w:w="2017"/>
        <w:gridCol w:w="2448"/>
      </w:tblGrid>
      <w:tr w14:paraId="103D1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0AAB70B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Table S3. Risk Stratification Based on Nomogram Score</w:t>
            </w:r>
          </w:p>
        </w:tc>
      </w:tr>
      <w:tr w14:paraId="567E7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26667C4">
            <w:pPr>
              <w:spacing w:after="0" w:line="300" w:lineRule="auto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Risk Group</w:t>
            </w:r>
          </w:p>
        </w:tc>
        <w:tc>
          <w:tcPr>
            <w:tcW w:w="129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DA7804C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 xml:space="preserve">Training Cohort </w:t>
            </w:r>
          </w:p>
        </w:tc>
        <w:tc>
          <w:tcPr>
            <w:tcW w:w="118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DF1E95C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 xml:space="preserve">Internal Validation </w:t>
            </w:r>
          </w:p>
        </w:tc>
        <w:tc>
          <w:tcPr>
            <w:tcW w:w="143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4922ABD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8090C"/>
                <w:sz w:val="20"/>
                <w:szCs w:val="20"/>
                <w:lang w:eastAsia="zh-CN" w:bidi="ar"/>
              </w:rPr>
              <w:t>External Validation</w:t>
            </w:r>
          </w:p>
        </w:tc>
      </w:tr>
      <w:tr w14:paraId="59B1C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4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CA6C78F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Low Risk</w:t>
            </w:r>
          </w:p>
        </w:tc>
        <w:tc>
          <w:tcPr>
            <w:tcW w:w="129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5428D05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9/374 (2.4%)</w:t>
            </w:r>
          </w:p>
        </w:tc>
        <w:tc>
          <w:tcPr>
            <w:tcW w:w="1184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528CB03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6/152 (</w:t>
            </w:r>
            <w:r>
              <w:rPr>
                <w:rFonts w:hint="eastAsia" w:ascii="Times New Roman" w:hAnsi="Times New Roman" w:eastAsia="宋体" w:cs="Times New Roman"/>
                <w:color w:val="08090C"/>
                <w:sz w:val="20"/>
                <w:szCs w:val="20"/>
                <w:lang w:val="en-US" w:eastAsia="zh-CN" w:bidi="ar"/>
              </w:rPr>
              <w:t>3.9</w:t>
            </w: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%)</w:t>
            </w:r>
          </w:p>
        </w:tc>
        <w:tc>
          <w:tcPr>
            <w:tcW w:w="143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90115E6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1/93 (1.1%)</w:t>
            </w:r>
          </w:p>
        </w:tc>
      </w:tr>
      <w:tr w14:paraId="430C6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CA434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Intermediate</w:t>
            </w:r>
          </w:p>
        </w:tc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41237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23/288 (8.0%)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BB215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14/137 (10.2%)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B8AE5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6/123 (4.9%)</w:t>
            </w:r>
          </w:p>
        </w:tc>
      </w:tr>
      <w:tr w14:paraId="0B9F8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970DA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High Risk</w:t>
            </w:r>
          </w:p>
        </w:tc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B37F5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95/298 (31.9%)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E86E5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33/123 (26.8%)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9F7AD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36/182 (19.8%)</w:t>
            </w:r>
          </w:p>
        </w:tc>
      </w:tr>
      <w:tr w14:paraId="6C513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1B20971">
            <w:pPr>
              <w:spacing w:after="0" w:line="30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P for trend</w:t>
            </w:r>
          </w:p>
        </w:tc>
        <w:tc>
          <w:tcPr>
            <w:tcW w:w="129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620DBB1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&lt;0.001</w:t>
            </w:r>
          </w:p>
        </w:tc>
        <w:tc>
          <w:tcPr>
            <w:tcW w:w="118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598CC26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&lt;0.001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1DCBD25">
            <w:pPr>
              <w:spacing w:after="0" w:line="300" w:lineRule="auto"/>
              <w:jc w:val="center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  <w:t>&lt;0.001</w:t>
            </w:r>
          </w:p>
        </w:tc>
      </w:tr>
      <w:tr w14:paraId="3E025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1E4B50D">
            <w:pPr>
              <w:spacing w:after="0" w:line="240" w:lineRule="auto"/>
              <w:rPr>
                <w:rFonts w:ascii="Times New Roman" w:hAnsi="Times New Roman" w:eastAsia="宋体" w:cs="Times New Roman"/>
                <w:color w:val="08090C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Data presented as TD-positive cases/total cases (percentage).</w:t>
            </w:r>
          </w:p>
        </w:tc>
      </w:tr>
    </w:tbl>
    <w:p w14:paraId="7A5E024E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38B6DEA">
      <w:pPr>
        <w:rPr>
          <w:rFonts w:ascii="Times New Roman" w:hAnsi="Times New Roman" w:cs="Times New Roman"/>
          <w:sz w:val="20"/>
          <w:szCs w:val="20"/>
        </w:rPr>
      </w:pPr>
    </w:p>
    <w:p w14:paraId="4835FB1F">
      <w:pPr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0"/>
          <w:szCs w:val="20"/>
          <w:lang w:eastAsia="zh-CN"/>
        </w:rPr>
        <w:drawing>
          <wp:inline distT="0" distB="0" distL="114300" distR="114300">
            <wp:extent cx="5238750" cy="3043555"/>
            <wp:effectExtent l="0" t="0" r="0" b="0"/>
            <wp:docPr id="14" name="图片 1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rcRect b="21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sz w:val="20"/>
          <w:szCs w:val="20"/>
          <w:lang w:eastAsia="zh-CN"/>
        </w:rPr>
        <w:br w:type="textWrapping"/>
      </w:r>
      <w:r>
        <w:rPr>
          <w:rFonts w:hint="eastAsia" w:ascii="Times New Roman" w:hAnsi="Times New Roman" w:eastAsia="宋体" w:cs="Times New Roman"/>
          <w:b/>
          <w:bCs/>
          <w:color w:val="08090C"/>
          <w:sz w:val="20"/>
          <w:szCs w:val="20"/>
          <w:lang w:eastAsia="zh-CN" w:bidi="ar"/>
        </w:rPr>
        <w:t>Figure S1. Flow diagram of patient selection for the SEER and institutional external validation cohorts.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 w:bidi="ar"/>
        </w:rPr>
        <w:br w:type="textWrapping"/>
      </w:r>
      <w:r>
        <w:rPr>
          <w:rFonts w:hint="eastAsia" w:ascii="Times New Roman" w:hAnsi="Times New Roman" w:cs="Times New Roman"/>
          <w:sz w:val="20"/>
          <w:szCs w:val="20"/>
          <w:lang w:eastAsia="zh-CN"/>
        </w:rPr>
        <w:t>The SEER cohort was selected according to the prespecified eligibility criteria and randomly divided into training and internal validation cohorts at a 7:3 ratio. The institutional cohort was identified from electronic medical records and used for external validation of the TD-prediction model.</w:t>
      </w:r>
      <w:r>
        <w:rPr>
          <w:rFonts w:hint="eastAsia" w:ascii="Times New Roman" w:hAnsi="Times New Roman" w:cs="Times New Roman" w:eastAsiaTheme="minorEastAsia"/>
          <w:sz w:val="20"/>
          <w:szCs w:val="20"/>
          <w:lang w:eastAsia="zh-CN"/>
        </w:rPr>
        <w:br w:type="textWrapping"/>
      </w: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C10"/>
    <w:rsid w:val="007A1C10"/>
    <w:rsid w:val="00A44254"/>
    <w:rsid w:val="00B805EC"/>
    <w:rsid w:val="00C86FD2"/>
    <w:rsid w:val="00DC5589"/>
    <w:rsid w:val="03324208"/>
    <w:rsid w:val="1B3D117F"/>
    <w:rsid w:val="304C1E1A"/>
    <w:rsid w:val="30796363"/>
    <w:rsid w:val="31BD6372"/>
    <w:rsid w:val="3885411B"/>
    <w:rsid w:val="39B96695"/>
    <w:rsid w:val="46AB11D8"/>
    <w:rsid w:val="499C7434"/>
    <w:rsid w:val="51D22D02"/>
    <w:rsid w:val="5A9E4D37"/>
    <w:rsid w:val="5BE57413"/>
    <w:rsid w:val="5E8839A6"/>
    <w:rsid w:val="61784B43"/>
    <w:rsid w:val="6E841B08"/>
    <w:rsid w:val="75680129"/>
    <w:rsid w:val="7C0D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244</Words>
  <Characters>1370</Characters>
  <Lines>69</Lines>
  <Paragraphs>65</Paragraphs>
  <TotalTime>15</TotalTime>
  <ScaleCrop>false</ScaleCrop>
  <LinksUpToDate>false</LinksUpToDate>
  <CharactersWithSpaces>1556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2023-10-20T08:38:00Z</dcterms:created>
  <dc:creator>liuhao</dc:creator>
  <cp:lastModifiedBy>ameng</cp:lastModifiedBy>
  <dcterms:modified xsi:type="dcterms:W3CDTF">2026-08-24T13:31:22Z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5132F34120774A008B50990160C74F0D_12</vt:lpwstr>
  </property>
  <property fmtid="{D5CDD505-2E9C-101B-9397-08002B2CF9AE}" pid="4" name="KSOTemplateDocerSaveRecord">
    <vt:lpwstr>eyJoZGlkIjoiNTNjODFiMmI2YzMzMmMyZmM5NzFlOGQ2ZDhmZmI4ZGMiLCJ1c2VySWQiOiIzNjQzMTUzMjQifQ==</vt:lpwstr>
  </property>
</Properties>
</file>