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Supporting Information</w:t>
      </w:r>
    </w:p>
    <w:p>
      <w:pPr>
        <w:jc w:val="both"/>
        <w:rPr>
          <w:rFonts w:hint="default" w:ascii="Times New Roman" w:hAnsi="Times New Roman" w:cs="Times New Roman"/>
          <w:sz w:val="24"/>
          <w:szCs w:val="24"/>
        </w:rPr>
      </w:pPr>
      <w:r>
        <w:rPr>
          <w:rFonts w:hint="default" w:ascii="Times New Roman" w:hAnsi="Times New Roman" w:cs="Times New Roman"/>
          <w:sz w:val="24"/>
          <w:szCs w:val="24"/>
        </w:rPr>
        <w:t>Poleward Migration of Tropical Cyclones over the Western North Pacific in the CMIP6-HighResMIP Models Constrained by Observations</w:t>
      </w:r>
    </w:p>
    <w:p>
      <w:pPr>
        <w:jc w:val="both"/>
        <w:rPr>
          <w:rFonts w:hint="default" w:ascii="Times New Roman" w:hAnsi="Times New Roman" w:cs="Times New Roman"/>
          <w:sz w:val="24"/>
          <w:szCs w:val="24"/>
        </w:rPr>
      </w:pPr>
      <w:r>
        <w:rPr>
          <w:rFonts w:hint="default" w:ascii="Times New Roman" w:hAnsi="Times New Roman" w:cs="Times New Roman"/>
          <w:sz w:val="24"/>
          <w:szCs w:val="24"/>
        </w:rPr>
        <w:t>Zhuoying Li</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 and Wen Zhou</w:t>
      </w:r>
      <w:r>
        <w:rPr>
          <w:rFonts w:hint="default" w:ascii="Times New Roman" w:hAnsi="Times New Roman" w:cs="Times New Roman"/>
          <w:sz w:val="24"/>
          <w:szCs w:val="24"/>
          <w:vertAlign w:val="superscript"/>
        </w:rPr>
        <w:t>1,2</w:t>
      </w:r>
    </w:p>
    <w:p>
      <w:pPr>
        <w:jc w:val="both"/>
        <w:rPr>
          <w:rFonts w:hint="default" w:ascii="Times New Roman" w:hAnsi="Times New Roman" w:cs="Times New Roman"/>
          <w:i/>
          <w:iCs/>
          <w:sz w:val="24"/>
          <w:szCs w:val="24"/>
        </w:rPr>
      </w:pPr>
      <w:r>
        <w:rPr>
          <w:rFonts w:hint="default" w:ascii="Times New Roman" w:hAnsi="Times New Roman" w:cs="Times New Roman"/>
          <w:i/>
          <w:iCs/>
          <w:sz w:val="24"/>
          <w:szCs w:val="24"/>
        </w:rPr>
        <w:t>1 Key Laboratory of Polar Atmosphere-ocean-ice System for Weather and Climate, Ministry of Education, Department of Atmospheric and Oceanic Sciences &amp; Institute of Atmospheric Sciences, Fudan University, Shanghai, China</w:t>
      </w:r>
    </w:p>
    <w:p>
      <w:pPr>
        <w:jc w:val="both"/>
        <w:rPr>
          <w:rFonts w:hint="default" w:ascii="Times New Roman" w:hAnsi="Times New Roman" w:cs="Times New Roman"/>
          <w:i/>
          <w:iCs/>
          <w:sz w:val="24"/>
          <w:szCs w:val="24"/>
        </w:rPr>
      </w:pPr>
      <w:r>
        <w:rPr>
          <w:rFonts w:hint="default" w:ascii="Times New Roman" w:hAnsi="Times New Roman" w:cs="Times New Roman"/>
          <w:i/>
          <w:iCs/>
          <w:sz w:val="24"/>
          <w:szCs w:val="24"/>
        </w:rPr>
        <w:t>2 Key Laboratory for Polar Science of the MNR, Polar Research Institute of China, Shanghai, China</w:t>
      </w: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Corresponding author: Wen Zhou </w:t>
      </w:r>
      <w:r>
        <w:rPr>
          <w:rFonts w:hint="default" w:ascii="Times New Roman" w:hAnsi="Times New Roman" w:cs="Times New Roman"/>
        </w:rPr>
        <w:fldChar w:fldCharType="begin"/>
      </w:r>
      <w:r>
        <w:rPr>
          <w:rFonts w:hint="default" w:ascii="Times New Roman" w:hAnsi="Times New Roman" w:cs="Times New Roman"/>
        </w:rPr>
        <w:instrText xml:space="preserve"> HYPERLINK "mailto:(wen_zhou@fudan.edu.cn" </w:instrText>
      </w:r>
      <w:r>
        <w:rPr>
          <w:rFonts w:hint="default" w:ascii="Times New Roman" w:hAnsi="Times New Roman" w:cs="Times New Roman"/>
        </w:rPr>
        <w:fldChar w:fldCharType="separate"/>
      </w:r>
      <w:r>
        <w:rPr>
          <w:rStyle w:val="11"/>
          <w:rFonts w:hint="default" w:ascii="Times New Roman" w:hAnsi="Times New Roman" w:cs="Times New Roman"/>
          <w:sz w:val="24"/>
          <w:szCs w:val="24"/>
        </w:rPr>
        <w:t>(wen_zhou@fudan.edu.cn</w:t>
      </w:r>
      <w:r>
        <w:rPr>
          <w:rStyle w:val="11"/>
          <w:rFonts w:hint="default" w:ascii="Times New Roman" w:hAnsi="Times New Roman" w:cs="Times New Roman"/>
          <w:sz w:val="24"/>
          <w:szCs w:val="24"/>
        </w:rPr>
        <w:fldChar w:fldCharType="end"/>
      </w:r>
      <w:r>
        <w:rPr>
          <w:rFonts w:hint="default" w:ascii="Times New Roman" w:hAnsi="Times New Roman" w:cs="Times New Roman"/>
          <w:sz w:val="24"/>
          <w:szCs w:val="24"/>
        </w:rPr>
        <w:t>)</w:t>
      </w:r>
    </w:p>
    <w:p>
      <w:pPr>
        <w:jc w:val="both"/>
        <w:rPr>
          <w:rFonts w:hint="default" w:ascii="Times New Roman" w:hAnsi="Times New Roman" w:cs="Times New Roman"/>
          <w:sz w:val="24"/>
          <w:szCs w:val="24"/>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Contents of this file</w:t>
      </w:r>
    </w:p>
    <w:p>
      <w:pPr>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Supplementary Tables 1 to 3</w:t>
      </w:r>
    </w:p>
    <w:p>
      <w:pPr>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Supplementary Figures 1 to 14</w:t>
      </w:r>
    </w:p>
    <w:p>
      <w:pPr>
        <w:ind w:firstLine="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Supplementary</w:t>
      </w:r>
      <w:r>
        <w:rPr>
          <w:rFonts w:hint="eastAsia" w:ascii="Times New Roman" w:hAnsi="Times New Roman" w:cs="Times New Roman"/>
          <w:sz w:val="24"/>
          <w:szCs w:val="24"/>
          <w:lang w:val="en-US" w:eastAsia="zh-CN"/>
        </w:rPr>
        <w:t xml:space="preserve"> Reference 1 to 4</w:t>
      </w:r>
      <w:r>
        <w:rPr>
          <w:rFonts w:hint="default" w:ascii="Times New Roman" w:hAnsi="Times New Roman" w:cs="Times New Roman"/>
          <w:sz w:val="24"/>
          <w:szCs w:val="24"/>
        </w:rPr>
        <w:br w:type="page"/>
      </w: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Supplementary Tables</w:t>
      </w:r>
    </w:p>
    <w:p>
      <w:pPr>
        <w:jc w:val="both"/>
        <w:rPr>
          <w:rFonts w:hint="default" w:ascii="Times New Roman" w:hAnsi="Times New Roman" w:cs="Times New Roman"/>
          <w:sz w:val="24"/>
          <w:szCs w:val="24"/>
        </w:rPr>
      </w:pPr>
      <w:r>
        <w:rPr>
          <w:rFonts w:hint="default" w:ascii="Times New Roman" w:hAnsi="Times New Roman" w:cs="Times New Roman"/>
          <w:b/>
          <w:bCs/>
          <w:sz w:val="24"/>
          <w:szCs w:val="24"/>
        </w:rPr>
        <w:t>Supplementary Table 1</w:t>
      </w:r>
      <w:r>
        <w:rPr>
          <w:rFonts w:hint="default" w:ascii="Times New Roman" w:hAnsi="Times New Roman" w:cs="Times New Roman"/>
          <w:sz w:val="24"/>
          <w:szCs w:val="24"/>
        </w:rPr>
        <w:t>. Details of resolution and datasets in the CMIP6-HighResMIP models used in this study.</w:t>
      </w:r>
    </w:p>
    <w:tbl>
      <w:tblPr>
        <w:tblStyle w:val="8"/>
        <w:tblW w:w="10456" w:type="dxa"/>
        <w:jc w:val="center"/>
        <w:tblBorders>
          <w:top w:val="double" w:color="000000" w:sz="4" w:space="0"/>
          <w:left w:val="single" w:color="DBEBC2" w:sz="2" w:space="0"/>
          <w:bottom w:val="single" w:color="000000" w:sz="18" w:space="0"/>
          <w:right w:val="single" w:color="DBEBC2" w:sz="2" w:space="0"/>
          <w:insideH w:val="single" w:color="auto" w:sz="4" w:space="0"/>
          <w:insideV w:val="single" w:color="DBEBC2" w:sz="2" w:space="0"/>
        </w:tblBorders>
        <w:tblLayout w:type="fixed"/>
        <w:tblCellMar>
          <w:top w:w="0" w:type="dxa"/>
          <w:left w:w="108" w:type="dxa"/>
          <w:bottom w:w="0" w:type="dxa"/>
          <w:right w:w="108" w:type="dxa"/>
        </w:tblCellMar>
      </w:tblPr>
      <w:tblGrid>
        <w:gridCol w:w="2482"/>
        <w:gridCol w:w="1263"/>
        <w:gridCol w:w="2191"/>
        <w:gridCol w:w="1973"/>
        <w:gridCol w:w="2547"/>
      </w:tblGrid>
      <w:tr>
        <w:tblPrEx>
          <w:tblBorders>
            <w:top w:val="double" w:color="000000" w:sz="4" w:space="0"/>
            <w:left w:val="single" w:color="DBEBC2" w:sz="2" w:space="0"/>
            <w:bottom w:val="single" w:color="000000" w:sz="18" w:space="0"/>
            <w:right w:val="single" w:color="DBEBC2" w:sz="2" w:space="0"/>
            <w:insideH w:val="single" w:color="auto" w:sz="4" w:space="0"/>
            <w:insideV w:val="single" w:color="DBEBC2" w:sz="2" w:space="0"/>
          </w:tblBorders>
          <w:tblCellMar>
            <w:top w:w="0" w:type="dxa"/>
            <w:left w:w="108" w:type="dxa"/>
            <w:bottom w:w="0" w:type="dxa"/>
            <w:right w:w="108" w:type="dxa"/>
          </w:tblCellMar>
        </w:tblPrEx>
        <w:trPr>
          <w:trHeight w:val="443" w:hRule="atLeast"/>
          <w:jc w:val="center"/>
        </w:trPr>
        <w:tc>
          <w:tcPr>
            <w:tcW w:w="2482" w:type="dxa"/>
            <w:tcBorders>
              <w:top w:val="double" w:color="000000" w:sz="4" w:space="0"/>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Model name</w:t>
            </w:r>
          </w:p>
        </w:tc>
        <w:tc>
          <w:tcPr>
            <w:tcW w:w="1263" w:type="dxa"/>
            <w:tcBorders>
              <w:top w:val="double" w:color="000000" w:sz="4" w:space="0"/>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Resolution(km)</w:t>
            </w:r>
          </w:p>
        </w:tc>
        <w:tc>
          <w:tcPr>
            <w:tcW w:w="2191" w:type="dxa"/>
            <w:tcBorders>
              <w:top w:val="double" w:color="000000" w:sz="4" w:space="0"/>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Datasets</w:t>
            </w:r>
          </w:p>
        </w:tc>
        <w:tc>
          <w:tcPr>
            <w:tcW w:w="1973" w:type="dxa"/>
            <w:tcBorders>
              <w:top w:val="double" w:color="000000" w:sz="4" w:space="0"/>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Tracker</w:t>
            </w:r>
          </w:p>
        </w:tc>
        <w:tc>
          <w:tcPr>
            <w:tcW w:w="2547" w:type="dxa"/>
            <w:tcBorders>
              <w:top w:val="double" w:color="000000" w:sz="4" w:space="0"/>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Reference</w:t>
            </w:r>
          </w:p>
        </w:tc>
      </w:tr>
      <w:tr>
        <w:tblPrEx>
          <w:tblBorders>
            <w:top w:val="double" w:color="000000" w:sz="4" w:space="0"/>
            <w:left w:val="single" w:color="DBEBC2" w:sz="2" w:space="0"/>
            <w:bottom w:val="single" w:color="000000" w:sz="18" w:space="0"/>
            <w:right w:val="single" w:color="DBEBC2" w:sz="2" w:space="0"/>
            <w:insideH w:val="single" w:color="auto" w:sz="4" w:space="0"/>
            <w:insideV w:val="single" w:color="DBEBC2" w:sz="2" w:space="0"/>
          </w:tblBorders>
          <w:tblCellMar>
            <w:top w:w="0" w:type="dxa"/>
            <w:left w:w="108" w:type="dxa"/>
            <w:bottom w:w="0" w:type="dxa"/>
            <w:right w:w="108" w:type="dxa"/>
          </w:tblCellMar>
        </w:tblPrEx>
        <w:trPr>
          <w:jc w:val="center"/>
        </w:trPr>
        <w:tc>
          <w:tcPr>
            <w:tcW w:w="2482" w:type="dxa"/>
            <w:tcBorders>
              <w:top w:val="nil"/>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CMCC-CM2-VHR4</w:t>
            </w:r>
          </w:p>
        </w:tc>
        <w:tc>
          <w:tcPr>
            <w:tcW w:w="1263" w:type="dxa"/>
            <w:tcBorders>
              <w:top w:val="nil"/>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38.2</w:t>
            </w:r>
          </w:p>
        </w:tc>
        <w:tc>
          <w:tcPr>
            <w:tcW w:w="2191" w:type="dxa"/>
            <w:tcBorders>
              <w:top w:val="nil"/>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highresSST-present</w:t>
            </w:r>
          </w:p>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highresSST-future</w:t>
            </w:r>
          </w:p>
        </w:tc>
        <w:tc>
          <w:tcPr>
            <w:tcW w:w="1973" w:type="dxa"/>
            <w:tcBorders>
              <w:top w:val="nil"/>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TRACK</w:t>
            </w:r>
          </w:p>
        </w:tc>
        <w:tc>
          <w:tcPr>
            <w:tcW w:w="2547" w:type="dxa"/>
            <w:tcBorders>
              <w:top w:val="nil"/>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Cherchi et al. (2019)</w:t>
            </w:r>
          </w:p>
          <w:p>
            <w:pPr>
              <w:jc w:val="center"/>
              <w:rPr>
                <w:rFonts w:hint="default" w:ascii="Times New Roman" w:hAnsi="Times New Roman" w:cs="Times New Roman"/>
                <w:kern w:val="0"/>
                <w:sz w:val="24"/>
                <w:szCs w:val="24"/>
              </w:rPr>
            </w:pPr>
          </w:p>
        </w:tc>
      </w:tr>
      <w:tr>
        <w:tblPrEx>
          <w:tblBorders>
            <w:top w:val="double" w:color="000000" w:sz="4" w:space="0"/>
            <w:left w:val="single" w:color="DBEBC2" w:sz="2" w:space="0"/>
            <w:bottom w:val="single" w:color="000000" w:sz="18" w:space="0"/>
            <w:right w:val="single" w:color="DBEBC2" w:sz="2" w:space="0"/>
            <w:insideH w:val="single" w:color="auto" w:sz="4" w:space="0"/>
            <w:insideV w:val="single" w:color="DBEBC2" w:sz="2" w:space="0"/>
          </w:tblBorders>
          <w:tblCellMar>
            <w:top w:w="0" w:type="dxa"/>
            <w:left w:w="108" w:type="dxa"/>
            <w:bottom w:w="0" w:type="dxa"/>
            <w:right w:w="108" w:type="dxa"/>
          </w:tblCellMar>
        </w:tblPrEx>
        <w:trPr>
          <w:trHeight w:val="90" w:hRule="atLeast"/>
          <w:jc w:val="center"/>
        </w:trPr>
        <w:tc>
          <w:tcPr>
            <w:tcW w:w="2482" w:type="dxa"/>
            <w:tcBorders>
              <w:top w:val="nil"/>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CNRM-CM6-1-HR</w:t>
            </w:r>
          </w:p>
        </w:tc>
        <w:tc>
          <w:tcPr>
            <w:tcW w:w="1263" w:type="dxa"/>
            <w:tcBorders>
              <w:top w:val="nil"/>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75.3</w:t>
            </w:r>
          </w:p>
        </w:tc>
        <w:tc>
          <w:tcPr>
            <w:tcW w:w="2191" w:type="dxa"/>
            <w:tcBorders>
              <w:top w:val="nil"/>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highresSST-present</w:t>
            </w:r>
          </w:p>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highresSST-future</w:t>
            </w:r>
          </w:p>
        </w:tc>
        <w:tc>
          <w:tcPr>
            <w:tcW w:w="1973" w:type="dxa"/>
            <w:tcBorders>
              <w:top w:val="nil"/>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TRACK</w:t>
            </w:r>
          </w:p>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TempestExtremes</w:t>
            </w:r>
          </w:p>
        </w:tc>
        <w:tc>
          <w:tcPr>
            <w:tcW w:w="2547" w:type="dxa"/>
            <w:tcBorders>
              <w:top w:val="nil"/>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Voldoire.</w:t>
            </w:r>
            <w:r>
              <w:rPr>
                <w:rFonts w:hint="eastAsia" w:ascii="Times New Roman" w:hAnsi="Times New Roman" w:cs="Times New Roman"/>
                <w:kern w:val="0"/>
                <w:sz w:val="24"/>
                <w:szCs w:val="24"/>
                <w:lang w:val="en-US" w:eastAsia="zh-CN"/>
              </w:rPr>
              <w:t>,</w:t>
            </w:r>
            <w:r>
              <w:rPr>
                <w:rFonts w:hint="default" w:ascii="Times New Roman" w:hAnsi="Times New Roman" w:cs="Times New Roman"/>
                <w:kern w:val="0"/>
                <w:sz w:val="24"/>
                <w:szCs w:val="24"/>
              </w:rPr>
              <w:t xml:space="preserve"> A. et al. (2019)</w:t>
            </w:r>
          </w:p>
        </w:tc>
      </w:tr>
      <w:tr>
        <w:tblPrEx>
          <w:tblBorders>
            <w:top w:val="double" w:color="000000" w:sz="4" w:space="0"/>
            <w:left w:val="single" w:color="DBEBC2" w:sz="2" w:space="0"/>
            <w:bottom w:val="single" w:color="000000" w:sz="18" w:space="0"/>
            <w:right w:val="single" w:color="DBEBC2" w:sz="2" w:space="0"/>
            <w:insideH w:val="single" w:color="auto" w:sz="4" w:space="0"/>
            <w:insideV w:val="single" w:color="DBEBC2" w:sz="2" w:space="0"/>
          </w:tblBorders>
          <w:tblCellMar>
            <w:top w:w="0" w:type="dxa"/>
            <w:left w:w="108" w:type="dxa"/>
            <w:bottom w:w="0" w:type="dxa"/>
            <w:right w:w="108" w:type="dxa"/>
          </w:tblCellMar>
        </w:tblPrEx>
        <w:trPr>
          <w:jc w:val="center"/>
        </w:trPr>
        <w:tc>
          <w:tcPr>
            <w:tcW w:w="2482" w:type="dxa"/>
            <w:tcBorders>
              <w:top w:val="nil"/>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EC-Earth3P-HR</w:t>
            </w:r>
          </w:p>
        </w:tc>
        <w:tc>
          <w:tcPr>
            <w:tcW w:w="1263" w:type="dxa"/>
            <w:tcBorders>
              <w:top w:val="nil"/>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54.2</w:t>
            </w:r>
          </w:p>
        </w:tc>
        <w:tc>
          <w:tcPr>
            <w:tcW w:w="2191" w:type="dxa"/>
            <w:tcBorders>
              <w:top w:val="nil"/>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highresSST-present</w:t>
            </w:r>
          </w:p>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highresSST-future</w:t>
            </w:r>
          </w:p>
        </w:tc>
        <w:tc>
          <w:tcPr>
            <w:tcW w:w="1973" w:type="dxa"/>
            <w:tcBorders>
              <w:top w:val="nil"/>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TRACK</w:t>
            </w:r>
          </w:p>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TempestExtremes</w:t>
            </w:r>
          </w:p>
        </w:tc>
        <w:tc>
          <w:tcPr>
            <w:tcW w:w="2547" w:type="dxa"/>
            <w:tcBorders>
              <w:top w:val="nil"/>
              <w:left w:val="single" w:color="DBEBC2" w:sz="2" w:space="0"/>
              <w:bottom w:val="nil"/>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Haarsma, R. et al. (2020)</w:t>
            </w:r>
          </w:p>
        </w:tc>
      </w:tr>
      <w:tr>
        <w:tblPrEx>
          <w:tblBorders>
            <w:top w:val="double" w:color="000000" w:sz="4" w:space="0"/>
            <w:left w:val="single" w:color="DBEBC2" w:sz="2" w:space="0"/>
            <w:bottom w:val="single" w:color="000000" w:sz="18" w:space="0"/>
            <w:right w:val="single" w:color="DBEBC2" w:sz="2" w:space="0"/>
            <w:insideH w:val="single" w:color="auto" w:sz="4" w:space="0"/>
            <w:insideV w:val="single" w:color="DBEBC2" w:sz="2" w:space="0"/>
          </w:tblBorders>
          <w:tblCellMar>
            <w:top w:w="0" w:type="dxa"/>
            <w:left w:w="108" w:type="dxa"/>
            <w:bottom w:w="0" w:type="dxa"/>
            <w:right w:w="108" w:type="dxa"/>
          </w:tblCellMar>
        </w:tblPrEx>
        <w:trPr>
          <w:jc w:val="center"/>
        </w:trPr>
        <w:tc>
          <w:tcPr>
            <w:tcW w:w="2482" w:type="dxa"/>
            <w:tcBorders>
              <w:top w:val="nil"/>
              <w:left w:val="single" w:color="DBEBC2" w:sz="2" w:space="0"/>
              <w:bottom w:val="single" w:color="000000" w:sz="18" w:space="0"/>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HadGEM3-GC31-HM</w:t>
            </w:r>
          </w:p>
        </w:tc>
        <w:tc>
          <w:tcPr>
            <w:tcW w:w="1263" w:type="dxa"/>
            <w:tcBorders>
              <w:top w:val="nil"/>
              <w:left w:val="single" w:color="DBEBC2" w:sz="2" w:space="0"/>
              <w:bottom w:val="single" w:color="000000" w:sz="18" w:space="0"/>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40.8</w:t>
            </w:r>
          </w:p>
        </w:tc>
        <w:tc>
          <w:tcPr>
            <w:tcW w:w="2191" w:type="dxa"/>
            <w:tcBorders>
              <w:top w:val="nil"/>
              <w:left w:val="single" w:color="DBEBC2" w:sz="2" w:space="0"/>
              <w:bottom w:val="single" w:color="000000" w:sz="18" w:space="0"/>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highresSST-present</w:t>
            </w:r>
          </w:p>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highresSST-future</w:t>
            </w:r>
          </w:p>
        </w:tc>
        <w:tc>
          <w:tcPr>
            <w:tcW w:w="1973" w:type="dxa"/>
            <w:tcBorders>
              <w:top w:val="nil"/>
              <w:left w:val="single" w:color="DBEBC2" w:sz="2" w:space="0"/>
              <w:bottom w:val="single" w:color="000000" w:sz="18" w:space="0"/>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TRACK</w:t>
            </w:r>
          </w:p>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TempestExtremes</w:t>
            </w:r>
          </w:p>
        </w:tc>
        <w:tc>
          <w:tcPr>
            <w:tcW w:w="2547" w:type="dxa"/>
            <w:tcBorders>
              <w:top w:val="nil"/>
              <w:left w:val="single" w:color="DBEBC2" w:sz="2" w:space="0"/>
              <w:bottom w:val="single" w:color="000000" w:sz="18" w:space="0"/>
              <w:right w:val="single" w:color="DBEBC2" w:sz="2" w:space="0"/>
            </w:tcBorders>
            <w:shd w:val="clear" w:color="auto" w:fill="FFFFFF"/>
          </w:tcPr>
          <w:p>
            <w:pPr>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Roberts et al. (2019)</w:t>
            </w:r>
          </w:p>
        </w:tc>
      </w:tr>
    </w:tbl>
    <w:p>
      <w:pPr>
        <w:rPr>
          <w:rFonts w:hint="default" w:ascii="Times New Roman" w:hAnsi="Times New Roman" w:cs="Times New Roman"/>
          <w:b/>
          <w:bCs/>
          <w:sz w:val="24"/>
          <w:szCs w:val="24"/>
        </w:rPr>
      </w:pPr>
      <w:bookmarkStart w:id="0" w:name="_Hlk165132751"/>
      <w:r>
        <w:rPr>
          <w:rFonts w:hint="default" w:ascii="Times New Roman" w:hAnsi="Times New Roman" w:cs="Times New Roman"/>
          <w:b/>
          <w:bCs/>
          <w:sz w:val="24"/>
          <w:szCs w:val="24"/>
        </w:rPr>
        <w:br w:type="page"/>
      </w:r>
    </w:p>
    <w:p>
      <w:pPr>
        <w:jc w:val="both"/>
        <w:rPr>
          <w:rFonts w:hint="default" w:ascii="Times New Roman" w:hAnsi="Times New Roman" w:cs="Times New Roman"/>
          <w:sz w:val="24"/>
          <w:szCs w:val="24"/>
        </w:rPr>
      </w:pPr>
      <w:r>
        <w:rPr>
          <w:rFonts w:hint="default" w:ascii="Times New Roman" w:hAnsi="Times New Roman" w:cs="Times New Roman"/>
          <w:b/>
          <w:bCs/>
          <w:sz w:val="24"/>
          <w:szCs w:val="24"/>
        </w:rPr>
        <w:t>Supplementary Table 2.</w:t>
      </w:r>
      <w:bookmarkEnd w:id="0"/>
      <w:r>
        <w:rPr>
          <w:rFonts w:hint="default" w:ascii="Times New Roman" w:hAnsi="Times New Roman" w:cs="Times New Roman"/>
          <w:sz w:val="24"/>
          <w:szCs w:val="24"/>
        </w:rPr>
        <w:t xml:space="preserve"> Correlation and RMSE between observations and models (MME_TRACK) under the new constrained detection method and without constraints (in brackets). ** represents the correlation is significant at the 95% confidence level.</w:t>
      </w:r>
    </w:p>
    <w:tbl>
      <w:tblPr>
        <w:tblStyle w:val="8"/>
        <w:tblW w:w="6033"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7"/>
        <w:gridCol w:w="1810"/>
        <w:gridCol w:w="2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2057" w:type="dxa"/>
            <w:tcBorders>
              <w:top w:val="double" w:color="auto" w:sz="4" w:space="0"/>
              <w:left w:val="nil"/>
              <w:bottom w:val="nil"/>
              <w:right w:val="nil"/>
            </w:tcBorders>
          </w:tcPr>
          <w:p>
            <w:pPr>
              <w:jc w:val="both"/>
              <w:rPr>
                <w:rFonts w:hint="default" w:ascii="Times New Roman" w:hAnsi="Times New Roman" w:cs="Times New Roman"/>
                <w:kern w:val="0"/>
                <w:sz w:val="24"/>
                <w:szCs w:val="24"/>
              </w:rPr>
            </w:pPr>
          </w:p>
        </w:tc>
        <w:tc>
          <w:tcPr>
            <w:tcW w:w="1810" w:type="dxa"/>
            <w:tcBorders>
              <w:top w:val="double" w:color="auto" w:sz="4" w:space="0"/>
              <w:left w:val="nil"/>
              <w:bottom w:val="nil"/>
              <w:right w:val="nil"/>
            </w:tcBorders>
          </w:tcPr>
          <w:p>
            <w:pPr>
              <w:jc w:val="both"/>
              <w:rPr>
                <w:rFonts w:hint="default" w:ascii="Times New Roman" w:hAnsi="Times New Roman" w:cs="Times New Roman"/>
                <w:kern w:val="0"/>
                <w:sz w:val="24"/>
                <w:szCs w:val="24"/>
              </w:rPr>
            </w:pPr>
            <w:r>
              <w:rPr>
                <w:rFonts w:hint="default" w:ascii="Times New Roman" w:hAnsi="Times New Roman" w:cs="Times New Roman"/>
                <w:kern w:val="0"/>
                <w:sz w:val="24"/>
                <w:szCs w:val="24"/>
              </w:rPr>
              <w:t>Correlation</w:t>
            </w:r>
          </w:p>
        </w:tc>
        <w:tc>
          <w:tcPr>
            <w:tcW w:w="2166" w:type="dxa"/>
            <w:tcBorders>
              <w:top w:val="double" w:color="auto" w:sz="4" w:space="0"/>
              <w:left w:val="nil"/>
              <w:bottom w:val="nil"/>
              <w:right w:val="nil"/>
            </w:tcBorders>
          </w:tcPr>
          <w:p>
            <w:pPr>
              <w:jc w:val="both"/>
              <w:rPr>
                <w:rFonts w:hint="default" w:ascii="Times New Roman" w:hAnsi="Times New Roman" w:cs="Times New Roman"/>
                <w:kern w:val="0"/>
                <w:sz w:val="24"/>
                <w:szCs w:val="24"/>
              </w:rPr>
            </w:pPr>
            <w:r>
              <w:rPr>
                <w:rFonts w:hint="default" w:ascii="Times New Roman" w:hAnsi="Times New Roman" w:cs="Times New Roman"/>
                <w:kern w:val="0"/>
                <w:sz w:val="24"/>
                <w:szCs w:val="24"/>
              </w:rPr>
              <w:t>RMSE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7" w:type="dxa"/>
            <w:tcBorders>
              <w:top w:val="nil"/>
              <w:left w:val="nil"/>
              <w:bottom w:val="nil"/>
              <w:right w:val="nil"/>
            </w:tcBorders>
          </w:tcPr>
          <w:p>
            <w:pPr>
              <w:jc w:val="both"/>
              <w:rPr>
                <w:rFonts w:hint="default" w:ascii="Times New Roman" w:hAnsi="Times New Roman" w:cs="Times New Roman"/>
                <w:kern w:val="0"/>
                <w:sz w:val="24"/>
                <w:szCs w:val="24"/>
              </w:rPr>
            </w:pPr>
            <w:r>
              <w:rPr>
                <w:rFonts w:hint="default" w:ascii="Times New Roman" w:hAnsi="Times New Roman" w:cs="Times New Roman"/>
                <w:kern w:val="0"/>
                <w:sz w:val="24"/>
                <w:szCs w:val="24"/>
              </w:rPr>
              <w:t>Frequency</w:t>
            </w:r>
          </w:p>
        </w:tc>
        <w:tc>
          <w:tcPr>
            <w:tcW w:w="1810" w:type="dxa"/>
            <w:tcBorders>
              <w:top w:val="nil"/>
              <w:left w:val="nil"/>
              <w:bottom w:val="nil"/>
              <w:right w:val="nil"/>
            </w:tcBorders>
          </w:tcPr>
          <w:p>
            <w:pPr>
              <w:jc w:val="both"/>
              <w:rPr>
                <w:rFonts w:hint="default" w:ascii="Times New Roman" w:hAnsi="Times New Roman" w:cs="Times New Roman"/>
                <w:kern w:val="0"/>
                <w:sz w:val="24"/>
                <w:szCs w:val="24"/>
              </w:rPr>
            </w:pPr>
            <w:r>
              <w:rPr>
                <w:rFonts w:hint="default" w:ascii="Times New Roman" w:hAnsi="Times New Roman" w:cs="Times New Roman"/>
                <w:kern w:val="0"/>
                <w:sz w:val="24"/>
                <w:szCs w:val="24"/>
              </w:rPr>
              <w:t>0.98** (0.94**)</w:t>
            </w:r>
          </w:p>
        </w:tc>
        <w:tc>
          <w:tcPr>
            <w:tcW w:w="2166" w:type="dxa"/>
            <w:tcBorders>
              <w:top w:val="nil"/>
              <w:left w:val="nil"/>
              <w:bottom w:val="nil"/>
              <w:right w:val="nil"/>
            </w:tcBorders>
          </w:tcPr>
          <w:p>
            <w:pPr>
              <w:jc w:val="both"/>
              <w:rPr>
                <w:rFonts w:hint="default" w:ascii="Times New Roman" w:hAnsi="Times New Roman" w:cs="Times New Roman"/>
                <w:kern w:val="0"/>
                <w:sz w:val="24"/>
                <w:szCs w:val="24"/>
              </w:rPr>
            </w:pPr>
            <w:r>
              <w:rPr>
                <w:rFonts w:hint="default" w:ascii="Times New Roman" w:hAnsi="Times New Roman" w:cs="Times New Roman"/>
                <w:kern w:val="0"/>
                <w:sz w:val="24"/>
                <w:szCs w:val="24"/>
              </w:rPr>
              <w:t>0.46 (0.96)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57" w:type="dxa"/>
            <w:tcBorders>
              <w:top w:val="nil"/>
              <w:left w:val="nil"/>
              <w:bottom w:val="single" w:color="auto" w:sz="18" w:space="0"/>
              <w:right w:val="nil"/>
            </w:tcBorders>
          </w:tcPr>
          <w:p>
            <w:pPr>
              <w:jc w:val="both"/>
              <w:rPr>
                <w:rFonts w:hint="default" w:ascii="Times New Roman" w:hAnsi="Times New Roman" w:cs="Times New Roman"/>
                <w:kern w:val="0"/>
                <w:sz w:val="24"/>
                <w:szCs w:val="24"/>
              </w:rPr>
            </w:pPr>
            <w:r>
              <w:rPr>
                <w:rFonts w:hint="default" w:ascii="Times New Roman" w:hAnsi="Times New Roman" w:cs="Times New Roman"/>
                <w:kern w:val="0"/>
                <w:sz w:val="24"/>
                <w:szCs w:val="24"/>
              </w:rPr>
              <w:t>Genesis latitude</w:t>
            </w:r>
          </w:p>
        </w:tc>
        <w:tc>
          <w:tcPr>
            <w:tcW w:w="1810" w:type="dxa"/>
            <w:tcBorders>
              <w:top w:val="nil"/>
              <w:left w:val="nil"/>
              <w:bottom w:val="single" w:color="auto" w:sz="18" w:space="0"/>
              <w:right w:val="nil"/>
            </w:tcBorders>
          </w:tcPr>
          <w:p>
            <w:pPr>
              <w:jc w:val="both"/>
              <w:rPr>
                <w:rFonts w:hint="default" w:ascii="Times New Roman" w:hAnsi="Times New Roman" w:cs="Times New Roman"/>
                <w:kern w:val="0"/>
                <w:sz w:val="24"/>
                <w:szCs w:val="24"/>
              </w:rPr>
            </w:pPr>
            <w:r>
              <w:rPr>
                <w:rFonts w:hint="default" w:ascii="Times New Roman" w:hAnsi="Times New Roman" w:cs="Times New Roman"/>
                <w:kern w:val="0"/>
                <w:sz w:val="24"/>
                <w:szCs w:val="24"/>
              </w:rPr>
              <w:t>0.95** (-0.03)</w:t>
            </w:r>
          </w:p>
        </w:tc>
        <w:tc>
          <w:tcPr>
            <w:tcW w:w="2166" w:type="dxa"/>
            <w:tcBorders>
              <w:top w:val="nil"/>
              <w:left w:val="nil"/>
              <w:bottom w:val="single" w:color="auto" w:sz="18" w:space="0"/>
              <w:right w:val="nil"/>
            </w:tcBorders>
          </w:tcPr>
          <w:p>
            <w:pPr>
              <w:jc w:val="both"/>
              <w:rPr>
                <w:rFonts w:hint="default" w:ascii="Times New Roman" w:hAnsi="Times New Roman" w:cs="Times New Roman"/>
                <w:kern w:val="0"/>
                <w:sz w:val="24"/>
                <w:szCs w:val="24"/>
              </w:rPr>
            </w:pPr>
            <w:r>
              <w:rPr>
                <w:rFonts w:hint="default" w:ascii="Times New Roman" w:hAnsi="Times New Roman" w:cs="Times New Roman"/>
                <w:kern w:val="0"/>
                <w:sz w:val="24"/>
                <w:szCs w:val="24"/>
              </w:rPr>
              <w:t>1.96 (7.54)</w:t>
            </w:r>
          </w:p>
        </w:tc>
      </w:tr>
    </w:tbl>
    <w:p>
      <w:pPr>
        <w:rPr>
          <w:rFonts w:hint="default" w:ascii="Times New Roman" w:hAnsi="Times New Roman" w:cs="Times New Roman"/>
          <w:b/>
          <w:bCs/>
          <w:sz w:val="24"/>
          <w:szCs w:val="24"/>
        </w:rPr>
      </w:pPr>
      <w:r>
        <w:rPr>
          <w:rFonts w:hint="default" w:ascii="Times New Roman" w:hAnsi="Times New Roman" w:cs="Times New Roman"/>
          <w:b/>
          <w:bCs/>
          <w:sz w:val="24"/>
          <w:szCs w:val="24"/>
        </w:rPr>
        <w:br w:type="page"/>
      </w:r>
    </w:p>
    <w:p>
      <w:pPr>
        <w:autoSpaceDE w:val="0"/>
        <w:rPr>
          <w:rFonts w:hint="default" w:ascii="Times New Roman" w:hAnsi="Times New Roman" w:cs="Times New Roman"/>
          <w:color w:val="000000"/>
          <w:sz w:val="24"/>
          <w:szCs w:val="24"/>
        </w:rPr>
      </w:pPr>
      <w:r>
        <w:rPr>
          <w:rFonts w:hint="default" w:ascii="Times New Roman" w:hAnsi="Times New Roman" w:cs="Times New Roman"/>
          <w:b/>
          <w:bCs/>
          <w:sz w:val="24"/>
          <w:szCs w:val="24"/>
        </w:rPr>
        <w:t>Supplementary Table 3.</w:t>
      </w:r>
      <w:r>
        <w:rPr>
          <w:rFonts w:hint="default" w:ascii="Times New Roman" w:hAnsi="Times New Roman" w:cs="Times New Roman"/>
          <w:sz w:val="24"/>
          <w:szCs w:val="24"/>
        </w:rPr>
        <w:t xml:space="preserve"> The storm intensity categories (Cat x) as measured by minimum mean sea level pressure (MSLP) ranges and the official Saffir - Simpson TC intensity scale. </w:t>
      </w:r>
    </w:p>
    <w:tbl>
      <w:tblPr>
        <w:tblStyle w:val="8"/>
        <w:tblW w:w="8017"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2"/>
        <w:gridCol w:w="2284"/>
        <w:gridCol w:w="3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042" w:type="dxa"/>
            <w:tcBorders>
              <w:top w:val="double" w:color="auto" w:sz="4" w:space="0"/>
              <w:left w:val="nil"/>
              <w:bottom w:val="nil"/>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Category</w:t>
            </w:r>
          </w:p>
        </w:tc>
        <w:tc>
          <w:tcPr>
            <w:tcW w:w="2284" w:type="dxa"/>
            <w:tcBorders>
              <w:top w:val="double" w:color="auto" w:sz="4" w:space="0"/>
              <w:left w:val="nil"/>
              <w:bottom w:val="nil"/>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MSLP range (hPa)</w:t>
            </w:r>
          </w:p>
        </w:tc>
        <w:tc>
          <w:tcPr>
            <w:tcW w:w="3691" w:type="dxa"/>
            <w:tcBorders>
              <w:top w:val="double" w:color="auto" w:sz="4" w:space="0"/>
              <w:left w:val="nil"/>
              <w:bottom w:val="nil"/>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maximum wind speed range (m</w:t>
            </w:r>
            <w:r>
              <w:rPr>
                <w:rFonts w:hint="eastAsia" w:ascii="Times New Roman" w:hAnsi="Times New Roman" w:cs="Times New Roman"/>
                <w:kern w:val="0"/>
                <w:sz w:val="24"/>
                <w:szCs w:val="24"/>
                <w:lang w:val="en-US" w:eastAsia="zh-CN"/>
              </w:rPr>
              <w:t xml:space="preserve"> </w:t>
            </w:r>
            <w:r>
              <w:rPr>
                <w:rFonts w:hint="default" w:ascii="Times New Roman" w:hAnsi="Times New Roman" w:cs="Times New Roman"/>
                <w:kern w:val="0"/>
                <w:sz w:val="24"/>
                <w:szCs w:val="24"/>
              </w:rPr>
              <w:t>s</w:t>
            </w:r>
            <w:r>
              <w:rPr>
                <w:rFonts w:hint="eastAsia" w:ascii="Times New Roman" w:hAnsi="Times New Roman" w:cs="Times New Roman"/>
                <w:kern w:val="0"/>
                <w:sz w:val="24"/>
                <w:szCs w:val="24"/>
                <w:vertAlign w:val="superscript"/>
                <w:lang w:val="en-US" w:eastAsia="zh-CN"/>
              </w:rPr>
              <w:t>-1</w:t>
            </w:r>
            <w:r>
              <w:rPr>
                <w:rFonts w:hint="default" w:ascii="Times New Roman" w:hAnsi="Times New Roman" w:cs="Times New Roman"/>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042" w:type="dxa"/>
            <w:tcBorders>
              <w:top w:val="nil"/>
              <w:left w:val="nil"/>
              <w:bottom w:val="nil"/>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0</w:t>
            </w:r>
          </w:p>
        </w:tc>
        <w:tc>
          <w:tcPr>
            <w:tcW w:w="2284" w:type="dxa"/>
            <w:tcBorders>
              <w:top w:val="nil"/>
              <w:left w:val="nil"/>
              <w:bottom w:val="nil"/>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&lt;994</w:t>
            </w:r>
          </w:p>
        </w:tc>
        <w:tc>
          <w:tcPr>
            <w:tcW w:w="3691" w:type="dxa"/>
            <w:tcBorders>
              <w:top w:val="nil"/>
              <w:left w:val="nil"/>
              <w:bottom w:val="nil"/>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x&lt;33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042" w:type="dxa"/>
            <w:tcBorders>
              <w:top w:val="nil"/>
              <w:left w:val="nil"/>
              <w:bottom w:val="nil"/>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1</w:t>
            </w:r>
          </w:p>
        </w:tc>
        <w:tc>
          <w:tcPr>
            <w:tcW w:w="2284" w:type="dxa"/>
            <w:tcBorders>
              <w:top w:val="nil"/>
              <w:left w:val="nil"/>
              <w:bottom w:val="nil"/>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980≤x&lt;994</w:t>
            </w:r>
          </w:p>
        </w:tc>
        <w:tc>
          <w:tcPr>
            <w:tcW w:w="3691" w:type="dxa"/>
            <w:tcBorders>
              <w:top w:val="nil"/>
              <w:left w:val="nil"/>
              <w:bottom w:val="nil"/>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33≤x&lt;43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042" w:type="dxa"/>
            <w:tcBorders>
              <w:top w:val="nil"/>
              <w:left w:val="nil"/>
              <w:bottom w:val="nil"/>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2</w:t>
            </w:r>
          </w:p>
        </w:tc>
        <w:tc>
          <w:tcPr>
            <w:tcW w:w="2284" w:type="dxa"/>
            <w:tcBorders>
              <w:top w:val="nil"/>
              <w:left w:val="nil"/>
              <w:bottom w:val="nil"/>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965≤x&lt;980</w:t>
            </w:r>
          </w:p>
        </w:tc>
        <w:tc>
          <w:tcPr>
            <w:tcW w:w="3691" w:type="dxa"/>
            <w:tcBorders>
              <w:top w:val="nil"/>
              <w:left w:val="nil"/>
              <w:bottom w:val="nil"/>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43≤x&lt;50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042" w:type="dxa"/>
            <w:tcBorders>
              <w:top w:val="nil"/>
              <w:left w:val="nil"/>
              <w:bottom w:val="nil"/>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3</w:t>
            </w:r>
          </w:p>
        </w:tc>
        <w:tc>
          <w:tcPr>
            <w:tcW w:w="2284" w:type="dxa"/>
            <w:tcBorders>
              <w:top w:val="nil"/>
              <w:left w:val="nil"/>
              <w:bottom w:val="nil"/>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945≤x&lt;965</w:t>
            </w:r>
          </w:p>
        </w:tc>
        <w:tc>
          <w:tcPr>
            <w:tcW w:w="3691" w:type="dxa"/>
            <w:tcBorders>
              <w:top w:val="nil"/>
              <w:left w:val="nil"/>
              <w:bottom w:val="nil"/>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50≤x&lt;58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042" w:type="dxa"/>
            <w:tcBorders>
              <w:top w:val="nil"/>
              <w:left w:val="nil"/>
              <w:bottom w:val="nil"/>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4</w:t>
            </w:r>
          </w:p>
        </w:tc>
        <w:tc>
          <w:tcPr>
            <w:tcW w:w="2284" w:type="dxa"/>
            <w:tcBorders>
              <w:top w:val="nil"/>
              <w:left w:val="nil"/>
              <w:bottom w:val="nil"/>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920≤x&lt;945</w:t>
            </w:r>
          </w:p>
        </w:tc>
        <w:tc>
          <w:tcPr>
            <w:tcW w:w="3691" w:type="dxa"/>
            <w:tcBorders>
              <w:top w:val="nil"/>
              <w:left w:val="nil"/>
              <w:bottom w:val="nil"/>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58≤x&lt;70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042" w:type="dxa"/>
            <w:tcBorders>
              <w:top w:val="nil"/>
              <w:left w:val="nil"/>
              <w:bottom w:val="single" w:color="auto" w:sz="18" w:space="0"/>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5</w:t>
            </w:r>
          </w:p>
        </w:tc>
        <w:tc>
          <w:tcPr>
            <w:tcW w:w="2284" w:type="dxa"/>
            <w:tcBorders>
              <w:top w:val="nil"/>
              <w:left w:val="nil"/>
              <w:bottom w:val="single" w:color="auto" w:sz="18" w:space="0"/>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860≤x&lt;920</w:t>
            </w:r>
          </w:p>
        </w:tc>
        <w:tc>
          <w:tcPr>
            <w:tcW w:w="3691" w:type="dxa"/>
            <w:tcBorders>
              <w:top w:val="nil"/>
              <w:left w:val="nil"/>
              <w:bottom w:val="single" w:color="auto" w:sz="18" w:space="0"/>
              <w:right w:val="nil"/>
            </w:tcBorders>
            <w:vAlign w:val="center"/>
          </w:tcPr>
          <w:p>
            <w:pPr>
              <w:autoSpaceDE w:val="0"/>
              <w:spacing w:line="24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x≥70</w:t>
            </w:r>
          </w:p>
        </w:tc>
      </w:tr>
    </w:tbl>
    <w:p>
      <w:pPr>
        <w:widowControl/>
        <w:spacing w:line="240" w:lineRule="auto"/>
        <w:rPr>
          <w:rFonts w:hint="default" w:ascii="Times New Roman" w:hAnsi="Times New Roman" w:cs="Times New Roman"/>
          <w:sz w:val="24"/>
          <w:szCs w:val="24"/>
        </w:rPr>
      </w:pPr>
      <w:r>
        <w:rPr>
          <w:rFonts w:hint="default" w:ascii="Times New Roman" w:hAnsi="Times New Roman" w:cs="Times New Roman"/>
          <w:sz w:val="24"/>
          <w:szCs w:val="24"/>
        </w:rPr>
        <w:br w:type="page"/>
      </w: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Supplementary Figures</w:t>
      </w:r>
    </w:p>
    <w:p>
      <w:pPr>
        <w:jc w:val="center"/>
        <w:rPr>
          <w:rFonts w:hint="eastAsia" w:ascii="Times New Roman" w:hAnsi="Times New Roman" w:eastAsia="宋体" w:cs="Times New Roman"/>
          <w:b/>
          <w:bCs/>
          <w:sz w:val="24"/>
          <w:szCs w:val="24"/>
          <w:lang w:eastAsia="zh-CN"/>
        </w:rPr>
      </w:pPr>
      <w:r>
        <w:rPr>
          <w:rFonts w:hint="eastAsia" w:ascii="Times New Roman" w:hAnsi="Times New Roman" w:eastAsia="宋体" w:cs="Times New Roman"/>
          <w:b/>
          <w:bCs/>
          <w:sz w:val="24"/>
          <w:szCs w:val="24"/>
          <w:lang w:eastAsia="zh-CN"/>
        </w:rPr>
        <w:drawing>
          <wp:inline distT="0" distB="0" distL="114300" distR="114300">
            <wp:extent cx="5039995" cy="2985135"/>
            <wp:effectExtent l="0" t="0" r="1905" b="12065"/>
            <wp:docPr id="28" name="图片 28" descr="CMCC_track_wc_add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MCC_track_wc_addts"/>
                    <pic:cNvPicPr>
                      <a:picLocks noChangeAspect="1"/>
                    </pic:cNvPicPr>
                  </pic:nvPicPr>
                  <pic:blipFill>
                    <a:blip r:embed="rId6"/>
                    <a:stretch>
                      <a:fillRect/>
                    </a:stretch>
                  </pic:blipFill>
                  <pic:spPr>
                    <a:xfrm>
                      <a:off x="0" y="0"/>
                      <a:ext cx="5039995" cy="2985135"/>
                    </a:xfrm>
                    <a:prstGeom prst="rect">
                      <a:avLst/>
                    </a:prstGeom>
                  </pic:spPr>
                </pic:pic>
              </a:graphicData>
            </a:graphic>
          </wp:inline>
        </w:drawing>
      </w:r>
    </w:p>
    <w:p>
      <w:pPr>
        <w:jc w:val="center"/>
        <w:rPr>
          <w:rFonts w:hint="eastAsia" w:ascii="Times New Roman" w:hAnsi="Times New Roman" w:eastAsia="宋体" w:cs="Times New Roman"/>
          <w:sz w:val="24"/>
          <w:szCs w:val="24"/>
          <w:lang w:eastAsia="zh-CN"/>
        </w:rPr>
      </w:pPr>
      <w:r>
        <w:rPr>
          <w:rFonts w:hint="eastAsia" w:ascii="Times New Roman" w:hAnsi="Times New Roman" w:cs="Times New Roman"/>
          <w:b/>
          <w:bCs/>
          <w:sz w:val="24"/>
          <w:szCs w:val="24"/>
          <w:lang w:eastAsia="zh-CN"/>
        </w:rPr>
        <w:drawing>
          <wp:inline distT="0" distB="0" distL="114300" distR="114300">
            <wp:extent cx="5039995" cy="2985135"/>
            <wp:effectExtent l="0" t="0" r="1905" b="12065"/>
            <wp:docPr id="21" name="图片 21" descr="CMCC_track_wc_add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MCC_track_wc_addts"/>
                    <pic:cNvPicPr>
                      <a:picLocks noChangeAspect="1"/>
                    </pic:cNvPicPr>
                  </pic:nvPicPr>
                  <pic:blipFill>
                    <a:blip r:embed="rId7"/>
                    <a:stretch>
                      <a:fillRect/>
                    </a:stretch>
                  </pic:blipFill>
                  <pic:spPr>
                    <a:xfrm>
                      <a:off x="0" y="0"/>
                      <a:ext cx="5039995" cy="2985135"/>
                    </a:xfrm>
                    <a:prstGeom prst="rect">
                      <a:avLst/>
                    </a:prstGeom>
                  </pic:spPr>
                </pic:pic>
              </a:graphicData>
            </a:graphic>
          </wp:inline>
        </w:drawing>
      </w:r>
    </w:p>
    <w:p>
      <w:pPr>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5039995" cy="2985135"/>
            <wp:effectExtent l="0" t="0" r="1905" b="12065"/>
            <wp:docPr id="23" name="图片 23" descr="EC1_track_wc_add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C1_track_wc_addts"/>
                    <pic:cNvPicPr>
                      <a:picLocks noChangeAspect="1"/>
                    </pic:cNvPicPr>
                  </pic:nvPicPr>
                  <pic:blipFill>
                    <a:blip r:embed="rId8"/>
                    <a:stretch>
                      <a:fillRect/>
                    </a:stretch>
                  </pic:blipFill>
                  <pic:spPr>
                    <a:xfrm>
                      <a:off x="0" y="0"/>
                      <a:ext cx="5039995" cy="2985135"/>
                    </a:xfrm>
                    <a:prstGeom prst="rect">
                      <a:avLst/>
                    </a:prstGeom>
                  </pic:spPr>
                </pic:pic>
              </a:graphicData>
            </a:graphic>
          </wp:inline>
        </w:drawing>
      </w:r>
    </w:p>
    <w:p>
      <w:pPr>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5039995" cy="2985135"/>
            <wp:effectExtent l="0" t="0" r="1905" b="12065"/>
            <wp:docPr id="24" name="图片 24" descr="Had_track_wc_add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Had_track_wc_addts"/>
                    <pic:cNvPicPr>
                      <a:picLocks noChangeAspect="1"/>
                    </pic:cNvPicPr>
                  </pic:nvPicPr>
                  <pic:blipFill>
                    <a:blip r:embed="rId9"/>
                    <a:stretch>
                      <a:fillRect/>
                    </a:stretch>
                  </pic:blipFill>
                  <pic:spPr>
                    <a:xfrm>
                      <a:off x="0" y="0"/>
                      <a:ext cx="5039995" cy="2985135"/>
                    </a:xfrm>
                    <a:prstGeom prst="rect">
                      <a:avLst/>
                    </a:prstGeom>
                  </pic:spPr>
                </pic:pic>
              </a:graphicData>
            </a:graphic>
          </wp:inline>
        </w:drawing>
      </w:r>
    </w:p>
    <w:p>
      <w:pPr>
        <w:jc w:val="both"/>
        <w:rPr>
          <w:rFonts w:hint="default" w:ascii="Times New Roman" w:hAnsi="Times New Roman" w:cs="Times New Roman"/>
          <w:sz w:val="24"/>
          <w:szCs w:val="24"/>
        </w:rPr>
      </w:pPr>
      <w:r>
        <w:rPr>
          <w:rFonts w:hint="default" w:ascii="Times New Roman" w:hAnsi="Times New Roman" w:cs="Times New Roman"/>
          <w:b/>
          <w:bCs/>
          <w:sz w:val="24"/>
          <w:szCs w:val="24"/>
        </w:rPr>
        <w:t>Supplementary 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rPr>
        <w:t xml:space="preserve"> 1</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monthly sea surface temperature (contours, ℃) and TC genesis position (black dots) over the WNP from 1980 to 2010 of (a) CMCC-CM2-VHR4, (b) CNRM-CM6-1-HR, (c) EC-Earth3P-HR, (d) HadGEM3-GC31-HM in the TRACK algorithm. Bold dark lines represent the 26℃isotherm.</w:t>
      </w:r>
      <w:r>
        <w:rPr>
          <w:rFonts w:hint="default" w:ascii="Times New Roman" w:hAnsi="Times New Roman" w:cs="Times New Roman"/>
          <w:sz w:val="24"/>
          <w:szCs w:val="24"/>
        </w:rPr>
        <w:br w:type="page"/>
      </w:r>
    </w:p>
    <w:p>
      <w:pPr>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5039995" cy="2985135"/>
            <wp:effectExtent l="0" t="0" r="1905" b="12065"/>
            <wp:docPr id="25" name="图片 25" descr="CNRM_temp_wc_add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NRM_temp_wc_addts"/>
                    <pic:cNvPicPr>
                      <a:picLocks noChangeAspect="1"/>
                    </pic:cNvPicPr>
                  </pic:nvPicPr>
                  <pic:blipFill>
                    <a:blip r:embed="rId10"/>
                    <a:stretch>
                      <a:fillRect/>
                    </a:stretch>
                  </pic:blipFill>
                  <pic:spPr>
                    <a:xfrm>
                      <a:off x="0" y="0"/>
                      <a:ext cx="5039995" cy="2985135"/>
                    </a:xfrm>
                    <a:prstGeom prst="rect">
                      <a:avLst/>
                    </a:prstGeom>
                  </pic:spPr>
                </pic:pic>
              </a:graphicData>
            </a:graphic>
          </wp:inline>
        </w:drawing>
      </w:r>
    </w:p>
    <w:p>
      <w:pPr>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5039995" cy="2985135"/>
            <wp:effectExtent l="0" t="0" r="1905" b="12065"/>
            <wp:docPr id="26" name="图片 26" descr="EC1_temp_wc_add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C1_temp_wc_addts"/>
                    <pic:cNvPicPr>
                      <a:picLocks noChangeAspect="1"/>
                    </pic:cNvPicPr>
                  </pic:nvPicPr>
                  <pic:blipFill>
                    <a:blip r:embed="rId11"/>
                    <a:stretch>
                      <a:fillRect/>
                    </a:stretch>
                  </pic:blipFill>
                  <pic:spPr>
                    <a:xfrm>
                      <a:off x="0" y="0"/>
                      <a:ext cx="5039995" cy="2985135"/>
                    </a:xfrm>
                    <a:prstGeom prst="rect">
                      <a:avLst/>
                    </a:prstGeom>
                  </pic:spPr>
                </pic:pic>
              </a:graphicData>
            </a:graphic>
          </wp:inline>
        </w:drawing>
      </w:r>
    </w:p>
    <w:p>
      <w:pPr>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5039995" cy="2985135"/>
            <wp:effectExtent l="0" t="0" r="1905" b="12065"/>
            <wp:docPr id="27" name="图片 27" descr="Had_temp_wc_add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Had_temp_wc_addts"/>
                    <pic:cNvPicPr>
                      <a:picLocks noChangeAspect="1"/>
                    </pic:cNvPicPr>
                  </pic:nvPicPr>
                  <pic:blipFill>
                    <a:blip r:embed="rId12"/>
                    <a:stretch>
                      <a:fillRect/>
                    </a:stretch>
                  </pic:blipFill>
                  <pic:spPr>
                    <a:xfrm>
                      <a:off x="0" y="0"/>
                      <a:ext cx="5039995" cy="2985135"/>
                    </a:xfrm>
                    <a:prstGeom prst="rect">
                      <a:avLst/>
                    </a:prstGeom>
                  </pic:spPr>
                </pic:pic>
              </a:graphicData>
            </a:graphic>
          </wp:inline>
        </w:drawing>
      </w:r>
    </w:p>
    <w:p>
      <w:pPr>
        <w:jc w:val="both"/>
        <w:rPr>
          <w:rFonts w:hint="default" w:ascii="Times New Roman" w:hAnsi="Times New Roman" w:cs="Times New Roman"/>
          <w:sz w:val="24"/>
          <w:szCs w:val="24"/>
        </w:rPr>
      </w:pPr>
      <w:r>
        <w:rPr>
          <w:rFonts w:hint="default" w:ascii="Times New Roman" w:hAnsi="Times New Roman" w:cs="Times New Roman"/>
          <w:b/>
          <w:bCs/>
          <w:sz w:val="24"/>
          <w:szCs w:val="24"/>
        </w:rPr>
        <w:t>Supplementary 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rPr>
        <w:t xml:space="preserve"> 2</w:t>
      </w:r>
      <w:r>
        <w:rPr>
          <w:rFonts w:hint="default" w:ascii="Times New Roman" w:hAnsi="Times New Roman" w:cs="Times New Roman"/>
          <w:sz w:val="24"/>
          <w:szCs w:val="24"/>
        </w:rPr>
        <w:t xml:space="preserve"> The same as Supplementary Figure 1, but for (a) CNRM-CM6-1-HR, (b) EC-Earth3P-HR, (c) HadGEM3-GC31-HM in the Tempext algorithm (black dots).</w:t>
      </w:r>
      <w:r>
        <w:rPr>
          <w:rFonts w:hint="default" w:ascii="Times New Roman" w:hAnsi="Times New Roman" w:cs="Times New Roman"/>
          <w:sz w:val="24"/>
          <w:szCs w:val="24"/>
        </w:rPr>
        <w:br w:type="page"/>
      </w:r>
    </w:p>
    <w:p>
      <w:pPr>
        <w:jc w:val="both"/>
        <w:rPr>
          <w:rFonts w:hint="eastAsia" w:ascii="Times New Roman" w:hAnsi="Times New Roman" w:eastAsia="宋体" w:cs="Times New Roman"/>
          <w:sz w:val="24"/>
          <w:szCs w:val="24"/>
          <w:lang w:eastAsia="zh-CN"/>
        </w:rPr>
      </w:pPr>
      <w:r>
        <w:rPr>
          <w:rFonts w:hint="default" w:ascii="Times New Roman" w:hAnsi="Times New Roman" w:cs="Times New Roman"/>
          <w:sz w:val="24"/>
          <w:szCs w:val="24"/>
        </w:rPr>
        <w:t xml:space="preserve"> </w:t>
      </w:r>
      <w:r>
        <w:rPr>
          <w:rFonts w:hint="eastAsia" w:ascii="Times New Roman" w:hAnsi="Times New Roman" w:eastAsia="宋体" w:cs="Times New Roman"/>
          <w:sz w:val="24"/>
          <w:szCs w:val="24"/>
          <w:lang w:eastAsia="zh-CN"/>
        </w:rPr>
        <w:drawing>
          <wp:inline distT="0" distB="0" distL="114300" distR="114300">
            <wp:extent cx="5268595" cy="3335020"/>
            <wp:effectExtent l="0" t="0" r="1905" b="5080"/>
            <wp:docPr id="9" name="图片 9" descr="mme_wind_month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mme_wind_monthly"/>
                    <pic:cNvPicPr>
                      <a:picLocks noChangeAspect="1"/>
                    </pic:cNvPicPr>
                  </pic:nvPicPr>
                  <pic:blipFill>
                    <a:blip r:embed="rId13"/>
                    <a:stretch>
                      <a:fillRect/>
                    </a:stretch>
                  </pic:blipFill>
                  <pic:spPr>
                    <a:xfrm>
                      <a:off x="0" y="0"/>
                      <a:ext cx="5268595" cy="3335020"/>
                    </a:xfrm>
                    <a:prstGeom prst="rect">
                      <a:avLst/>
                    </a:prstGeom>
                  </pic:spPr>
                </pic:pic>
              </a:graphicData>
            </a:graphic>
          </wp:inline>
        </w:drawing>
      </w:r>
    </w:p>
    <w:p>
      <w:pPr>
        <w:jc w:val="both"/>
        <w:rPr>
          <w:rFonts w:hint="default" w:ascii="Times New Roman" w:hAnsi="Times New Roman" w:cs="Times New Roman"/>
        </w:rPr>
      </w:pPr>
      <w:bookmarkStart w:id="1" w:name="_Hlk165131128"/>
      <w:r>
        <w:rPr>
          <w:rFonts w:hint="default" w:ascii="Times New Roman" w:hAnsi="Times New Roman" w:cs="Times New Roman"/>
          <w:b/>
          <w:bCs/>
          <w:sz w:val="24"/>
          <w:szCs w:val="24"/>
        </w:rPr>
        <w:t>Supplementary 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rPr>
        <w:t xml:space="preserve"> 3</w:t>
      </w:r>
      <w:bookmarkEnd w:id="1"/>
      <w:r>
        <w:rPr>
          <w:rFonts w:hint="default" w:ascii="Times New Roman" w:hAnsi="Times New Roman" w:cs="Times New Roman"/>
          <w:sz w:val="24"/>
          <w:szCs w:val="24"/>
        </w:rPr>
        <w:t xml:space="preserve"> The climatological (1980–2010) monthly mean 200-hPa zonal MME wind (contours, m s</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 and 200 hPa winds (streamline, m s</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w:t>
      </w:r>
      <w:r>
        <w:rPr>
          <w:rFonts w:hint="default" w:ascii="Times New Roman" w:hAnsi="Times New Roman" w:cs="Times New Roman"/>
          <w:color w:val="000000"/>
          <w:sz w:val="24"/>
          <w:szCs w:val="24"/>
        </w:rPr>
        <w:t>.</w:t>
      </w:r>
      <w:r>
        <w:rPr>
          <w:rFonts w:hint="default" w:ascii="Times New Roman" w:hAnsi="Times New Roman" w:cs="Times New Roman"/>
        </w:rPr>
        <w:br w:type="page"/>
      </w:r>
    </w:p>
    <w:p>
      <w:pPr>
        <w:widowControl/>
        <w:kinsoku w:val="0"/>
        <w:autoSpaceDE w:val="0"/>
        <w:autoSpaceDN w:val="0"/>
        <w:adjustRightInd w:val="0"/>
        <w:snapToGrid w:val="0"/>
        <w:spacing w:before="129" w:line="280" w:lineRule="auto"/>
        <w:ind w:left="455" w:right="20" w:hanging="429"/>
        <w:textAlignment w:val="baseline"/>
        <w:rPr>
          <w:rFonts w:hint="default" w:ascii="Times New Roman" w:hAnsi="Times New Roman" w:cs="Times New Roman"/>
          <w:color w:val="000000"/>
          <w:spacing w:val="-1"/>
          <w:kern w:val="0"/>
          <w:sz w:val="20"/>
          <w:szCs w:val="20"/>
        </w:rPr>
      </w:pPr>
      <w:r>
        <w:rPr>
          <w:rFonts w:hint="eastAsia" w:ascii="Times New Roman" w:hAnsi="Times New Roman" w:eastAsia="宋体" w:cs="Times New Roman"/>
          <w:lang w:eastAsia="zh-CN"/>
        </w:rPr>
        <w:drawing>
          <wp:inline distT="0" distB="0" distL="114300" distR="114300">
            <wp:extent cx="5272405" cy="3935730"/>
            <wp:effectExtent l="0" t="0" r="10795" b="1270"/>
            <wp:docPr id="10" name="图片 10" descr="lat_num_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lat_num_trend"/>
                    <pic:cNvPicPr>
                      <a:picLocks noChangeAspect="1"/>
                    </pic:cNvPicPr>
                  </pic:nvPicPr>
                  <pic:blipFill>
                    <a:blip r:embed="rId14"/>
                    <a:stretch>
                      <a:fillRect/>
                    </a:stretch>
                  </pic:blipFill>
                  <pic:spPr>
                    <a:xfrm>
                      <a:off x="0" y="0"/>
                      <a:ext cx="5272405" cy="3935730"/>
                    </a:xfrm>
                    <a:prstGeom prst="rect">
                      <a:avLst/>
                    </a:prstGeom>
                  </pic:spPr>
                </pic:pic>
              </a:graphicData>
            </a:graphic>
          </wp:inline>
        </w:drawing>
      </w:r>
    </w:p>
    <w:p>
      <w:pPr>
        <w:keepNext w:val="0"/>
        <w:keepLines w:val="0"/>
        <w:pageBreakBefore w:val="0"/>
        <w:widowControl/>
        <w:kinsoku w:val="0"/>
        <w:wordWrap/>
        <w:overflowPunct/>
        <w:topLinePunct w:val="0"/>
        <w:autoSpaceDE w:val="0"/>
        <w:autoSpaceDN w:val="0"/>
        <w:bidi w:val="0"/>
        <w:adjustRightInd w:val="0"/>
        <w:snapToGrid w:val="0"/>
        <w:spacing w:before="129" w:line="360" w:lineRule="auto"/>
        <w:ind w:left="28" w:right="23"/>
        <w:textAlignment w:val="baseline"/>
        <w:rPr>
          <w:rFonts w:hint="default" w:ascii="Times New Roman" w:hAnsi="Times New Roman" w:cs="Times New Roman"/>
        </w:rPr>
      </w:pPr>
      <w:r>
        <w:rPr>
          <w:rFonts w:hint="default" w:ascii="Times New Roman" w:hAnsi="Times New Roman" w:cs="Times New Roman"/>
          <w:b/>
          <w:bCs/>
          <w:sz w:val="24"/>
          <w:szCs w:val="24"/>
        </w:rPr>
        <w:t>Supplementary 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rPr>
        <w:t xml:space="preserve"> 4</w:t>
      </w:r>
      <w:r>
        <w:rPr>
          <w:rFonts w:hint="default" w:ascii="Times New Roman" w:hAnsi="Times New Roman" w:cs="Times New Roman"/>
          <w:color w:val="000000"/>
          <w:spacing w:val="-1"/>
          <w:kern w:val="0"/>
          <w:sz w:val="20"/>
          <w:szCs w:val="20"/>
        </w:rPr>
        <w:t xml:space="preserve"> </w:t>
      </w:r>
      <w:r>
        <w:rPr>
          <w:rFonts w:hint="default" w:ascii="Times New Roman" w:hAnsi="Times New Roman" w:cs="Times New Roman"/>
          <w:sz w:val="24"/>
          <w:szCs w:val="24"/>
        </w:rPr>
        <w:t>(a)-(b) Comparing the annual TC genesis latitude (blue) and frequency (red) from the HighResMIP models before constraints with observations over the WNP during 1980-2014. (c)-(d) The same as (a)-(b), but comparing from the HighResMIP models after constrains with observations. The solid lines represent observational genesis latitude and frequency. Blue and red dash lines represent the MME of genesis latitude and frequency, respectively. The filling curves represent the range of the TC genesis latitude (blue) and frequency (red) from models.</w:t>
      </w:r>
      <w:r>
        <w:rPr>
          <w:rFonts w:hint="default" w:ascii="Times New Roman" w:hAnsi="Times New Roman" w:cs="Times New Roman"/>
        </w:rPr>
        <w:br w:type="page"/>
      </w:r>
    </w:p>
    <w:p>
      <w:pPr>
        <w:jc w:val="both"/>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4319905" cy="7648575"/>
            <wp:effectExtent l="0" t="0" r="10795" b="9525"/>
            <wp:docPr id="1" name="图片 1" descr="fig_JJASO_lat_LMI_num_change_revisec_wwind_withou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_JJASO_lat_LMI_num_change_revisec_wwind_withoutland"/>
                    <pic:cNvPicPr>
                      <a:picLocks noChangeAspect="1"/>
                    </pic:cNvPicPr>
                  </pic:nvPicPr>
                  <pic:blipFill>
                    <a:blip r:embed="rId15"/>
                    <a:stretch>
                      <a:fillRect/>
                    </a:stretch>
                  </pic:blipFill>
                  <pic:spPr>
                    <a:xfrm>
                      <a:off x="0" y="0"/>
                      <a:ext cx="4319905" cy="7648575"/>
                    </a:xfrm>
                    <a:prstGeom prst="rect">
                      <a:avLst/>
                    </a:prstGeom>
                  </pic:spPr>
                </pic:pic>
              </a:graphicData>
            </a:graphic>
          </wp:inline>
        </w:drawing>
      </w:r>
      <w:bookmarkStart w:id="14" w:name="_GoBack"/>
      <w:bookmarkEnd w:id="14"/>
    </w:p>
    <w:p>
      <w:pPr>
        <w:jc w:val="both"/>
        <w:rPr>
          <w:rFonts w:hint="default" w:ascii="Times New Roman" w:hAnsi="Times New Roman" w:cs="Times New Roman"/>
          <w:sz w:val="24"/>
          <w:szCs w:val="24"/>
        </w:rPr>
      </w:pPr>
      <w:bookmarkStart w:id="2" w:name="_Hlk165155067"/>
      <w:bookmarkStart w:id="3" w:name="_Hlk165155786"/>
      <w:bookmarkStart w:id="4" w:name="_Hlk165131958"/>
      <w:r>
        <w:rPr>
          <w:rFonts w:hint="default" w:ascii="Times New Roman" w:hAnsi="Times New Roman" w:cs="Times New Roman"/>
          <w:b/>
          <w:bCs/>
          <w:sz w:val="24"/>
          <w:szCs w:val="24"/>
        </w:rPr>
        <w:t>Supplementary</w:t>
      </w:r>
      <w:bookmarkEnd w:id="2"/>
      <w:r>
        <w:rPr>
          <w:rFonts w:hint="default" w:ascii="Times New Roman" w:hAnsi="Times New Roman" w:cs="Times New Roman"/>
          <w:b/>
          <w:bCs/>
          <w:sz w:val="24"/>
          <w:szCs w:val="24"/>
        </w:rPr>
        <w:t xml:space="preserve"> Fig</w:t>
      </w:r>
      <w:bookmarkEnd w:id="3"/>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rPr>
        <w:t xml:space="preserve"> 5</w:t>
      </w:r>
      <w:r>
        <w:rPr>
          <w:rFonts w:hint="default" w:ascii="Times New Roman" w:hAnsi="Times New Roman" w:cs="Times New Roman"/>
          <w:sz w:val="24"/>
          <w:szCs w:val="24"/>
        </w:rPr>
        <w:t xml:space="preserve"> Future changes</w:t>
      </w:r>
      <w:bookmarkEnd w:id="4"/>
      <w:r>
        <w:rPr>
          <w:rFonts w:hint="default" w:ascii="Times New Roman" w:hAnsi="Times New Roman" w:cs="Times New Roman"/>
          <w:sz w:val="24"/>
          <w:szCs w:val="24"/>
        </w:rPr>
        <w:t xml:space="preserve"> in JJASO TC (a) genesis latitude, (b) LMI latitude and (c) frequency for each model and their MMEs. * and ** represent 90 % and 95 % significance, respectively.</w:t>
      </w:r>
      <w:r>
        <w:rPr>
          <w:rFonts w:hint="default" w:ascii="Times New Roman" w:hAnsi="Times New Roman" w:cs="Times New Roman"/>
          <w:sz w:val="24"/>
          <w:szCs w:val="24"/>
        </w:rPr>
        <w:br w:type="page"/>
      </w:r>
    </w:p>
    <w:p>
      <w:pPr>
        <w:jc w:val="both"/>
        <w:rPr>
          <w:rFonts w:hint="eastAsia" w:ascii="Times New Roman" w:hAnsi="Times New Roman" w:eastAsia="宋体" w:cs="Times New Roman"/>
          <w:b/>
          <w:bCs/>
          <w:sz w:val="24"/>
          <w:szCs w:val="24"/>
          <w:lang w:eastAsia="zh-CN"/>
        </w:rPr>
      </w:pPr>
      <w:r>
        <w:rPr>
          <w:rFonts w:hint="eastAsia" w:ascii="Times New Roman" w:hAnsi="Times New Roman" w:eastAsia="宋体" w:cs="Times New Roman"/>
          <w:b/>
          <w:bCs/>
          <w:sz w:val="24"/>
          <w:szCs w:val="24"/>
          <w:lang w:eastAsia="zh-CN"/>
        </w:rPr>
        <w:drawing>
          <wp:inline distT="0" distB="0" distL="114300" distR="114300">
            <wp:extent cx="5266055" cy="4378325"/>
            <wp:effectExtent l="0" t="0" r="4445" b="3175"/>
            <wp:docPr id="12" name="图片 12" descr="fig0_monthly_newc_withoutland_l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0_monthly_newc_withoutland_lmi"/>
                    <pic:cNvPicPr>
                      <a:picLocks noChangeAspect="1"/>
                    </pic:cNvPicPr>
                  </pic:nvPicPr>
                  <pic:blipFill>
                    <a:blip r:embed="rId16"/>
                    <a:stretch>
                      <a:fillRect/>
                    </a:stretch>
                  </pic:blipFill>
                  <pic:spPr>
                    <a:xfrm>
                      <a:off x="0" y="0"/>
                      <a:ext cx="5266055" cy="4378325"/>
                    </a:xfrm>
                    <a:prstGeom prst="rect">
                      <a:avLst/>
                    </a:prstGeom>
                  </pic:spPr>
                </pic:pic>
              </a:graphicData>
            </a:graphic>
          </wp:inline>
        </w:drawing>
      </w:r>
    </w:p>
    <w:p>
      <w:pPr>
        <w:jc w:val="both"/>
        <w:rPr>
          <w:rFonts w:hint="default" w:ascii="Times New Roman" w:hAnsi="Times New Roman" w:cs="Times New Roman"/>
        </w:rPr>
      </w:pPr>
      <w:r>
        <w:rPr>
          <w:rFonts w:hint="default" w:ascii="Times New Roman" w:hAnsi="Times New Roman" w:cs="Times New Roman"/>
          <w:b/>
          <w:bCs/>
          <w:sz w:val="24"/>
          <w:szCs w:val="24"/>
        </w:rPr>
        <w:t>Supplementary 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rPr>
        <w:t xml:space="preserve"> 6 </w:t>
      </w:r>
      <w:r>
        <w:rPr>
          <w:rFonts w:hint="default" w:ascii="Times New Roman" w:hAnsi="Times New Roman" w:cs="Times New Roman"/>
          <w:sz w:val="24"/>
          <w:szCs w:val="24"/>
        </w:rPr>
        <w:t>The climatological mean (1980-2010) annual cycle of TC TC LMI latitude over the WNP, from IBTRACS (black bars), the models using the TRACK tracker (solid lines) and the TempExt tracker (dashed lines), as well as their MMEs (gray bars). The rightmost column is the climatological mean (1980-2010) annual TC LMI latitude using the TRACK tracker (colored dots) and the TempExt tracker (colored circles).</w:t>
      </w:r>
      <w:r>
        <w:rPr>
          <w:rFonts w:hint="default" w:ascii="Times New Roman" w:hAnsi="Times New Roman" w:cs="Times New Roman"/>
        </w:rPr>
        <w:br w:type="page"/>
      </w:r>
    </w:p>
    <w:p>
      <w:pPr>
        <w:jc w:val="both"/>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5262880" cy="2273300"/>
            <wp:effectExtent l="0" t="0" r="7620" b="0"/>
            <wp:docPr id="14" name="图片 14" descr="boxplot2scatter_L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boxplot2scatter_LMI"/>
                    <pic:cNvPicPr>
                      <a:picLocks noChangeAspect="1"/>
                    </pic:cNvPicPr>
                  </pic:nvPicPr>
                  <pic:blipFill>
                    <a:blip r:embed="rId17"/>
                    <a:stretch>
                      <a:fillRect/>
                    </a:stretch>
                  </pic:blipFill>
                  <pic:spPr>
                    <a:xfrm>
                      <a:off x="0" y="0"/>
                      <a:ext cx="5262880" cy="2273300"/>
                    </a:xfrm>
                    <a:prstGeom prst="rect">
                      <a:avLst/>
                    </a:prstGeom>
                  </pic:spPr>
                </pic:pic>
              </a:graphicData>
            </a:graphic>
          </wp:inline>
        </w:drawing>
      </w:r>
    </w:p>
    <w:p>
      <w:pPr>
        <w:jc w:val="both"/>
        <w:rPr>
          <w:rFonts w:hint="default" w:ascii="Times New Roman" w:hAnsi="Times New Roman" w:cs="Times New Roman"/>
          <w:sz w:val="24"/>
          <w:szCs w:val="24"/>
        </w:rPr>
      </w:pPr>
      <w:bookmarkStart w:id="5" w:name="_Hlk165132479"/>
      <w:r>
        <w:rPr>
          <w:rFonts w:hint="default" w:ascii="Times New Roman" w:hAnsi="Times New Roman" w:cs="Times New Roman"/>
          <w:b/>
          <w:bCs/>
          <w:sz w:val="24"/>
          <w:szCs w:val="24"/>
        </w:rPr>
        <w:t>Supplementary 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rPr>
        <w:t xml:space="preserve"> 7</w:t>
      </w:r>
      <w:r>
        <w:rPr>
          <w:rFonts w:hint="default" w:ascii="Times New Roman" w:hAnsi="Times New Roman" w:cs="Times New Roman"/>
          <w:sz w:val="24"/>
          <w:szCs w:val="24"/>
        </w:rPr>
        <w:t xml:space="preserve"> The same as Fig. 2a. Future changes</w:t>
      </w:r>
      <w:r>
        <w:rPr>
          <w:rFonts w:hint="default" w:ascii="Times New Roman" w:hAnsi="Times New Roman" w:cs="Times New Roman"/>
        </w:rPr>
        <w:t xml:space="preserve"> </w:t>
      </w:r>
      <w:r>
        <w:rPr>
          <w:rFonts w:hint="default" w:ascii="Times New Roman" w:hAnsi="Times New Roman" w:cs="Times New Roman"/>
          <w:sz w:val="24"/>
          <w:szCs w:val="24"/>
        </w:rPr>
        <w:t>in monthly and annual TC LMI latitude</w:t>
      </w:r>
      <w:bookmarkEnd w:id="5"/>
      <w:r>
        <w:rPr>
          <w:rFonts w:hint="default" w:ascii="Times New Roman" w:hAnsi="Times New Roman" w:cs="Times New Roman"/>
          <w:sz w:val="24"/>
          <w:szCs w:val="24"/>
        </w:rPr>
        <w:t>.</w:t>
      </w:r>
      <w:r>
        <w:rPr>
          <w:rFonts w:hint="default" w:ascii="Times New Roman" w:hAnsi="Times New Roman" w:cs="Times New Roman"/>
          <w:sz w:val="24"/>
          <w:szCs w:val="24"/>
        </w:rPr>
        <w:br w:type="page"/>
      </w:r>
    </w:p>
    <w:p>
      <w:pPr>
        <w:jc w:val="both"/>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5265420" cy="1978025"/>
            <wp:effectExtent l="0" t="0" r="5080" b="3175"/>
            <wp:docPr id="15" name="图片 15" descr="wind_individual_model_ratio_JJASO_Ann_change_w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wind_individual_model_ratio_JJASO_Ann_change_wind"/>
                    <pic:cNvPicPr>
                      <a:picLocks noChangeAspect="1"/>
                    </pic:cNvPicPr>
                  </pic:nvPicPr>
                  <pic:blipFill>
                    <a:blip r:embed="rId18"/>
                    <a:stretch>
                      <a:fillRect/>
                    </a:stretch>
                  </pic:blipFill>
                  <pic:spPr>
                    <a:xfrm>
                      <a:off x="0" y="0"/>
                      <a:ext cx="5265420" cy="1978025"/>
                    </a:xfrm>
                    <a:prstGeom prst="rect">
                      <a:avLst/>
                    </a:prstGeom>
                  </pic:spPr>
                </pic:pic>
              </a:graphicData>
            </a:graphic>
          </wp:inline>
        </w:drawing>
      </w:r>
    </w:p>
    <w:p>
      <w:pPr>
        <w:jc w:val="both"/>
        <w:rPr>
          <w:rFonts w:hint="default" w:ascii="Times New Roman" w:hAnsi="Times New Roman" w:cs="Times New Roman"/>
          <w:sz w:val="24"/>
          <w:szCs w:val="24"/>
        </w:rPr>
      </w:pPr>
      <w:r>
        <w:rPr>
          <w:rFonts w:hint="default" w:ascii="Times New Roman" w:hAnsi="Times New Roman" w:cs="Times New Roman"/>
          <w:b/>
          <w:bCs/>
          <w:sz w:val="24"/>
          <w:szCs w:val="24"/>
        </w:rPr>
        <w:t>Supplementary 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rPr>
        <w:t xml:space="preserve"> 8</w:t>
      </w:r>
      <w:r>
        <w:rPr>
          <w:rFonts w:hint="default" w:ascii="Times New Roman" w:hAnsi="Times New Roman" w:cs="Times New Roman"/>
          <w:sz w:val="24"/>
          <w:szCs w:val="24"/>
        </w:rPr>
        <w:t xml:space="preserve"> (a) Future proportion changes of JJASO TCs measured by the official Saffir - Simpson TC intensity scale. (b) the same as (a), but for annual TCs   </w:t>
      </w:r>
      <w:r>
        <w:rPr>
          <w:rFonts w:hint="default" w:ascii="Times New Roman" w:hAnsi="Times New Roman" w:cs="Times New Roman"/>
          <w:sz w:val="24"/>
          <w:szCs w:val="24"/>
        </w:rPr>
        <w:br w:type="page"/>
      </w:r>
    </w:p>
    <w:p>
      <w:pPr>
        <w:pStyle w:val="3"/>
        <w:spacing w:before="96"/>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5265420" cy="1978025"/>
            <wp:effectExtent l="0" t="0" r="5080" b="3175"/>
            <wp:docPr id="16" name="图片 16" descr="psl_individual_model_ratio_JJASO_Ann_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psl_individual_model_ratio_JJASO_Ann_change"/>
                    <pic:cNvPicPr>
                      <a:picLocks noChangeAspect="1"/>
                    </pic:cNvPicPr>
                  </pic:nvPicPr>
                  <pic:blipFill>
                    <a:blip r:embed="rId19"/>
                    <a:stretch>
                      <a:fillRect/>
                    </a:stretch>
                  </pic:blipFill>
                  <pic:spPr>
                    <a:xfrm>
                      <a:off x="0" y="0"/>
                      <a:ext cx="5265420" cy="197802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bookmarkStart w:id="6" w:name="_Hlk165132793"/>
      <w:r>
        <w:rPr>
          <w:rFonts w:hint="default" w:ascii="Times New Roman" w:hAnsi="Times New Roman" w:cs="Times New Roman"/>
          <w:b/>
          <w:bCs/>
          <w:sz w:val="24"/>
          <w:szCs w:val="24"/>
        </w:rPr>
        <w:t>Supplementary Fig</w:t>
      </w:r>
      <w:bookmarkStart w:id="7" w:name="_Hlk165470525"/>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rPr>
        <w:t xml:space="preserve"> </w:t>
      </w:r>
      <w:bookmarkEnd w:id="6"/>
      <w:bookmarkEnd w:id="7"/>
      <w:r>
        <w:rPr>
          <w:rFonts w:hint="default" w:ascii="Times New Roman" w:hAnsi="Times New Roman" w:cs="Times New Roman"/>
          <w:b/>
          <w:bCs/>
          <w:sz w:val="24"/>
          <w:szCs w:val="24"/>
        </w:rPr>
        <w:t xml:space="preserve">9 </w:t>
      </w:r>
      <w:r>
        <w:rPr>
          <w:rFonts w:hint="default" w:ascii="Times New Roman" w:hAnsi="Times New Roman" w:cs="Times New Roman"/>
          <w:color w:val="000000"/>
          <w:spacing w:val="-2"/>
          <w:kern w:val="0"/>
          <w:sz w:val="24"/>
          <w:szCs w:val="24"/>
        </w:rPr>
        <w:t>The same as Supplementary Figure 9, but measured by minimum mean sea level pressure (MSLP) ranges.</w:t>
      </w:r>
      <w:r>
        <w:rPr>
          <w:rFonts w:hint="default" w:ascii="Times New Roman" w:hAnsi="Times New Roman" w:cs="Times New Roman"/>
        </w:rPr>
        <w:br w:type="page"/>
      </w:r>
    </w:p>
    <w:p>
      <w:pPr>
        <w:jc w:val="both"/>
        <w:rPr>
          <w:rFonts w:hint="eastAsia" w:ascii="Times New Roman" w:hAnsi="Times New Roman" w:eastAsia="宋体" w:cs="Times New Roman"/>
          <w:sz w:val="24"/>
          <w:szCs w:val="24"/>
          <w:lang w:eastAsia="zh-CN"/>
        </w:rPr>
      </w:pPr>
      <w:bookmarkStart w:id="8" w:name="_Hlk165473020"/>
      <w:r>
        <w:rPr>
          <w:rFonts w:hint="eastAsia" w:ascii="Times New Roman" w:hAnsi="Times New Roman" w:eastAsia="宋体" w:cs="Times New Roman"/>
          <w:sz w:val="24"/>
          <w:szCs w:val="24"/>
          <w:lang w:eastAsia="zh-CN"/>
        </w:rPr>
        <w:drawing>
          <wp:inline distT="0" distB="0" distL="114300" distR="114300">
            <wp:extent cx="5264150" cy="2108835"/>
            <wp:effectExtent l="0" t="0" r="6350" b="12065"/>
            <wp:docPr id="17" name="图片 17" descr="revise_rc_lat_ts_JJASO_19802010_d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revise_rc_lat_ts_JJASO_19802010_dt_5"/>
                    <pic:cNvPicPr>
                      <a:picLocks noChangeAspect="1"/>
                    </pic:cNvPicPr>
                  </pic:nvPicPr>
                  <pic:blipFill>
                    <a:blip r:embed="rId20"/>
                    <a:stretch>
                      <a:fillRect/>
                    </a:stretch>
                  </pic:blipFill>
                  <pic:spPr>
                    <a:xfrm>
                      <a:off x="0" y="0"/>
                      <a:ext cx="5264150" cy="2108835"/>
                    </a:xfrm>
                    <a:prstGeom prst="rect">
                      <a:avLst/>
                    </a:prstGeom>
                  </pic:spPr>
                </pic:pic>
              </a:graphicData>
            </a:graphic>
          </wp:inline>
        </w:drawing>
      </w:r>
    </w:p>
    <w:p>
      <w:pPr>
        <w:jc w:val="both"/>
        <w:rPr>
          <w:rFonts w:hint="default" w:ascii="Times New Roman" w:hAnsi="Times New Roman" w:cs="Times New Roman"/>
        </w:rPr>
      </w:pPr>
      <w:r>
        <w:rPr>
          <w:rFonts w:hint="default" w:ascii="Times New Roman" w:hAnsi="Times New Roman" w:cs="Times New Roman"/>
          <w:b/>
          <w:bCs/>
          <w:sz w:val="24"/>
          <w:szCs w:val="24"/>
        </w:rPr>
        <w:t>Supplementary 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rPr>
        <w:t xml:space="preserve"> 10</w:t>
      </w:r>
      <w:r>
        <w:rPr>
          <w:rFonts w:hint="default" w:ascii="Times New Roman" w:hAnsi="Times New Roman" w:cs="Times New Roman"/>
          <w:sz w:val="24"/>
          <w:szCs w:val="24"/>
        </w:rPr>
        <w:t xml:space="preserve"> Correlation between JJASO SST and TC genesis latitude from 1980 to 2010. Black dots indicate trend values exceeding the 95% confidence level. The EWPC index is the difference between the two regions surrounded by the gray lines.</w:t>
      </w:r>
      <w:bookmarkEnd w:id="8"/>
      <w:bookmarkStart w:id="9" w:name="_Hlk165473100"/>
      <w:r>
        <w:rPr>
          <w:rFonts w:hint="default" w:ascii="Times New Roman" w:hAnsi="Times New Roman" w:cs="Times New Roman"/>
        </w:rPr>
        <w:br w:type="page"/>
      </w:r>
    </w:p>
    <w:p>
      <w:pPr>
        <w:jc w:val="both"/>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5274310" cy="3559810"/>
            <wp:effectExtent l="0" t="0" r="8890" b="8890"/>
            <wp:docPr id="18" name="图片 18" descr="ts_trend_JJASO_p1p2_10y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ts_trend_JJASO_p1p2_10yr"/>
                    <pic:cNvPicPr>
                      <a:picLocks noChangeAspect="1"/>
                    </pic:cNvPicPr>
                  </pic:nvPicPr>
                  <pic:blipFill>
                    <a:blip r:embed="rId21"/>
                    <a:stretch>
                      <a:fillRect/>
                    </a:stretch>
                  </pic:blipFill>
                  <pic:spPr>
                    <a:xfrm>
                      <a:off x="0" y="0"/>
                      <a:ext cx="5274310" cy="3559810"/>
                    </a:xfrm>
                    <a:prstGeom prst="rect">
                      <a:avLst/>
                    </a:prstGeom>
                  </pic:spPr>
                </pic:pic>
              </a:graphicData>
            </a:graphic>
          </wp:inline>
        </w:drawing>
      </w:r>
    </w:p>
    <w:p>
      <w:pPr>
        <w:jc w:val="both"/>
        <w:rPr>
          <w:rFonts w:hint="default" w:ascii="Times New Roman" w:hAnsi="Times New Roman" w:cs="Times New Roman"/>
          <w:sz w:val="24"/>
          <w:szCs w:val="24"/>
        </w:rPr>
      </w:pPr>
      <w:bookmarkStart w:id="10" w:name="_Hlk165473083"/>
      <w:r>
        <w:rPr>
          <w:rFonts w:hint="default" w:ascii="Times New Roman" w:hAnsi="Times New Roman" w:cs="Times New Roman"/>
          <w:b/>
          <w:bCs/>
          <w:sz w:val="24"/>
          <w:szCs w:val="24"/>
        </w:rPr>
        <w:t>Supplementary 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rPr>
        <w:t xml:space="preserve"> 11</w:t>
      </w:r>
      <w:r>
        <w:rPr>
          <w:rFonts w:hint="default" w:ascii="Times New Roman" w:hAnsi="Times New Roman" w:cs="Times New Roman"/>
          <w:sz w:val="24"/>
          <w:szCs w:val="24"/>
        </w:rPr>
        <w:t xml:space="preserve"> Linear trend of SST during (a) 1980-2014 and (b) 2015-2050 (unit: 10</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 Black dots indicate trend values exceeding the 95% confidence level.</w:t>
      </w:r>
      <w:bookmarkEnd w:id="9"/>
      <w:bookmarkEnd w:id="10"/>
      <w:r>
        <w:rPr>
          <w:rFonts w:hint="default" w:ascii="Times New Roman" w:hAnsi="Times New Roman" w:cs="Times New Roman"/>
          <w:sz w:val="24"/>
          <w:szCs w:val="24"/>
        </w:rPr>
        <w:br w:type="page"/>
      </w:r>
    </w:p>
    <w:p>
      <w:pPr>
        <w:jc w:val="both"/>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5264785" cy="3150870"/>
            <wp:effectExtent l="0" t="0" r="5715" b="11430"/>
            <wp:docPr id="2" name="图片 2" descr="revise_Ann_lat_num_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revise_Ann_lat_num_trend"/>
                    <pic:cNvPicPr>
                      <a:picLocks noChangeAspect="1"/>
                    </pic:cNvPicPr>
                  </pic:nvPicPr>
                  <pic:blipFill>
                    <a:blip r:embed="rId22"/>
                    <a:stretch>
                      <a:fillRect/>
                    </a:stretch>
                  </pic:blipFill>
                  <pic:spPr>
                    <a:xfrm>
                      <a:off x="0" y="0"/>
                      <a:ext cx="5264785" cy="3150870"/>
                    </a:xfrm>
                    <a:prstGeom prst="rect">
                      <a:avLst/>
                    </a:prstGeom>
                  </pic:spPr>
                </pic:pic>
              </a:graphicData>
            </a:graphic>
          </wp:inline>
        </w:drawing>
      </w:r>
    </w:p>
    <w:p>
      <w:pPr>
        <w:jc w:val="both"/>
        <w:rPr>
          <w:rFonts w:hint="default" w:ascii="Times New Roman" w:hAnsi="Times New Roman" w:cs="Times New Roman"/>
          <w:sz w:val="24"/>
          <w:szCs w:val="24"/>
        </w:rPr>
      </w:pPr>
      <w:r>
        <w:rPr>
          <w:rFonts w:hint="default" w:ascii="Times New Roman" w:hAnsi="Times New Roman" w:cs="Times New Roman"/>
          <w:b/>
          <w:bCs/>
          <w:sz w:val="24"/>
          <w:szCs w:val="24"/>
        </w:rPr>
        <w:t>Supplementary 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rPr>
        <w:t xml:space="preserve"> 12</w:t>
      </w:r>
      <w:r>
        <w:rPr>
          <w:rFonts w:hint="default" w:ascii="Times New Roman" w:hAnsi="Times New Roman" w:cs="Times New Roman"/>
          <w:sz w:val="24"/>
          <w:szCs w:val="24"/>
        </w:rPr>
        <w:t xml:space="preserve"> Time series of annual TC genesis latitude and frequency from 1980 to 2050 in CMIP6-HighResMIP models.</w:t>
      </w:r>
      <w:r>
        <w:rPr>
          <w:rFonts w:hint="default" w:ascii="Times New Roman" w:hAnsi="Times New Roman" w:cs="Times New Roman"/>
          <w:sz w:val="24"/>
          <w:szCs w:val="24"/>
        </w:rPr>
        <w:br w:type="page"/>
      </w:r>
    </w:p>
    <w:p>
      <w:pPr>
        <w:jc w:val="both"/>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5268595" cy="3120390"/>
            <wp:effectExtent l="0" t="0" r="1905" b="3810"/>
            <wp:docPr id="19" name="图片 19" descr="LR_CNRM_track_wc_add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LR_CNRM_track_wc_addts"/>
                    <pic:cNvPicPr>
                      <a:picLocks noChangeAspect="1"/>
                    </pic:cNvPicPr>
                  </pic:nvPicPr>
                  <pic:blipFill>
                    <a:blip r:embed="rId23"/>
                    <a:stretch>
                      <a:fillRect/>
                    </a:stretch>
                  </pic:blipFill>
                  <pic:spPr>
                    <a:xfrm>
                      <a:off x="0" y="0"/>
                      <a:ext cx="5268595" cy="3120390"/>
                    </a:xfrm>
                    <a:prstGeom prst="rect">
                      <a:avLst/>
                    </a:prstGeom>
                  </pic:spPr>
                </pic:pic>
              </a:graphicData>
            </a:graphic>
          </wp:inline>
        </w:drawing>
      </w:r>
    </w:p>
    <w:p>
      <w:pPr>
        <w:jc w:val="both"/>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5268595" cy="3120390"/>
            <wp:effectExtent l="0" t="0" r="1905" b="3810"/>
            <wp:docPr id="20" name="图片 20" descr="LR_CNRM_Temp_wc_add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LR_CNRM_Temp_wc_addts"/>
                    <pic:cNvPicPr>
                      <a:picLocks noChangeAspect="1"/>
                    </pic:cNvPicPr>
                  </pic:nvPicPr>
                  <pic:blipFill>
                    <a:blip r:embed="rId24"/>
                    <a:stretch>
                      <a:fillRect/>
                    </a:stretch>
                  </pic:blipFill>
                  <pic:spPr>
                    <a:xfrm>
                      <a:off x="0" y="0"/>
                      <a:ext cx="5268595" cy="3120390"/>
                    </a:xfrm>
                    <a:prstGeom prst="rect">
                      <a:avLst/>
                    </a:prstGeom>
                  </pic:spPr>
                </pic:pic>
              </a:graphicData>
            </a:graphic>
          </wp:inline>
        </w:drawing>
      </w:r>
    </w:p>
    <w:p>
      <w:pPr>
        <w:rPr>
          <w:rFonts w:hint="default" w:ascii="Times New Roman" w:hAnsi="Times New Roman" w:cs="Times New Roman"/>
        </w:rPr>
      </w:pPr>
      <w:bookmarkStart w:id="11" w:name="_Hlk165212231"/>
      <w:r>
        <w:rPr>
          <w:rFonts w:hint="default" w:ascii="Times New Roman" w:hAnsi="Times New Roman" w:cs="Times New Roman"/>
          <w:b/>
          <w:bCs/>
          <w:sz w:val="24"/>
          <w:szCs w:val="24"/>
        </w:rPr>
        <w:t>Supplementary 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rPr>
        <w:t xml:space="preserve"> 13</w:t>
      </w:r>
      <w:r>
        <w:rPr>
          <w:rFonts w:hint="default" w:ascii="Times New Roman" w:hAnsi="Times New Roman" w:cs="Times New Roman"/>
          <w:sz w:val="24"/>
          <w:szCs w:val="24"/>
        </w:rPr>
        <w:t xml:space="preserve"> The monthly sea surface temperature (contours, ℃) and TC genesis position (black dots) over the WNP from 1980 to 2010 of CNRM-CM6-1 in the (a) TRACK algorithm and (b) the TempExt algorithm. Bold dark lines represent the 26℃isotherm.</w:t>
      </w:r>
      <w:bookmarkEnd w:id="11"/>
      <w:r>
        <w:rPr>
          <w:rFonts w:hint="default" w:ascii="Times New Roman" w:hAnsi="Times New Roman" w:cs="Times New Roman"/>
        </w:rPr>
        <w:br w:type="page"/>
      </w:r>
    </w:p>
    <w:p>
      <w:pPr>
        <w:jc w:val="both"/>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5269230" cy="3293110"/>
            <wp:effectExtent l="0" t="0" r="1270" b="8890"/>
            <wp:docPr id="13" name="图片 13" descr="boxplot_genesis_w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boxplot_genesis_wind"/>
                    <pic:cNvPicPr>
                      <a:picLocks noChangeAspect="1"/>
                    </pic:cNvPicPr>
                  </pic:nvPicPr>
                  <pic:blipFill>
                    <a:blip r:embed="rId25"/>
                    <a:stretch>
                      <a:fillRect/>
                    </a:stretch>
                  </pic:blipFill>
                  <pic:spPr>
                    <a:xfrm>
                      <a:off x="0" y="0"/>
                      <a:ext cx="5269230" cy="3293110"/>
                    </a:xfrm>
                    <a:prstGeom prst="rect">
                      <a:avLst/>
                    </a:prstGeom>
                  </pic:spPr>
                </pic:pic>
              </a:graphicData>
            </a:graphic>
          </wp:inline>
        </w:drawing>
      </w:r>
    </w:p>
    <w:p>
      <w:pPr>
        <w:jc w:val="both"/>
        <w:rPr>
          <w:rFonts w:hint="default" w:ascii="Times New Roman" w:hAnsi="Times New Roman" w:cs="Times New Roman"/>
          <w:sz w:val="24"/>
          <w:szCs w:val="24"/>
        </w:rPr>
      </w:pPr>
      <w:bookmarkStart w:id="12" w:name="_Hlk165194036"/>
      <w:bookmarkStart w:id="13" w:name="_Hlk165131716"/>
      <w:r>
        <w:rPr>
          <w:rFonts w:hint="default" w:ascii="Times New Roman" w:hAnsi="Times New Roman" w:cs="Times New Roman"/>
          <w:b/>
          <w:bCs/>
          <w:sz w:val="24"/>
          <w:szCs w:val="24"/>
        </w:rPr>
        <w:t>Supplementary 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rPr>
        <w:t xml:space="preserve"> </w:t>
      </w:r>
      <w:bookmarkEnd w:id="12"/>
      <w:bookmarkEnd w:id="13"/>
      <w:r>
        <w:rPr>
          <w:rFonts w:hint="default" w:ascii="Times New Roman" w:hAnsi="Times New Roman" w:cs="Times New Roman"/>
          <w:b/>
          <w:bCs/>
          <w:sz w:val="24"/>
          <w:szCs w:val="24"/>
        </w:rPr>
        <w:t>14</w:t>
      </w:r>
      <w:r>
        <w:rPr>
          <w:rFonts w:hint="default" w:ascii="Times New Roman" w:hAnsi="Times New Roman" w:cs="Times New Roman"/>
          <w:sz w:val="24"/>
          <w:szCs w:val="24"/>
        </w:rPr>
        <w:t xml:space="preserve"> TC genesis wind speed over the WNP from each model (unit: m s</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w:t>
      </w:r>
      <w:r>
        <w:rPr>
          <w:rFonts w:hint="default" w:ascii="Times New Roman" w:hAnsi="Times New Roman" w:cs="Times New Roman"/>
        </w:rPr>
        <w:t xml:space="preserve"> </w:t>
      </w:r>
      <w:r>
        <w:rPr>
          <w:rFonts w:hint="default" w:ascii="Times New Roman" w:hAnsi="Times New Roman" w:cs="Times New Roman"/>
          <w:sz w:val="24"/>
          <w:szCs w:val="24"/>
        </w:rPr>
        <w:t>The box indicates the range from the 25 th to 75 th percentile of the distributions, with the red solid line and blue dash line at the median and mean value respecti</w:t>
      </w:r>
      <w:r>
        <w:rPr>
          <w:rFonts w:hint="eastAsia" w:ascii="Times New Roman" w:hAnsi="Times New Roman" w:cs="Times New Roman"/>
          <w:sz w:val="24"/>
          <w:szCs w:val="24"/>
          <w:lang w:val="en-US" w:eastAsia="zh-CN"/>
        </w:rPr>
        <w:t>v</w:t>
      </w:r>
      <w:r>
        <w:rPr>
          <w:rFonts w:hint="default" w:ascii="Times New Roman" w:hAnsi="Times New Roman" w:cs="Times New Roman"/>
          <w:sz w:val="24"/>
          <w:szCs w:val="24"/>
        </w:rPr>
        <w:t>ely. The whiskers indicate the range of the distributions.</w:t>
      </w:r>
    </w:p>
    <w:p>
      <w:pPr>
        <w:rPr>
          <w:rFonts w:hint="default" w:ascii="Times New Roman" w:hAnsi="Times New Roman" w:cs="Times New Roman"/>
          <w:sz w:val="24"/>
          <w:szCs w:val="24"/>
        </w:rPr>
      </w:pPr>
      <w:r>
        <w:rPr>
          <w:rFonts w:hint="default" w:ascii="Times New Roman" w:hAnsi="Times New Roman" w:cs="Times New Roman"/>
          <w:sz w:val="24"/>
          <w:szCs w:val="24"/>
        </w:rPr>
        <w:br w:type="page"/>
      </w:r>
    </w:p>
    <w:p>
      <w:pPr>
        <w:jc w:val="both"/>
        <w:rPr>
          <w:rFonts w:hint="default" w:ascii="Times New Roman" w:hAnsi="Times New Roman" w:cs="Times New Roman"/>
          <w:sz w:val="24"/>
          <w:szCs w:val="24"/>
        </w:rPr>
      </w:pPr>
      <w:r>
        <w:rPr>
          <w:rFonts w:hint="default" w:ascii="Times New Roman" w:hAnsi="Times New Roman" w:cs="Times New Roman"/>
          <w:b/>
          <w:bCs/>
          <w:sz w:val="24"/>
          <w:szCs w:val="24"/>
        </w:rPr>
        <w:t>Supplementary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rPr>
        <w:t>References</w:t>
      </w:r>
    </w:p>
    <w:p>
      <w:pPr>
        <w:numPr>
          <w:ilvl w:val="0"/>
          <w:numId w:val="1"/>
        </w:numPr>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Cherchi, A. et al. Global mean climate and main patterns of variability in the CMCC-CM2 coupled model.</w:t>
      </w:r>
      <w:r>
        <w:rPr>
          <w:rFonts w:hint="eastAsia" w:ascii="Times New Roman" w:hAnsi="Times New Roman" w:cs="Times New Roman"/>
          <w:sz w:val="24"/>
          <w:szCs w:val="24"/>
          <w:lang w:val="en-US" w:eastAsia="zh-CN"/>
        </w:rPr>
        <w:t xml:space="preserve"> </w:t>
      </w:r>
      <w:r>
        <w:rPr>
          <w:rFonts w:hint="default" w:ascii="Times New Roman" w:hAnsi="Times New Roman" w:cs="Times New Roman"/>
          <w:i/>
          <w:iCs/>
          <w:sz w:val="24"/>
          <w:szCs w:val="24"/>
        </w:rPr>
        <w:t>J. Adv. Model. Earth Syst</w:t>
      </w:r>
      <w:r>
        <w:rPr>
          <w:rFonts w:hint="eastAsia" w:ascii="Times New Roman" w:hAnsi="Times New Roman" w:cs="Times New Roman"/>
          <w:i/>
          <w:iCs/>
          <w:sz w:val="24"/>
          <w:szCs w:val="24"/>
          <w:lang w:val="en-US" w:eastAsia="zh-CN"/>
        </w:rPr>
        <w:t>.</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11</w:t>
      </w:r>
      <w:r>
        <w:rPr>
          <w:rFonts w:hint="default" w:ascii="Times New Roman" w:hAnsi="Times New Roman" w:cs="Times New Roman"/>
          <w:sz w:val="24"/>
          <w:szCs w:val="24"/>
        </w:rPr>
        <w:t>, 1–25 (2019).</w:t>
      </w:r>
    </w:p>
    <w:p>
      <w:pPr>
        <w:numPr>
          <w:ilvl w:val="0"/>
          <w:numId w:val="1"/>
        </w:numPr>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Voldoire, A. et al. Evaluation of CMIP6 DECK experiments with CNRM-CM6-1. </w:t>
      </w:r>
      <w:r>
        <w:rPr>
          <w:rFonts w:hint="default" w:ascii="Times New Roman" w:hAnsi="Times New Roman" w:cs="Times New Roman"/>
          <w:i/>
          <w:iCs/>
          <w:sz w:val="24"/>
          <w:szCs w:val="24"/>
        </w:rPr>
        <w:t>J. Adv. Model. Earth Syst</w:t>
      </w:r>
      <w:r>
        <w:rPr>
          <w:rFonts w:hint="eastAsia" w:ascii="Times New Roman" w:hAnsi="Times New Roman" w:cs="Times New Roman"/>
          <w:i/>
          <w:iCs/>
          <w:sz w:val="24"/>
          <w:szCs w:val="24"/>
          <w:lang w:val="en-US" w:eastAsia="zh-CN"/>
        </w:rPr>
        <w:t>.</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11</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(7), 2177–2213 (2019). </w:t>
      </w:r>
    </w:p>
    <w:p>
      <w:pPr>
        <w:numPr>
          <w:ilvl w:val="0"/>
          <w:numId w:val="1"/>
        </w:numPr>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Haarsma, R. J. et al. HighResMIP versions of EC-Earth: EC-Earth3P and ECEarth3P-HR. Description, model performance, data handling and validation. </w:t>
      </w:r>
      <w:r>
        <w:rPr>
          <w:rFonts w:hint="default" w:ascii="Times New Roman" w:hAnsi="Times New Roman" w:cs="Times New Roman"/>
          <w:i/>
          <w:iCs/>
          <w:sz w:val="24"/>
          <w:szCs w:val="24"/>
        </w:rPr>
        <w:t>Geosci</w:t>
      </w:r>
      <w:r>
        <w:rPr>
          <w:rFonts w:hint="eastAsia" w:ascii="Times New Roman" w:hAnsi="Times New Roman" w:cs="Times New Roman"/>
          <w:i/>
          <w:iCs/>
          <w:sz w:val="24"/>
          <w:szCs w:val="24"/>
          <w:lang w:val="en-US" w:eastAsia="zh-CN"/>
        </w:rPr>
        <w:t>.</w:t>
      </w:r>
      <w:r>
        <w:rPr>
          <w:rFonts w:hint="default" w:ascii="Times New Roman" w:hAnsi="Times New Roman" w:cs="Times New Roman"/>
          <w:i/>
          <w:iCs/>
          <w:sz w:val="24"/>
          <w:szCs w:val="24"/>
        </w:rPr>
        <w:t xml:space="preserve"> Model</w:t>
      </w:r>
      <w:r>
        <w:rPr>
          <w:rFonts w:hint="eastAsia" w:ascii="Times New Roman" w:hAnsi="Times New Roman" w:cs="Times New Roman"/>
          <w:i/>
          <w:iCs/>
          <w:sz w:val="24"/>
          <w:szCs w:val="24"/>
          <w:lang w:val="en-US" w:eastAsia="zh-CN"/>
        </w:rPr>
        <w:t>.</w:t>
      </w:r>
      <w:r>
        <w:rPr>
          <w:rFonts w:hint="default" w:ascii="Times New Roman" w:hAnsi="Times New Roman" w:cs="Times New Roman"/>
          <w:i/>
          <w:iCs/>
          <w:sz w:val="24"/>
          <w:szCs w:val="24"/>
        </w:rPr>
        <w:t xml:space="preserve"> Dev</w:t>
      </w:r>
      <w:r>
        <w:rPr>
          <w:rFonts w:hint="eastAsia" w:ascii="Times New Roman" w:hAnsi="Times New Roman" w:cs="Times New Roman"/>
          <w:i/>
          <w:iCs/>
          <w:sz w:val="24"/>
          <w:szCs w:val="24"/>
          <w:lang w:val="en-US" w:eastAsia="zh-CN"/>
        </w:rPr>
        <w:t>.</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13</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(8), 3507–3527 (2020).</w:t>
      </w:r>
    </w:p>
    <w:p>
      <w:pPr>
        <w:numPr>
          <w:ilvl w:val="0"/>
          <w:numId w:val="1"/>
        </w:numPr>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Roberts, M. J. et al. Description of the resolution hierarchy of the global coupled HadGEM3-GC3.1 model as used in CMIP6 HighResMIP experiments. </w:t>
      </w:r>
      <w:r>
        <w:rPr>
          <w:rFonts w:hint="default" w:ascii="Times New Roman" w:hAnsi="Times New Roman" w:cs="Times New Roman"/>
          <w:i/>
          <w:iCs/>
          <w:sz w:val="24"/>
          <w:szCs w:val="24"/>
        </w:rPr>
        <w:t>Geosci</w:t>
      </w:r>
      <w:r>
        <w:rPr>
          <w:rFonts w:hint="eastAsia" w:ascii="Times New Roman" w:hAnsi="Times New Roman" w:cs="Times New Roman"/>
          <w:i/>
          <w:iCs/>
          <w:sz w:val="24"/>
          <w:szCs w:val="24"/>
          <w:lang w:val="en-US" w:eastAsia="zh-CN"/>
        </w:rPr>
        <w:t>.</w:t>
      </w:r>
      <w:r>
        <w:rPr>
          <w:rFonts w:hint="default" w:ascii="Times New Roman" w:hAnsi="Times New Roman" w:cs="Times New Roman"/>
          <w:i/>
          <w:iCs/>
          <w:sz w:val="24"/>
          <w:szCs w:val="24"/>
        </w:rPr>
        <w:t xml:space="preserve"> Model</w:t>
      </w:r>
      <w:r>
        <w:rPr>
          <w:rFonts w:hint="eastAsia" w:ascii="Times New Roman" w:hAnsi="Times New Roman" w:cs="Times New Roman"/>
          <w:i/>
          <w:iCs/>
          <w:sz w:val="24"/>
          <w:szCs w:val="24"/>
          <w:lang w:val="en-US" w:eastAsia="zh-CN"/>
        </w:rPr>
        <w:t>.</w:t>
      </w:r>
      <w:r>
        <w:rPr>
          <w:rFonts w:hint="default" w:ascii="Times New Roman" w:hAnsi="Times New Roman" w:cs="Times New Roman"/>
          <w:i/>
          <w:iCs/>
          <w:sz w:val="24"/>
          <w:szCs w:val="24"/>
        </w:rPr>
        <w:t xml:space="preserve"> Dev</w:t>
      </w:r>
      <w:r>
        <w:rPr>
          <w:rFonts w:hint="eastAsia" w:ascii="Times New Roman" w:hAnsi="Times New Roman" w:cs="Times New Roman"/>
          <w:i/>
          <w:iCs/>
          <w:sz w:val="24"/>
          <w:szCs w:val="24"/>
          <w:lang w:val="en-US" w:eastAsia="zh-CN"/>
        </w:rPr>
        <w:t>.</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12</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(12), 4999–5028 (2019).</w:t>
      </w:r>
    </w:p>
    <w:sectPr>
      <w:pgSz w:w="11906" w:h="16838"/>
      <w:pgMar w:top="1440" w:right="1800" w:bottom="1440" w:left="1800" w:header="851" w:footer="992" w:gutter="0"/>
      <w:lnNumType w:countBy="1" w:restart="continuou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D8AA47"/>
    <w:multiLevelType w:val="singleLevel"/>
    <w:tmpl w:val="45D8AA47"/>
    <w:lvl w:ilvl="0" w:tentative="0">
      <w:start w:val="1"/>
      <w:numFmt w:val="decimal"/>
      <w:lvlText w:val="%1"/>
      <w:lvlJc w:val="left"/>
      <w:pPr>
        <w:tabs>
          <w:tab w:val="left" w:pos="420"/>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894D08"/>
    <w:rsid w:val="000A2A03"/>
    <w:rsid w:val="000E5E03"/>
    <w:rsid w:val="001C202D"/>
    <w:rsid w:val="00217080"/>
    <w:rsid w:val="002450A6"/>
    <w:rsid w:val="002A2B40"/>
    <w:rsid w:val="002C67A7"/>
    <w:rsid w:val="00443161"/>
    <w:rsid w:val="004C291B"/>
    <w:rsid w:val="004E1604"/>
    <w:rsid w:val="00520934"/>
    <w:rsid w:val="00536A67"/>
    <w:rsid w:val="0055451F"/>
    <w:rsid w:val="00565304"/>
    <w:rsid w:val="005C2A4D"/>
    <w:rsid w:val="005D260D"/>
    <w:rsid w:val="00653C05"/>
    <w:rsid w:val="00696C14"/>
    <w:rsid w:val="006D5FDD"/>
    <w:rsid w:val="006F4977"/>
    <w:rsid w:val="007F13A4"/>
    <w:rsid w:val="00827A27"/>
    <w:rsid w:val="00894D08"/>
    <w:rsid w:val="008F42D1"/>
    <w:rsid w:val="0092678A"/>
    <w:rsid w:val="00997146"/>
    <w:rsid w:val="00AF035C"/>
    <w:rsid w:val="00B30ECE"/>
    <w:rsid w:val="00B821B8"/>
    <w:rsid w:val="00BA0862"/>
    <w:rsid w:val="00C47810"/>
    <w:rsid w:val="00D21D88"/>
    <w:rsid w:val="00DD095E"/>
    <w:rsid w:val="00E83083"/>
    <w:rsid w:val="00E83CBC"/>
    <w:rsid w:val="00EA4B31"/>
    <w:rsid w:val="00EB4A44"/>
    <w:rsid w:val="00F22035"/>
    <w:rsid w:val="00F679E4"/>
    <w:rsid w:val="00FB3E99"/>
    <w:rsid w:val="14B63827"/>
    <w:rsid w:val="16176BAA"/>
    <w:rsid w:val="2B5257AB"/>
    <w:rsid w:val="32B23A40"/>
    <w:rsid w:val="3514333C"/>
    <w:rsid w:val="3810349A"/>
    <w:rsid w:val="3BE52CDC"/>
    <w:rsid w:val="48466A7C"/>
    <w:rsid w:val="4B8D7117"/>
    <w:rsid w:val="57111330"/>
    <w:rsid w:val="573711CC"/>
    <w:rsid w:val="63D43FEB"/>
    <w:rsid w:val="78231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Calibri" w:hAnsi="Calibri"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style>
  <w:style w:type="paragraph" w:styleId="3">
    <w:name w:val="Body Text"/>
    <w:basedOn w:val="1"/>
    <w:link w:val="19"/>
    <w:autoRedefine/>
    <w:unhideWhenUsed/>
    <w:qFormat/>
    <w:uiPriority w:val="99"/>
    <w:pPr>
      <w:spacing w:after="120"/>
    </w:pPr>
  </w:style>
  <w:style w:type="paragraph" w:styleId="4">
    <w:name w:val="footer"/>
    <w:basedOn w:val="1"/>
    <w:link w:val="14"/>
    <w:autoRedefine/>
    <w:unhideWhenUsed/>
    <w:qFormat/>
    <w:uiPriority w:val="99"/>
    <w:pPr>
      <w:tabs>
        <w:tab w:val="center" w:pos="4153"/>
        <w:tab w:val="right" w:pos="8306"/>
      </w:tabs>
      <w:snapToGrid w:val="0"/>
    </w:pPr>
    <w:rPr>
      <w:sz w:val="18"/>
      <w:szCs w:val="18"/>
    </w:rPr>
  </w:style>
  <w:style w:type="paragraph" w:styleId="5">
    <w:name w:val="header"/>
    <w:basedOn w:val="1"/>
    <w:link w:val="13"/>
    <w:unhideWhenUsed/>
    <w:qFormat/>
    <w:uiPriority w:val="99"/>
    <w:pPr>
      <w:tabs>
        <w:tab w:val="center" w:pos="4153"/>
        <w:tab w:val="right" w:pos="8306"/>
      </w:tabs>
      <w:snapToGrid w:val="0"/>
      <w:jc w:val="center"/>
    </w:pPr>
    <w:rPr>
      <w:sz w:val="18"/>
      <w:szCs w:val="18"/>
    </w:rPr>
  </w:style>
  <w:style w:type="paragraph" w:styleId="6">
    <w:name w:val="annotation subject"/>
    <w:basedOn w:val="2"/>
    <w:next w:val="2"/>
    <w:link w:val="17"/>
    <w:autoRedefine/>
    <w:semiHidden/>
    <w:unhideWhenUsed/>
    <w:qFormat/>
    <w:uiPriority w:val="99"/>
    <w:rPr>
      <w:b/>
      <w:bCs/>
    </w:rPr>
  </w:style>
  <w:style w:type="table" w:styleId="8">
    <w:name w:val="Table Grid"/>
    <w:basedOn w:val="7"/>
    <w:qFormat/>
    <w:uiPriority w:val="99"/>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line number"/>
    <w:basedOn w:val="9"/>
    <w:autoRedefine/>
    <w:semiHidden/>
    <w:unhideWhenUsed/>
    <w:qFormat/>
    <w:uiPriority w:val="99"/>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styleId="12">
    <w:name w:val="annotation reference"/>
    <w:basedOn w:val="9"/>
    <w:autoRedefine/>
    <w:semiHidden/>
    <w:unhideWhenUsed/>
    <w:qFormat/>
    <w:uiPriority w:val="99"/>
    <w:rPr>
      <w:sz w:val="21"/>
      <w:szCs w:val="21"/>
    </w:rPr>
  </w:style>
  <w:style w:type="character" w:customStyle="1" w:styleId="13">
    <w:name w:val="页眉 字符"/>
    <w:basedOn w:val="9"/>
    <w:link w:val="5"/>
    <w:qFormat/>
    <w:uiPriority w:val="99"/>
    <w:rPr>
      <w:sz w:val="18"/>
      <w:szCs w:val="18"/>
    </w:rPr>
  </w:style>
  <w:style w:type="character" w:customStyle="1" w:styleId="14">
    <w:name w:val="页脚 字符"/>
    <w:basedOn w:val="9"/>
    <w:link w:val="4"/>
    <w:qFormat/>
    <w:uiPriority w:val="99"/>
    <w:rPr>
      <w:sz w:val="18"/>
      <w:szCs w:val="18"/>
    </w:rPr>
  </w:style>
  <w:style w:type="paragraph" w:customStyle="1" w:styleId="15">
    <w:name w:val="Revision"/>
    <w:hidden/>
    <w:semiHidden/>
    <w:qFormat/>
    <w:uiPriority w:val="99"/>
    <w:rPr>
      <w:rFonts w:ascii="Calibri" w:hAnsi="Calibri" w:eastAsia="宋体" w:cs="Times New Roman"/>
      <w:kern w:val="2"/>
      <w:sz w:val="21"/>
      <w:szCs w:val="21"/>
      <w:lang w:val="en-US" w:eastAsia="zh-CN" w:bidi="ar-SA"/>
    </w:rPr>
  </w:style>
  <w:style w:type="character" w:customStyle="1" w:styleId="16">
    <w:name w:val="批注文字 字符"/>
    <w:basedOn w:val="9"/>
    <w:link w:val="2"/>
    <w:autoRedefine/>
    <w:semiHidden/>
    <w:qFormat/>
    <w:uiPriority w:val="99"/>
    <w:rPr>
      <w:rFonts w:ascii="Calibri" w:hAnsi="Calibri" w:eastAsia="宋体" w:cs="Times New Roman"/>
      <w:szCs w:val="21"/>
    </w:rPr>
  </w:style>
  <w:style w:type="character" w:customStyle="1" w:styleId="17">
    <w:name w:val="批注主题 字符"/>
    <w:basedOn w:val="16"/>
    <w:link w:val="6"/>
    <w:semiHidden/>
    <w:qFormat/>
    <w:uiPriority w:val="99"/>
    <w:rPr>
      <w:rFonts w:ascii="Calibri" w:hAnsi="Calibri" w:eastAsia="宋体" w:cs="Times New Roman"/>
      <w:b/>
      <w:bCs/>
      <w:szCs w:val="21"/>
    </w:rPr>
  </w:style>
  <w:style w:type="character" w:customStyle="1" w:styleId="18">
    <w:name w:val="Unresolved Mention"/>
    <w:basedOn w:val="9"/>
    <w:semiHidden/>
    <w:unhideWhenUsed/>
    <w:qFormat/>
    <w:uiPriority w:val="99"/>
    <w:rPr>
      <w:color w:val="605E5C"/>
      <w:shd w:val="clear" w:color="auto" w:fill="E1DFDD"/>
    </w:rPr>
  </w:style>
  <w:style w:type="character" w:customStyle="1" w:styleId="19">
    <w:name w:val="正文文本 字符"/>
    <w:basedOn w:val="9"/>
    <w:link w:val="3"/>
    <w:qFormat/>
    <w:uiPriority w:val="99"/>
    <w:rPr>
      <w:rFonts w:ascii="Calibri" w:hAnsi="Calibri" w:eastAsia="宋体"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customXml" Target="../customXml/item1.xml"/><Relationship Id="rId26" Type="http://schemas.openxmlformats.org/officeDocument/2006/relationships/numbering" Target="numbering.xml"/><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60D6D-95FD-471E-82AA-6D00A75F1570}">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879</Words>
  <Characters>5029</Characters>
  <Lines>38</Lines>
  <Paragraphs>10</Paragraphs>
  <TotalTime>0</TotalTime>
  <ScaleCrop>false</ScaleCrop>
  <LinksUpToDate>false</LinksUpToDate>
  <CharactersWithSpaces>5821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2024-04-27T08:28:00Z</dcterms:created>
  <dc:creator>卓盈 李</dc:creator>
  <cp:lastModifiedBy>drawing</cp:lastModifiedBy>
  <dcterms:modified xsi:type="dcterms:W3CDTF">2024-06-28T02:58:58Z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A2853F7BE71D471F9C9E19730CBBDB2A_12</vt:lpwstr>
  </property>
</Properties>
</file>