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DA87B">
      <w:pPr>
        <w:jc w:val="center"/>
        <w:rPr>
          <w:rFonts w:cs="Times New Roman"/>
          <w:b/>
          <w:bCs/>
        </w:rPr>
      </w:pPr>
      <w:r>
        <w:rPr>
          <w:rFonts w:hint="eastAsia" w:cs="Times New Roman"/>
          <w:b/>
          <w:bCs/>
        </w:rPr>
        <w:t>Supplementary Information for</w:t>
      </w:r>
    </w:p>
    <w:p w14:paraId="57D74D0D">
      <w:pPr>
        <w:jc w:val="center"/>
        <w:rPr>
          <w:rFonts w:hint="eastAsia" w:cs="Times New Roman"/>
          <w:b/>
          <w:bCs/>
          <w:color w:val="auto"/>
          <w:sz w:val="28"/>
          <w:szCs w:val="28"/>
        </w:rPr>
      </w:pPr>
      <w:bookmarkStart w:id="0" w:name="_Hlk190693183"/>
      <w:r>
        <w:rPr>
          <w:rFonts w:hint="eastAsia" w:cs="Times New Roman"/>
          <w:b/>
          <w:bCs/>
          <w:color w:val="auto"/>
          <w:sz w:val="28"/>
          <w:szCs w:val="28"/>
        </w:rPr>
        <w:t xml:space="preserve">Weakened Relationship Between the </w:t>
      </w:r>
      <w:r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  <w:t xml:space="preserve">November </w:t>
      </w:r>
      <w:r>
        <w:rPr>
          <w:rFonts w:hint="eastAsia" w:cs="Times New Roman"/>
          <w:b/>
          <w:bCs/>
          <w:color w:val="auto"/>
          <w:sz w:val="28"/>
          <w:szCs w:val="28"/>
        </w:rPr>
        <w:t xml:space="preserve">Barents-Kara Sea Ice and </w:t>
      </w:r>
      <w:r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  <w:t xml:space="preserve">January </w:t>
      </w:r>
      <w:r>
        <w:rPr>
          <w:rFonts w:hint="eastAsia" w:cs="Times New Roman"/>
          <w:b/>
          <w:bCs/>
          <w:color w:val="auto"/>
          <w:sz w:val="28"/>
          <w:szCs w:val="28"/>
        </w:rPr>
        <w:t>A</w:t>
      </w:r>
      <w:r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  <w:t xml:space="preserve">rctic </w:t>
      </w:r>
      <w:r>
        <w:rPr>
          <w:rFonts w:hint="eastAsia" w:cs="Times New Roman"/>
          <w:b/>
          <w:bCs/>
          <w:color w:val="auto"/>
          <w:sz w:val="28"/>
          <w:szCs w:val="28"/>
        </w:rPr>
        <w:t>O</w:t>
      </w:r>
      <w:r>
        <w:rPr>
          <w:rFonts w:hint="eastAsia" w:cs="Times New Roman"/>
          <w:b/>
          <w:bCs/>
          <w:color w:val="auto"/>
          <w:sz w:val="28"/>
          <w:szCs w:val="28"/>
          <w:lang w:val="en-US" w:eastAsia="zh-CN"/>
        </w:rPr>
        <w:t>scillation</w:t>
      </w:r>
      <w:r>
        <w:rPr>
          <w:rFonts w:hint="eastAsia" w:cs="Times New Roman"/>
          <w:b/>
          <w:bCs/>
          <w:color w:val="auto"/>
          <w:sz w:val="28"/>
          <w:szCs w:val="28"/>
        </w:rPr>
        <w:t xml:space="preserve"> after the Mid-1990s</w:t>
      </w:r>
    </w:p>
    <w:bookmarkEnd w:id="0"/>
    <w:p w14:paraId="58799808">
      <w:pPr>
        <w:jc w:val="center"/>
        <w:rPr>
          <w:rFonts w:cs="Times New Roman"/>
          <w:b/>
          <w:bCs/>
          <w:sz w:val="28"/>
          <w:szCs w:val="28"/>
        </w:rPr>
      </w:pPr>
    </w:p>
    <w:p w14:paraId="3BD9B9FA">
      <w:pPr>
        <w:jc w:val="center"/>
        <w:rPr>
          <w:rFonts w:hint="default" w:cs="Times New Roman" w:eastAsiaTheme="minorEastAsia"/>
          <w:color w:val="auto"/>
          <w:sz w:val="24"/>
          <w:vertAlign w:val="superscript"/>
          <w:lang w:val="en-US" w:eastAsia="zh-CN"/>
        </w:rPr>
      </w:pPr>
      <w:r>
        <w:rPr>
          <w:rFonts w:hint="eastAsia" w:cs="Times New Roman"/>
          <w:color w:val="auto"/>
          <w:sz w:val="24"/>
        </w:rPr>
        <w:t>Shuai Zheng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1</w:t>
      </w:r>
      <w:r>
        <w:rPr>
          <w:rFonts w:hint="eastAsia" w:cs="Times New Roman"/>
          <w:color w:val="auto"/>
          <w:sz w:val="24"/>
        </w:rPr>
        <w:t>, Peilong Yu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1,2,3</w:t>
      </w:r>
      <w:r>
        <w:rPr>
          <w:rFonts w:hint="eastAsia" w:cs="Times New Roman"/>
          <w:color w:val="auto"/>
          <w:sz w:val="24"/>
        </w:rPr>
        <w:t>, Bo Sun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2</w:t>
      </w:r>
      <w:r>
        <w:rPr>
          <w:rFonts w:hint="eastAsia" w:cs="Times New Roman"/>
          <w:color w:val="auto"/>
          <w:sz w:val="24"/>
        </w:rPr>
        <w:t>, Huijun Wang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2</w:t>
      </w:r>
      <w:r>
        <w:rPr>
          <w:rFonts w:hint="eastAsia" w:cs="Times New Roman"/>
          <w:color w:val="auto"/>
          <w:sz w:val="24"/>
        </w:rPr>
        <w:t>, Xiaopei Lin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4,5</w:t>
      </w:r>
      <w:r>
        <w:rPr>
          <w:rFonts w:hint="eastAsia" w:cs="Times New Roman"/>
          <w:color w:val="auto"/>
          <w:sz w:val="24"/>
        </w:rPr>
        <w:t>, Minghao Yang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1,3</w:t>
      </w:r>
      <w:r>
        <w:rPr>
          <w:rFonts w:hint="eastAsia" w:cs="Times New Roman"/>
          <w:color w:val="auto"/>
          <w:sz w:val="24"/>
        </w:rPr>
        <w:t>, Yudi Liu</w:t>
      </w:r>
      <w:r>
        <w:rPr>
          <w:rFonts w:hint="eastAsia" w:cs="Times New Roman"/>
          <w:color w:val="auto"/>
          <w:sz w:val="24"/>
          <w:vertAlign w:val="superscript"/>
          <w:lang w:val="en-US" w:eastAsia="zh-CN"/>
        </w:rPr>
        <w:t>1,3</w:t>
      </w:r>
    </w:p>
    <w:p w14:paraId="2AC08D14">
      <w:pPr>
        <w:jc w:val="center"/>
        <w:rPr>
          <w:rFonts w:cs="Times New Roman"/>
          <w:color w:val="auto"/>
          <w:sz w:val="15"/>
          <w:szCs w:val="15"/>
          <w:vertAlign w:val="superscript"/>
        </w:rPr>
      </w:pPr>
    </w:p>
    <w:p w14:paraId="439FBF01">
      <w:pPr>
        <w:jc w:val="center"/>
        <w:rPr>
          <w:rFonts w:cs="Times New Roman"/>
          <w:color w:val="auto"/>
          <w:sz w:val="15"/>
          <w:szCs w:val="15"/>
          <w:vertAlign w:val="superscript"/>
        </w:rPr>
      </w:pPr>
    </w:p>
    <w:p w14:paraId="65CAC4D9">
      <w:pPr>
        <w:jc w:val="center"/>
        <w:rPr>
          <w:rFonts w:cs="Times New Roman"/>
          <w:color w:val="auto"/>
          <w:sz w:val="15"/>
          <w:szCs w:val="15"/>
          <w:vertAlign w:val="superscript"/>
        </w:rPr>
      </w:pPr>
    </w:p>
    <w:p w14:paraId="37F10944">
      <w:pPr>
        <w:jc w:val="center"/>
        <w:rPr>
          <w:rFonts w:cs="Times New Roman"/>
          <w:i/>
          <w:iCs/>
          <w:color w:val="auto"/>
          <w:sz w:val="18"/>
          <w:szCs w:val="18"/>
        </w:rPr>
      </w:pPr>
      <w:r>
        <w:rPr>
          <w:rFonts w:hint="eastAsia" w:cs="Times New Roman"/>
          <w:color w:val="auto"/>
          <w:sz w:val="18"/>
          <w:szCs w:val="18"/>
          <w:vertAlign w:val="superscript"/>
          <w:lang w:val="en-US" w:eastAsia="zh-CN"/>
        </w:rPr>
        <w:t>1</w:t>
      </w:r>
      <w:r>
        <w:rPr>
          <w:rFonts w:hint="eastAsia" w:cs="Times New Roman"/>
          <w:color w:val="auto"/>
          <w:sz w:val="18"/>
          <w:szCs w:val="18"/>
          <w:vertAlign w:val="superscript"/>
        </w:rPr>
        <w:t xml:space="preserve"> </w:t>
      </w:r>
      <w:r>
        <w:rPr>
          <w:rFonts w:hint="eastAsia" w:cs="Times New Roman"/>
          <w:i/>
          <w:iCs/>
          <w:color w:val="auto"/>
          <w:sz w:val="18"/>
          <w:szCs w:val="18"/>
        </w:rPr>
        <w:t>College of Meteorology and Oceanography, National University of Defense Technology, Changsha, China</w:t>
      </w:r>
    </w:p>
    <w:p w14:paraId="34FD36BE">
      <w:pPr>
        <w:jc w:val="center"/>
        <w:rPr>
          <w:rFonts w:cs="Times New Roman"/>
          <w:i/>
          <w:iCs/>
          <w:color w:val="auto"/>
          <w:sz w:val="18"/>
          <w:szCs w:val="18"/>
        </w:rPr>
      </w:pPr>
      <w:r>
        <w:rPr>
          <w:rFonts w:hint="eastAsia" w:cs="Times New Roman"/>
          <w:color w:val="auto"/>
          <w:sz w:val="18"/>
          <w:szCs w:val="18"/>
          <w:vertAlign w:val="superscript"/>
          <w:lang w:val="en-US" w:eastAsia="zh-CN"/>
        </w:rPr>
        <w:t>2</w:t>
      </w:r>
      <w:r>
        <w:rPr>
          <w:rFonts w:hint="eastAsia" w:cs="Times New Roman"/>
          <w:color w:val="auto"/>
          <w:sz w:val="18"/>
          <w:szCs w:val="18"/>
          <w:vertAlign w:val="superscript"/>
        </w:rPr>
        <w:t xml:space="preserve"> </w:t>
      </w:r>
      <w:r>
        <w:rPr>
          <w:rFonts w:cs="Times New Roman"/>
          <w:i/>
          <w:iCs/>
          <w:color w:val="auto"/>
          <w:sz w:val="18"/>
          <w:szCs w:val="18"/>
        </w:rPr>
        <w:t>State Key Laboratory of Climate System Prediction and Risk Management/Key Laboratory of Meteorological Disaster, Ministry of Education/Collaborative Innovation Center on Forecast and Evaluation of Meteorological Disasters, Nanjing University of Information Science and Technology, Nanjing</w:t>
      </w:r>
      <w:r>
        <w:rPr>
          <w:rFonts w:hint="eastAsia" w:cs="Times New Roman"/>
          <w:i/>
          <w:iCs/>
          <w:color w:val="auto"/>
          <w:sz w:val="18"/>
          <w:szCs w:val="18"/>
        </w:rPr>
        <w:t>, China.</w:t>
      </w:r>
    </w:p>
    <w:p w14:paraId="7129E3F9">
      <w:pPr>
        <w:jc w:val="center"/>
        <w:rPr>
          <w:rFonts w:cs="Times New Roman"/>
          <w:i/>
          <w:iCs/>
          <w:color w:val="auto"/>
          <w:sz w:val="18"/>
          <w:szCs w:val="18"/>
        </w:rPr>
      </w:pPr>
      <w:r>
        <w:rPr>
          <w:rFonts w:hint="eastAsia" w:cs="Times New Roman"/>
          <w:color w:val="auto"/>
          <w:sz w:val="18"/>
          <w:szCs w:val="18"/>
          <w:vertAlign w:val="superscript"/>
          <w:lang w:val="en-US" w:eastAsia="zh-CN"/>
        </w:rPr>
        <w:t>3</w:t>
      </w:r>
      <w:r>
        <w:rPr>
          <w:rFonts w:hint="eastAsia" w:cs="Times New Roman"/>
          <w:color w:val="auto"/>
          <w:sz w:val="18"/>
          <w:szCs w:val="18"/>
          <w:vertAlign w:val="superscript"/>
        </w:rPr>
        <w:t xml:space="preserve"> </w:t>
      </w:r>
      <w:r>
        <w:rPr>
          <w:rFonts w:hint="eastAsia" w:cs="Times New Roman"/>
          <w:i/>
          <w:iCs/>
          <w:color w:val="auto"/>
          <w:sz w:val="18"/>
          <w:szCs w:val="18"/>
        </w:rPr>
        <w:t>Key Laboratory of High Impact Weather (special), China Meteorological Administration, Changsha, China</w:t>
      </w:r>
    </w:p>
    <w:p w14:paraId="6F1BB633">
      <w:pPr>
        <w:jc w:val="center"/>
        <w:rPr>
          <w:rFonts w:cs="Times New Roman"/>
          <w:i/>
          <w:iCs/>
          <w:color w:val="auto"/>
          <w:sz w:val="18"/>
          <w:szCs w:val="18"/>
        </w:rPr>
      </w:pPr>
      <w:r>
        <w:rPr>
          <w:rFonts w:hint="eastAsia" w:cs="Times New Roman"/>
          <w:color w:val="auto"/>
          <w:sz w:val="18"/>
          <w:szCs w:val="18"/>
          <w:vertAlign w:val="superscript"/>
          <w:lang w:val="en-US" w:eastAsia="zh-CN"/>
        </w:rPr>
        <w:t>4</w:t>
      </w:r>
      <w:r>
        <w:rPr>
          <w:rFonts w:hint="eastAsia" w:cs="Times New Roman"/>
          <w:color w:val="auto"/>
          <w:sz w:val="18"/>
          <w:szCs w:val="18"/>
          <w:vertAlign w:val="superscript"/>
        </w:rPr>
        <w:t xml:space="preserve"> </w:t>
      </w:r>
      <w:r>
        <w:rPr>
          <w:rFonts w:hint="eastAsia" w:cs="Times New Roman"/>
          <w:i/>
          <w:iCs/>
          <w:color w:val="auto"/>
          <w:sz w:val="18"/>
          <w:szCs w:val="18"/>
        </w:rPr>
        <w:t>Physical Oceanography Laboratory/Frontiers Science Center for Deep Ocean Multispheres and Earth System/Sanya Oceanographic Institution, Ocean University of China, Qingdao, China.</w:t>
      </w:r>
    </w:p>
    <w:p w14:paraId="1529AE5A">
      <w:pPr>
        <w:jc w:val="center"/>
        <w:rPr>
          <w:rFonts w:cs="Times New Roman"/>
          <w:i/>
          <w:iCs/>
          <w:color w:val="auto"/>
          <w:sz w:val="18"/>
          <w:szCs w:val="18"/>
        </w:rPr>
      </w:pPr>
      <w:r>
        <w:rPr>
          <w:rFonts w:hint="eastAsia" w:cs="Times New Roman"/>
          <w:color w:val="auto"/>
          <w:sz w:val="18"/>
          <w:szCs w:val="18"/>
          <w:vertAlign w:val="superscript"/>
          <w:lang w:val="en-US" w:eastAsia="zh-CN"/>
        </w:rPr>
        <w:t>5</w:t>
      </w:r>
      <w:r>
        <w:rPr>
          <w:rFonts w:hint="eastAsia" w:cs="Times New Roman"/>
          <w:color w:val="auto"/>
          <w:sz w:val="18"/>
          <w:szCs w:val="18"/>
          <w:vertAlign w:val="superscript"/>
        </w:rPr>
        <w:t xml:space="preserve"> </w:t>
      </w:r>
      <w:r>
        <w:rPr>
          <w:rFonts w:hint="eastAsia" w:cs="Times New Roman"/>
          <w:i/>
          <w:iCs/>
          <w:color w:val="auto"/>
          <w:sz w:val="18"/>
          <w:szCs w:val="18"/>
        </w:rPr>
        <w:t>Laoshan Laboratory, Qingdao, China.</w:t>
      </w:r>
    </w:p>
    <w:p w14:paraId="1DE09856">
      <w:pPr>
        <w:jc w:val="center"/>
        <w:rPr>
          <w:rFonts w:cs="Times New Roman"/>
          <w:i/>
          <w:iCs/>
          <w:sz w:val="21"/>
          <w:szCs w:val="21"/>
        </w:rPr>
      </w:pPr>
    </w:p>
    <w:p w14:paraId="15FD56AC">
      <w:pPr>
        <w:jc w:val="center"/>
        <w:rPr>
          <w:rFonts w:cs="Times New Roman"/>
          <w:i/>
          <w:iCs/>
          <w:sz w:val="21"/>
          <w:szCs w:val="21"/>
        </w:rPr>
      </w:pPr>
    </w:p>
    <w:p w14:paraId="32F2B5B7">
      <w:pPr>
        <w:jc w:val="center"/>
        <w:rPr>
          <w:rFonts w:cs="Times New Roman"/>
          <w:i/>
          <w:iCs/>
          <w:sz w:val="21"/>
          <w:szCs w:val="21"/>
        </w:rPr>
      </w:pPr>
    </w:p>
    <w:p w14:paraId="2431EDEC">
      <w:pPr>
        <w:jc w:val="center"/>
        <w:rPr>
          <w:rFonts w:cs="Times New Roman"/>
          <w:i/>
          <w:iCs/>
          <w:sz w:val="21"/>
          <w:szCs w:val="21"/>
        </w:rPr>
      </w:pPr>
    </w:p>
    <w:p w14:paraId="2A81324E">
      <w:pPr>
        <w:spacing w:line="360" w:lineRule="auto"/>
        <w:rPr>
          <w:rFonts w:cs="Times New Roman"/>
          <w:i/>
          <w:iCs/>
        </w:rPr>
      </w:pPr>
      <w:r>
        <w:rPr>
          <w:rFonts w:hint="eastAsia" w:cs="Times New Roman"/>
          <w:i/>
          <w:iCs/>
        </w:rPr>
        <w:t>*Corresponding author:</w:t>
      </w:r>
    </w:p>
    <w:p w14:paraId="39739D53">
      <w:pPr>
        <w:spacing w:line="360" w:lineRule="auto"/>
        <w:rPr>
          <w:rFonts w:cs="Times New Roman"/>
        </w:rPr>
      </w:pPr>
      <w:r>
        <w:rPr>
          <w:rFonts w:hint="eastAsia" w:cs="Times New Roman"/>
        </w:rPr>
        <w:t xml:space="preserve">Dr. Peilong Yu, </w:t>
      </w:r>
      <w:r>
        <w:fldChar w:fldCharType="begin"/>
      </w:r>
      <w:r>
        <w:instrText xml:space="preserve"> HYPERLINK "mailto:yupeilong20@nudt.edu.cn" </w:instrText>
      </w:r>
      <w:r>
        <w:fldChar w:fldCharType="separate"/>
      </w:r>
      <w:r>
        <w:rPr>
          <w:rStyle w:val="10"/>
          <w:rFonts w:hint="eastAsia" w:cs="Times New Roman"/>
        </w:rPr>
        <w:t>yupeilong20@nudt.edu.cn</w:t>
      </w:r>
      <w:r>
        <w:rPr>
          <w:rStyle w:val="10"/>
          <w:rFonts w:hint="eastAsia" w:cs="Times New Roman"/>
        </w:rPr>
        <w:fldChar w:fldCharType="end"/>
      </w:r>
    </w:p>
    <w:p w14:paraId="23673B77">
      <w:pPr>
        <w:ind w:left="428" w:leftChars="142" w:hanging="87" w:hangingChars="58"/>
        <w:rPr>
          <w:rFonts w:cs="Times New Roman"/>
          <w:sz w:val="15"/>
          <w:szCs w:val="15"/>
        </w:rPr>
      </w:pPr>
    </w:p>
    <w:p w14:paraId="4A61148E">
      <w:pPr>
        <w:ind w:left="428" w:leftChars="142" w:hanging="87" w:hangingChars="58"/>
        <w:rPr>
          <w:rFonts w:cs="Times New Roman"/>
          <w:sz w:val="15"/>
          <w:szCs w:val="15"/>
        </w:rPr>
      </w:pPr>
    </w:p>
    <w:p w14:paraId="095E5AA4">
      <w:pPr>
        <w:ind w:left="428" w:leftChars="142" w:hanging="87" w:hangingChars="58"/>
        <w:rPr>
          <w:rFonts w:cs="Times New Roman"/>
          <w:sz w:val="15"/>
          <w:szCs w:val="15"/>
        </w:rPr>
      </w:pPr>
    </w:p>
    <w:p w14:paraId="03C7EAE5">
      <w:pPr>
        <w:spacing w:line="360" w:lineRule="auto"/>
        <w:ind w:firstLine="281" w:firstLineChars="100"/>
        <w:rPr>
          <w:rFonts w:cs="Times New Roman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Contents of this file:</w:t>
      </w:r>
    </w:p>
    <w:p w14:paraId="278B1834">
      <w:pPr>
        <w:spacing w:line="360" w:lineRule="auto"/>
        <w:ind w:firstLine="280" w:firstLineChars="100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>Supplementary Figures 1 to 11</w:t>
      </w:r>
    </w:p>
    <w:p w14:paraId="1E2C4188">
      <w:pPr>
        <w:jc w:val="center"/>
      </w:pPr>
      <w:r>
        <w:rPr>
          <w:rFonts w:hint="eastAsia"/>
        </w:rPr>
        <w:drawing>
          <wp:inline distT="0" distB="0" distL="114300" distR="114300">
            <wp:extent cx="4378960" cy="6573520"/>
            <wp:effectExtent l="0" t="0" r="2540" b="5080"/>
            <wp:docPr id="4" name="图片 4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8960" cy="657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D28E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</w:t>
      </w:r>
      <w:r>
        <w:rPr>
          <w:rFonts w:ascii="Times New Roman" w:hAnsi="Times New Roman" w:cs="Times New Roman"/>
          <w:b/>
          <w:bCs/>
          <w:sz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</w:rPr>
        <w:instrText xml:space="preserve"> SEQ Fig._ \* ARABIC </w:instrText>
      </w:r>
      <w:r>
        <w:rPr>
          <w:rFonts w:ascii="Times New Roman" w:hAnsi="Times New Roman" w:cs="Times New Roman"/>
          <w:b/>
          <w:bCs/>
          <w:sz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fldChar w:fldCharType="end"/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Relationship between autumn Arctic sea ice and December AO.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Regression of SIC(%) in (a) November, (c) October and (e) September onto the December AO index during 1979-2015. (b), (d) and (f) show sliding correlation between the December AO index and the (b) November, (d) October, (f) September Barents-Kara SIC index, respectively. Black solid(dashed) lines in (e)-(h) indicate 95% (90%) confidence level according to the Student</w:t>
      </w:r>
      <w:r>
        <w:rPr>
          <w:rFonts w:ascii="Times New Roman" w:hAnsi="Times New Roman" w:cs="Times New Roman"/>
          <w:sz w:val="24"/>
        </w:rPr>
        <w:t>’</w:t>
      </w:r>
      <w:r>
        <w:rPr>
          <w:rFonts w:hint="eastAsia" w:ascii="Times New Roman" w:hAnsi="Times New Roman" w:cs="Times New Roman"/>
          <w:sz w:val="24"/>
        </w:rPr>
        <w:t xml:space="preserve">s </w:t>
      </w:r>
      <w:r>
        <w:rPr>
          <w:rFonts w:hint="eastAsia" w:ascii="Times New Roman" w:hAnsi="Times New Roman" w:cs="Times New Roman"/>
          <w:i/>
          <w:iCs/>
          <w:sz w:val="24"/>
        </w:rPr>
        <w:t>t</w:t>
      </w:r>
      <w:r>
        <w:rPr>
          <w:rFonts w:hint="eastAsia" w:ascii="Times New Roman" w:hAnsi="Times New Roman" w:cs="Times New Roman"/>
          <w:sz w:val="24"/>
        </w:rPr>
        <w:t xml:space="preserve"> test. Dotted areas in (a), (c) and (e) are statistically significant at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the</w:t>
      </w:r>
      <w:r>
        <w:rPr>
          <w:rFonts w:hint="eastAsia" w:ascii="Times New Roman" w:hAnsi="Times New Roman" w:cs="Times New Roman"/>
          <w:sz w:val="24"/>
        </w:rPr>
        <w:t xml:space="preserve"> 90% confidence level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</w:rPr>
        <w:t>.</w:t>
      </w:r>
    </w:p>
    <w:p w14:paraId="3FCC4463">
      <w:pPr>
        <w:jc w:val="center"/>
      </w:pPr>
      <w:r>
        <w:rPr>
          <w:rFonts w:hint="eastAsia"/>
        </w:rPr>
        <w:drawing>
          <wp:inline distT="0" distB="0" distL="114300" distR="114300">
            <wp:extent cx="5224780" cy="7840980"/>
            <wp:effectExtent l="0" t="0" r="7620" b="7620"/>
            <wp:docPr id="5" name="图片 5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869A7">
      <w:pPr>
        <w:pStyle w:val="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</w:t>
      </w:r>
      <w:r>
        <w:rPr>
          <w:rFonts w:hint="eastAsia" w:ascii="Times New Roman" w:hAnsi="Times New Roman" w:cs="Times New Roman"/>
          <w:b/>
          <w:bCs/>
          <w:sz w:val="24"/>
        </w:rPr>
        <w:t>2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Relationship between autumn Arctic sea ice and February AO.</w:t>
      </w:r>
      <w:r>
        <w:rPr>
          <w:rFonts w:hint="eastAsia" w:ascii="Times New Roman" w:hAnsi="Times New Roman" w:cs="Times New Roman"/>
          <w:sz w:val="24"/>
        </w:rPr>
        <w:t xml:space="preserve">Same as </w:t>
      </w:r>
      <w:r>
        <w:rPr>
          <w:rFonts w:hint="eastAsia" w:ascii="Times New Roman" w:hAnsi="Times New Roman" w:cs="Times New Roman"/>
          <w:b/>
          <w:bCs/>
          <w:sz w:val="24"/>
        </w:rPr>
        <w:t>Fig. S1</w:t>
      </w:r>
      <w:r>
        <w:rPr>
          <w:rFonts w:hint="eastAsia" w:ascii="Times New Roman" w:hAnsi="Times New Roman" w:cs="Times New Roman"/>
          <w:sz w:val="24"/>
        </w:rPr>
        <w:t>, but for regressions onto the February AO index.</w:t>
      </w:r>
    </w:p>
    <w:p w14:paraId="32A9DD6C">
      <w:pPr>
        <w:rPr>
          <w:rFonts w:cs="Times New Roman"/>
        </w:rPr>
      </w:pPr>
      <w:r>
        <w:rPr>
          <w:rFonts w:hint="eastAsia" w:cs="Times New Roman"/>
        </w:rPr>
        <w:drawing>
          <wp:inline distT="0" distB="0" distL="114300" distR="114300">
            <wp:extent cx="5291455" cy="2693670"/>
            <wp:effectExtent l="0" t="0" r="4445" b="11430"/>
            <wp:docPr id="11" name="图片 11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4317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24"/>
        </w:rPr>
        <w:t>S3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Changes in atmospheric circulations at multiple levels in November associated with reduced November Barents-Kara SIC.</w:t>
      </w:r>
      <w:r>
        <w:rPr>
          <w:rFonts w:hint="eastAsia" w:ascii="Times New Roman" w:hAnsi="Times New Roman" w:cs="Times New Roman"/>
          <w:sz w:val="24"/>
        </w:rPr>
        <w:t xml:space="preserve"> Regressions of (a) geopotential height at 500 hPa (unit: 10</w:t>
      </w:r>
      <w:r>
        <w:rPr>
          <w:rFonts w:hint="eastAsia" w:ascii="Times New Roman" w:hAnsi="Times New Roman" w:cs="Times New Roman"/>
          <w:sz w:val="24"/>
          <w:vertAlign w:val="superscript"/>
        </w:rPr>
        <w:t>-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</w:rPr>
        <w:t xml:space="preserve"> gpm), (c) geopotential height at 850 hPa (unit: 10</w:t>
      </w:r>
      <w:r>
        <w:rPr>
          <w:rFonts w:hint="eastAsia" w:ascii="Times New Roman" w:hAnsi="Times New Roman" w:cs="Times New Roman"/>
          <w:sz w:val="24"/>
          <w:vertAlign w:val="superscript"/>
        </w:rPr>
        <w:t>-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</w:rPr>
        <w:t xml:space="preserve"> gpm) and (e) SLP (unit: 10</w:t>
      </w:r>
      <w:r>
        <w:rPr>
          <w:rFonts w:hint="eastAsia" w:ascii="Times New Roman" w:hAnsi="Times New Roman" w:cs="Times New Roman"/>
          <w:sz w:val="24"/>
          <w:vertAlign w:val="superscript"/>
        </w:rPr>
        <w:t>-3</w:t>
      </w:r>
      <w:r>
        <w:rPr>
          <w:rFonts w:hint="eastAsia" w:ascii="Times New Roman" w:hAnsi="Times New Roman" w:cs="Times New Roman"/>
          <w:sz w:val="24"/>
        </w:rPr>
        <w:t xml:space="preserve"> hPa) in November onto the November Barents-Kara SIC index during P1. (b), (d), (f) are same as (a), (c) and (e), respectively, but for during P2. The green contours in (a)-(f) denote the 90% confidence levels.</w:t>
      </w:r>
      <w:r>
        <w:rPr>
          <w:rFonts w:ascii="Times New Roman" w:hAnsi="Times New Roman" w:cs="Times New Roman"/>
          <w:sz w:val="24"/>
        </w:rPr>
        <w:br w:type="page"/>
      </w:r>
    </w:p>
    <w:p w14:paraId="543A8E70">
      <w:pPr>
        <w:jc w:val="center"/>
      </w:pPr>
      <w:r>
        <w:drawing>
          <wp:inline distT="0" distB="0" distL="114300" distR="114300">
            <wp:extent cx="2508885" cy="6229350"/>
            <wp:effectExtent l="0" t="0" r="571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3965" cy="6243320"/>
            <wp:effectExtent l="0" t="0" r="63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74AA8">
      <w:pPr>
        <w:spacing w:line="360" w:lineRule="auto"/>
        <w:jc w:val="left"/>
      </w:pPr>
      <w:r>
        <w:rPr>
          <w:rFonts w:cs="Times New Roman"/>
          <w:b/>
          <w:bCs/>
        </w:rPr>
        <w:t xml:space="preserve">Fig. </w:t>
      </w:r>
      <w:r>
        <w:rPr>
          <w:rFonts w:hint="eastAsia" w:cs="Times New Roman"/>
          <w:b/>
          <w:bCs/>
        </w:rPr>
        <w:t>S4</w:t>
      </w:r>
      <w:r>
        <w:rPr>
          <w:rFonts w:hint="eastAsia" w:cs="Times New Roman"/>
          <w:b/>
          <w:bCs/>
          <w:lang w:val="en-US" w:eastAsia="zh-CN"/>
        </w:rPr>
        <w:t xml:space="preserve"> Height-latitude cross sections for changes in geopotential heights and E-P fluxes associated with reduced November Barents-Kara SIC.</w:t>
      </w:r>
      <w:r>
        <w:rPr>
          <w:rFonts w:hint="eastAsia" w:cs="Times New Roman"/>
        </w:rPr>
        <w:t xml:space="preserve"> Regressions of geopotential height (shaded, unit: 10</w:t>
      </w:r>
      <w:r>
        <w:rPr>
          <w:rFonts w:hint="eastAsia" w:cs="Times New Roman"/>
          <w:vertAlign w:val="superscript"/>
        </w:rPr>
        <w:t>-2</w:t>
      </w:r>
      <w:r>
        <w:rPr>
          <w:rFonts w:hint="eastAsia" w:cs="Times New Roman"/>
        </w:rPr>
        <w:t xml:space="preserve"> gpm) and the Eliassen-Palm flux (vector, unit: </w:t>
      </w:r>
      <w:r>
        <w:rPr>
          <w:rFonts w:hint="eastAsia"/>
          <w:bCs/>
        </w:rPr>
        <w:t>10</w:t>
      </w:r>
      <w:r>
        <w:rPr>
          <w:rFonts w:hint="eastAsia"/>
          <w:bCs/>
          <w:vertAlign w:val="superscript"/>
        </w:rPr>
        <w:t>8</w:t>
      </w:r>
      <w:r>
        <w:rPr>
          <w:rFonts w:hint="eastAsia"/>
          <w:bCs/>
        </w:rPr>
        <w:t xml:space="preserve"> m</w:t>
      </w:r>
      <w:r>
        <w:rPr>
          <w:rFonts w:hint="eastAsia"/>
          <w:bCs/>
          <w:vertAlign w:val="superscript"/>
        </w:rPr>
        <w:t>2</w:t>
      </w:r>
      <w:r>
        <w:rPr>
          <w:rFonts w:cs="Times New Roman"/>
          <w:szCs w:val="20"/>
        </w:rPr>
        <w:t>·</w:t>
      </w:r>
      <w:r>
        <w:rPr>
          <w:rFonts w:hint="eastAsia" w:cs="Times New Roman"/>
          <w:szCs w:val="20"/>
        </w:rPr>
        <w:t>s</w:t>
      </w:r>
      <w:r>
        <w:rPr>
          <w:rFonts w:hint="eastAsia" w:cs="Times New Roman"/>
          <w:szCs w:val="20"/>
          <w:vertAlign w:val="superscript"/>
        </w:rPr>
        <w:t>-2</w:t>
      </w:r>
      <w:r>
        <w:rPr>
          <w:rFonts w:hint="eastAsia" w:cs="Times New Roman"/>
        </w:rPr>
        <w:t>) in (a) November, (b) December and (c) January onto the sign-reversed Barents-Kara SIC index during P1. (d), (e), (f) are the same as (a), (b) and (c), respectively, but for P2. Green contours denote the 90% confidence levels for the geopotential height anomalies. (b) and (c) share the same quiver key, while (e) and (f) share the same quiver key.</w:t>
      </w:r>
    </w:p>
    <w:p w14:paraId="2C78056B">
      <w:pPr>
        <w:rPr>
          <w:rFonts w:cs="Times New Roman"/>
        </w:rPr>
      </w:pPr>
      <w:r>
        <w:rPr>
          <w:rFonts w:hint="eastAsia" w:cs="Times New Roman"/>
        </w:rPr>
        <w:br w:type="page"/>
      </w:r>
    </w:p>
    <w:p w14:paraId="1374B36A">
      <w:pPr>
        <w:rPr>
          <w:rFonts w:cs="Times New Roman"/>
        </w:rPr>
      </w:pPr>
      <w:r>
        <w:rPr>
          <w:rFonts w:hint="eastAsia" w:cs="Times New Roman"/>
        </w:rPr>
        <w:drawing>
          <wp:inline distT="0" distB="0" distL="114300" distR="114300">
            <wp:extent cx="5323840" cy="2621280"/>
            <wp:effectExtent l="0" t="0" r="10160" b="7620"/>
            <wp:docPr id="12" name="图片 12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384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39F4E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S5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Changes in atmospheric circulations at multiple levels in December associated with reduced November Barents-Kara SIC.</w:t>
      </w:r>
      <w:r>
        <w:rPr>
          <w:rFonts w:hint="eastAsia" w:ascii="Times New Roman" w:hAnsi="Times New Roman" w:cs="Times New Roman"/>
          <w:sz w:val="24"/>
        </w:rPr>
        <w:t xml:space="preserve"> Regressions of (a) geopotential height at 500 hPa (unit: 10</w:t>
      </w:r>
      <w:r>
        <w:rPr>
          <w:rFonts w:hint="eastAsia" w:ascii="Times New Roman" w:hAnsi="Times New Roman" w:cs="Times New Roman"/>
          <w:sz w:val="24"/>
          <w:vertAlign w:val="superscript"/>
        </w:rPr>
        <w:t>-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</w:rPr>
        <w:t xml:space="preserve"> gpm), (c) geopotential height at 850 hPa (unit: 10</w:t>
      </w:r>
      <w:r>
        <w:rPr>
          <w:rFonts w:hint="eastAsia" w:ascii="Times New Roman" w:hAnsi="Times New Roman" w:cs="Times New Roman"/>
          <w:sz w:val="24"/>
          <w:vertAlign w:val="superscript"/>
        </w:rPr>
        <w:t>-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</w:rPr>
        <w:t xml:space="preserve"> gpm) and (e) SLP (unit: 10</w:t>
      </w:r>
      <w:r>
        <w:rPr>
          <w:rFonts w:hint="eastAsia" w:ascii="Times New Roman" w:hAnsi="Times New Roman" w:cs="Times New Roman"/>
          <w:sz w:val="24"/>
          <w:vertAlign w:val="superscript"/>
        </w:rPr>
        <w:t>-3</w:t>
      </w:r>
      <w:r>
        <w:rPr>
          <w:rFonts w:hint="eastAsia" w:ascii="Times New Roman" w:hAnsi="Times New Roman" w:cs="Times New Roman"/>
          <w:sz w:val="24"/>
        </w:rPr>
        <w:t xml:space="preserve"> hPa) in December onto the November Barents-Kara SIC index during P1. (b), (d), (f) are same as (a), (c) and (e), respectively, but for during P2. The green contours in (a)-(f) denote the 90% confidence levels.</w:t>
      </w:r>
      <w:r>
        <w:rPr>
          <w:rFonts w:hint="eastAsia" w:ascii="Times New Roman" w:hAnsi="Times New Roman" w:cs="Times New Roman"/>
          <w:sz w:val="24"/>
        </w:rPr>
        <w:br w:type="page"/>
      </w:r>
    </w:p>
    <w:p w14:paraId="2ED35D36">
      <w:pPr>
        <w:jc w:val="center"/>
      </w:pPr>
      <w:r>
        <w:drawing>
          <wp:inline distT="0" distB="0" distL="114300" distR="114300">
            <wp:extent cx="5261610" cy="3089910"/>
            <wp:effectExtent l="0" t="0" r="8890" b="889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BAD6A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S6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Sliding correlations of the indexes used in this study.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21-year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</w:rPr>
        <w:t>liding correlation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</w:rPr>
        <w:t xml:space="preserve"> of the sign_reversed Barents-Kara SIC index, the NAT index, the SCE index, the November and December SCA index and the January AO index. Black solid(dashed) lines indicate 95% (90%) confidence levels.</w:t>
      </w:r>
      <w:r>
        <w:rPr>
          <w:rFonts w:hint="eastAsia" w:ascii="Times New Roman" w:hAnsi="Times New Roman" w:cs="Times New Roman"/>
          <w:sz w:val="24"/>
        </w:rPr>
        <w:br w:type="page"/>
      </w:r>
    </w:p>
    <w:p w14:paraId="3E28C2AE">
      <w:pPr>
        <w:rPr>
          <w:rFonts w:cs="Times New Roman"/>
        </w:rPr>
      </w:pPr>
      <w:r>
        <w:rPr>
          <w:rFonts w:hint="eastAsia" w:cs="Times New Roman"/>
        </w:rPr>
        <w:drawing>
          <wp:inline distT="0" distB="0" distL="114300" distR="114300">
            <wp:extent cx="5258435" cy="2416175"/>
            <wp:effectExtent l="0" t="0" r="0" b="0"/>
            <wp:docPr id="3" name="图片 3" descr="figure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5"/>
                    <pic:cNvPicPr>
                      <a:picLocks noChangeAspect="1"/>
                    </pic:cNvPicPr>
                  </pic:nvPicPr>
                  <pic:blipFill>
                    <a:blip r:embed="rId11"/>
                    <a:srcRect b="3295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15AC3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S7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Changes of eddy vorticity flux and eddy heat flux associated with the NAT SST anomalies.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Regressions of (a) eddy vorticity flux (EVF, unit: m∙day</w:t>
      </w:r>
      <w:r>
        <w:rPr>
          <w:rFonts w:hint="eastAsia" w:ascii="Times New Roman" w:hAnsi="Times New Roman" w:cs="Times New Roman"/>
          <w:sz w:val="24"/>
          <w:vertAlign w:val="superscript"/>
        </w:rPr>
        <w:t>-1</w:t>
      </w:r>
      <w:r>
        <w:rPr>
          <w:rFonts w:hint="eastAsia" w:ascii="Times New Roman" w:hAnsi="Times New Roman" w:cs="Times New Roman"/>
          <w:sz w:val="24"/>
        </w:rPr>
        <w:t>), (c) eddy heat flux (EHF, unit: m∙day</w:t>
      </w:r>
      <w:r>
        <w:rPr>
          <w:rFonts w:hint="eastAsia" w:ascii="Times New Roman" w:hAnsi="Times New Roman" w:cs="Times New Roman"/>
          <w:sz w:val="24"/>
          <w:vertAlign w:val="superscript"/>
        </w:rPr>
        <w:t>-1</w:t>
      </w:r>
      <w:r>
        <w:rPr>
          <w:rFonts w:hint="eastAsia" w:ascii="Times New Roman" w:hAnsi="Times New Roman" w:cs="Times New Roman"/>
          <w:sz w:val="24"/>
        </w:rPr>
        <w:t>) and (e) turbulent heat flux (THF, unit: W∙m</w:t>
      </w:r>
      <w:r>
        <w:rPr>
          <w:rFonts w:hint="eastAsia" w:ascii="Times New Roman" w:hAnsi="Times New Roman" w:cs="Times New Roman"/>
          <w:sz w:val="24"/>
          <w:vertAlign w:val="superscript"/>
        </w:rPr>
        <w:t>-2</w:t>
      </w:r>
      <w:r>
        <w:rPr>
          <w:rFonts w:hint="eastAsia" w:ascii="Times New Roman" w:hAnsi="Times New Roman" w:cs="Times New Roman"/>
          <w:sz w:val="24"/>
        </w:rPr>
        <w:t>) in November onto the NAT index during P1. (b), (d) and (f) are same as (a), (c) and (e), respectively, but for regressions during P2. The green contours in (a)-(f) denote the 90% confidence levels.</w:t>
      </w:r>
      <w:r>
        <w:rPr>
          <w:rFonts w:ascii="Times New Roman" w:hAnsi="Times New Roman" w:cs="Times New Roman"/>
          <w:sz w:val="24"/>
        </w:rPr>
        <w:br w:type="page"/>
      </w:r>
    </w:p>
    <w:p w14:paraId="60C3C49A">
      <w:pPr>
        <w:jc w:val="center"/>
      </w:pPr>
      <w:r>
        <w:drawing>
          <wp:inline distT="0" distB="0" distL="114300" distR="114300">
            <wp:extent cx="5267325" cy="3201035"/>
            <wp:effectExtent l="0" t="0" r="3175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A3903">
      <w:pPr>
        <w:pStyle w:val="2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S8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Moving standard deviation of the NAT SST anomalies.</w:t>
      </w:r>
      <w:r>
        <w:rPr>
          <w:rFonts w:hint="eastAsia" w:ascii="Times New Roman" w:hAnsi="Times New Roman" w:cs="Times New Roman"/>
          <w:sz w:val="24"/>
        </w:rPr>
        <w:t xml:space="preserve"> The 15-year moving standard deviation of the NAT index (black solid line) and the three SST anomaly centers. Black dashed line </w:t>
      </w:r>
      <w:r>
        <w:rPr>
          <w:rFonts w:ascii="Times New Roman" w:hAnsi="Times New Roman" w:cs="Times New Roman"/>
          <w:sz w:val="24"/>
        </w:rPr>
        <w:t>denotes</w:t>
      </w:r>
      <w:r>
        <w:rPr>
          <w:rFonts w:hint="eastAsia" w:ascii="Times New Roman" w:hAnsi="Times New Roman" w:cs="Times New Roman"/>
          <w:sz w:val="24"/>
        </w:rPr>
        <w:t xml:space="preserve"> the 0.8 std.</w:t>
      </w:r>
      <w:r>
        <w:rPr>
          <w:rFonts w:hint="eastAsia" w:ascii="Times New Roman" w:hAnsi="Times New Roman" w:cs="Times New Roman"/>
          <w:sz w:val="24"/>
        </w:rPr>
        <w:br w:type="page"/>
      </w:r>
    </w:p>
    <w:p w14:paraId="0D4A059B">
      <w:pPr>
        <w:pStyle w:val="2"/>
        <w:rPr>
          <w:rFonts w:ascii="Times New Roman" w:hAnsi="Times New Roman" w:cs="Times New Roman" w:eastAsiaTheme="minorEastAsia"/>
        </w:rPr>
      </w:pPr>
      <w:r>
        <w:rPr>
          <w:rFonts w:hint="eastAsia" w:ascii="Times New Roman" w:hAnsi="Times New Roman" w:cs="Times New Roman" w:eastAsiaTheme="minorEastAsia"/>
        </w:rPr>
        <w:drawing>
          <wp:inline distT="0" distB="0" distL="114300" distR="114300">
            <wp:extent cx="5265420" cy="4903470"/>
            <wp:effectExtent l="0" t="0" r="5080" b="11430"/>
            <wp:docPr id="14" name="图片 14" descr="figure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S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90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5B2CB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S9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Half of the chosen AMIP models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geopotential height changes associated with the NAT index.</w:t>
      </w:r>
      <w:r>
        <w:rPr>
          <w:rFonts w:hint="eastAsia" w:ascii="Times New Roman" w:hAnsi="Times New Roman" w:cs="Times New Roman"/>
          <w:sz w:val="24"/>
        </w:rPr>
        <w:t xml:space="preserve"> Regressions of 5 AMIP models</w:t>
      </w:r>
      <w:r>
        <w:rPr>
          <w:rFonts w:ascii="Times New Roman" w:hAnsi="Times New Roman" w:cs="Times New Roman"/>
          <w:sz w:val="24"/>
        </w:rPr>
        <w:t>’</w:t>
      </w:r>
      <w:r>
        <w:rPr>
          <w:rFonts w:hint="eastAsia" w:ascii="Times New Roman" w:hAnsi="Times New Roman" w:cs="Times New Roman"/>
          <w:sz w:val="24"/>
        </w:rPr>
        <w:t xml:space="preserve"> geopotential height outputs (ACCESS-</w:t>
      </w:r>
      <w:bookmarkStart w:id="1" w:name="_GoBack"/>
      <w:bookmarkEnd w:id="1"/>
      <w:r>
        <w:rPr>
          <w:rFonts w:hint="eastAsia" w:ascii="Times New Roman" w:hAnsi="Times New Roman" w:cs="Times New Roman"/>
          <w:sz w:val="24"/>
        </w:rPr>
        <w:t>ESM1-5, EC-Earth3, HadGEM-GC31-MM, TaiESM1 and CNRM-CM6-1-HR) at 200 hPa onto the NAT index calculated by the models</w:t>
      </w:r>
      <w:r>
        <w:rPr>
          <w:rFonts w:ascii="Times New Roman" w:hAnsi="Times New Roman" w:cs="Times New Roman"/>
          <w:sz w:val="24"/>
        </w:rPr>
        <w:t>’</w:t>
      </w:r>
      <w:r>
        <w:rPr>
          <w:rFonts w:hint="eastAsia" w:ascii="Times New Roman" w:hAnsi="Times New Roman" w:cs="Times New Roman"/>
          <w:sz w:val="24"/>
        </w:rPr>
        <w:t xml:space="preserve"> SST input datasets. Left panels show results in P1, while panels on the right show results in P2. Green contours denote the 90% confidence level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br w:type="page"/>
      </w:r>
    </w:p>
    <w:p w14:paraId="1A690B63">
      <w:pPr>
        <w:rPr>
          <w:rFonts w:cs="Times New Roman"/>
          <w:sz w:val="20"/>
        </w:rPr>
      </w:pPr>
      <w:r>
        <w:rPr>
          <w:rFonts w:hint="eastAsia" w:cs="Times New Roman"/>
          <w:sz w:val="20"/>
        </w:rPr>
        <w:drawing>
          <wp:inline distT="0" distB="0" distL="114300" distR="114300">
            <wp:extent cx="5191125" cy="4670425"/>
            <wp:effectExtent l="0" t="0" r="3175" b="3175"/>
            <wp:docPr id="15" name="图片 15" descr="figure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S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8F55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S10</w:t>
      </w:r>
      <w:r>
        <w:rPr>
          <w:rFonts w:hint="eastAsia" w:ascii="Times New Roman" w:hAnsi="Times New Roman" w:cs="Times New Roman"/>
          <w:sz w:val="24"/>
        </w:rPr>
        <w:t xml:space="preserve"> Same as </w:t>
      </w:r>
      <w:r>
        <w:rPr>
          <w:rFonts w:hint="eastAsia" w:ascii="Times New Roman" w:hAnsi="Times New Roman" w:cs="Times New Roman"/>
          <w:b/>
          <w:bCs/>
          <w:sz w:val="24"/>
        </w:rPr>
        <w:t>Fig. S9</w:t>
      </w:r>
      <w:r>
        <w:rPr>
          <w:rFonts w:hint="eastAsia" w:ascii="Times New Roman" w:hAnsi="Times New Roman" w:cs="Times New Roman"/>
          <w:sz w:val="24"/>
        </w:rPr>
        <w:t>, but for the other 5 AMIP models (BCC-CSM2-MR, MIROC6, MRI-ESM2-0, NESM3 and SAM0-UNICON).</w:t>
      </w:r>
    </w:p>
    <w:p w14:paraId="0A159CD4">
      <w:pPr>
        <w:rPr>
          <w:rFonts w:cs="Times New Roman"/>
        </w:rPr>
      </w:pPr>
      <w:r>
        <w:rPr>
          <w:rFonts w:hint="eastAsia" w:cs="Times New Roman"/>
        </w:rPr>
        <w:br w:type="page"/>
      </w:r>
    </w:p>
    <w:p w14:paraId="7A2E2889">
      <w:r>
        <w:drawing>
          <wp:inline distT="0" distB="0" distL="114300" distR="114300">
            <wp:extent cx="5238750" cy="1464310"/>
            <wp:effectExtent l="0" t="0" r="6350" b="8890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0076">
      <w:pPr>
        <w:pStyle w:val="2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Fig. S11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Changes of SST background states after the mid-1990s.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Climatology of Atlantic SST in (a) P1 and (b) P2. (c) shows their differences, with green contours denoting the 90% confidence levels.</w:t>
      </w:r>
    </w:p>
    <w:sectPr>
      <w:pgSz w:w="11906" w:h="16838"/>
      <w:pgMar w:top="1440" w:right="1797" w:bottom="1440" w:left="1797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ZGIyMmIxMmFiZTZhNzY3ZjVjYTdkYzU5ZjExYzEifQ=="/>
  </w:docVars>
  <w:rsids>
    <w:rsidRoot w:val="00473594"/>
    <w:rsid w:val="003B5A1D"/>
    <w:rsid w:val="00433B2A"/>
    <w:rsid w:val="00473594"/>
    <w:rsid w:val="004A674C"/>
    <w:rsid w:val="004C576D"/>
    <w:rsid w:val="00726B48"/>
    <w:rsid w:val="0073177E"/>
    <w:rsid w:val="007409A8"/>
    <w:rsid w:val="007412CA"/>
    <w:rsid w:val="007C36AE"/>
    <w:rsid w:val="00810107"/>
    <w:rsid w:val="00835BBE"/>
    <w:rsid w:val="008C66DC"/>
    <w:rsid w:val="00A01D48"/>
    <w:rsid w:val="00A25100"/>
    <w:rsid w:val="00A719CD"/>
    <w:rsid w:val="00BE01EE"/>
    <w:rsid w:val="00D40114"/>
    <w:rsid w:val="00D43955"/>
    <w:rsid w:val="00DB2AA8"/>
    <w:rsid w:val="00E819A8"/>
    <w:rsid w:val="00EF63B1"/>
    <w:rsid w:val="02F15938"/>
    <w:rsid w:val="057B2DEE"/>
    <w:rsid w:val="06B807E5"/>
    <w:rsid w:val="0DD61052"/>
    <w:rsid w:val="0FD01A78"/>
    <w:rsid w:val="12D45C74"/>
    <w:rsid w:val="14D80741"/>
    <w:rsid w:val="15293DAE"/>
    <w:rsid w:val="196C4626"/>
    <w:rsid w:val="1BE0686F"/>
    <w:rsid w:val="1C57790E"/>
    <w:rsid w:val="230954FF"/>
    <w:rsid w:val="26465D00"/>
    <w:rsid w:val="2BA80B17"/>
    <w:rsid w:val="2BAF0E51"/>
    <w:rsid w:val="2E215F58"/>
    <w:rsid w:val="2E7E07E0"/>
    <w:rsid w:val="2EAA468B"/>
    <w:rsid w:val="347C07D3"/>
    <w:rsid w:val="354510AB"/>
    <w:rsid w:val="36D916D3"/>
    <w:rsid w:val="44A730D4"/>
    <w:rsid w:val="44DD2E0C"/>
    <w:rsid w:val="4AF01DF5"/>
    <w:rsid w:val="4D3D3C69"/>
    <w:rsid w:val="50863C8E"/>
    <w:rsid w:val="50C32F4B"/>
    <w:rsid w:val="51E14C9C"/>
    <w:rsid w:val="532A4A23"/>
    <w:rsid w:val="56583A35"/>
    <w:rsid w:val="584F44F7"/>
    <w:rsid w:val="5B40265C"/>
    <w:rsid w:val="625849D0"/>
    <w:rsid w:val="636935A6"/>
    <w:rsid w:val="6811739F"/>
    <w:rsid w:val="6A8F6C7D"/>
    <w:rsid w:val="70E44AA6"/>
    <w:rsid w:val="722B3DA1"/>
    <w:rsid w:val="741B536A"/>
    <w:rsid w:val="74325211"/>
    <w:rsid w:val="74B9367B"/>
    <w:rsid w:val="784004D1"/>
    <w:rsid w:val="79CA23E5"/>
    <w:rsid w:val="7A82024F"/>
    <w:rsid w:val="7BD227A0"/>
    <w:rsid w:val="7BFA77D1"/>
    <w:rsid w:val="7C1352BF"/>
    <w:rsid w:val="7DE53BCD"/>
    <w:rsid w:val="7FD5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3"/>
    <w:next w:val="3"/>
    <w:link w:val="17"/>
    <w:qFormat/>
    <w:uiPriority w:val="0"/>
    <w:rPr>
      <w:b/>
      <w:bCs/>
    </w:rPr>
  </w:style>
  <w:style w:type="character" w:styleId="9">
    <w:name w:val="lin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6">
    <w:name w:val="批注文字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6"/>
    <w:qFormat/>
    <w:uiPriority w:val="0"/>
    <w:rPr>
      <w:b/>
      <w:bCs/>
      <w:kern w:val="2"/>
      <w:sz w:val="21"/>
      <w:szCs w:val="24"/>
    </w:rPr>
  </w:style>
  <w:style w:type="character" w:customStyle="1" w:styleId="18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Revision"/>
    <w:hidden/>
    <w:unhideWhenUsed/>
    <w:qFormat/>
    <w:uiPriority w:val="99"/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768</Words>
  <Characters>4258</Characters>
  <Lines>90</Lines>
  <Paragraphs>30</Paragraphs>
  <TotalTime>1</TotalTime>
  <ScaleCrop>false</ScaleCrop>
  <LinksUpToDate>false</LinksUpToDate>
  <CharactersWithSpaces>5003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2024-10-06T13:31:00Z</dcterms:created>
  <dc:creator>Administrator</dc:creator>
  <cp:lastModifiedBy>郑帅</cp:lastModifiedBy>
  <dcterms:modified xsi:type="dcterms:W3CDTF">2025-06-13T13:26:07Z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AC2DD629C50C4916916E43CDD2A58DEB_13</vt:lpwstr>
  </property>
  <property fmtid="{D5CDD505-2E9C-101B-9397-08002B2CF9AE}" pid="4" name="KSOTemplateDocerSaveRecord">
    <vt:lpwstr>eyJoZGlkIjoiYjEwZGIyMmIxMmFiZTZhNzY3ZjVjYTdkYzU5ZjExYzEiLCJ1c2VySWQiOiIxMDQ1NDc3NzQxIn0=</vt:lpwstr>
  </property>
</Properties>
</file>