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F29F3" w14:textId="3D5DBC5D" w:rsidR="008D3152" w:rsidRPr="004E0E47" w:rsidRDefault="008D3152" w:rsidP="008D3152">
      <w:pPr>
        <w:pStyle w:val="EndNoteBibliography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b/>
          <w:bCs/>
          <w:sz w:val="16"/>
          <w:szCs w:val="16"/>
        </w:rPr>
        <w:t>Supplementary Table 1</w:t>
      </w:r>
      <w:r w:rsidRPr="004E0E47">
        <w:rPr>
          <w:rFonts w:ascii="Helvetica" w:hAnsi="Helvetica" w:cs="Helvetica"/>
          <w:b/>
          <w:bCs/>
          <w:sz w:val="16"/>
          <w:szCs w:val="16"/>
        </w:rPr>
        <w:t xml:space="preserve">. </w:t>
      </w:r>
      <w:r>
        <w:rPr>
          <w:rFonts w:ascii="Helvetica" w:hAnsi="Helvetica" w:cs="Helvetica"/>
          <w:bCs/>
          <w:sz w:val="16"/>
          <w:szCs w:val="16"/>
        </w:rPr>
        <w:t>Clinical and pathological characteristics and CEP counts in patients whose</w:t>
      </w:r>
      <w:r w:rsidR="00FA57CE">
        <w:rPr>
          <w:rFonts w:ascii="Helvetica" w:hAnsi="Helvetica" w:cs="Helvetica"/>
          <w:bCs/>
          <w:sz w:val="16"/>
          <w:szCs w:val="16"/>
        </w:rPr>
        <w:t xml:space="preserve"> CEP</w:t>
      </w:r>
      <w:r>
        <w:rPr>
          <w:rFonts w:ascii="Helvetica" w:hAnsi="Helvetica" w:cs="Helvetica"/>
          <w:bCs/>
          <w:sz w:val="16"/>
          <w:szCs w:val="16"/>
        </w:rPr>
        <w:t xml:space="preserve"> counts were monitored during neoadjuvant chemotherapy </w:t>
      </w:r>
      <w:r>
        <w:rPr>
          <w:rFonts w:ascii="Helvetica" w:hAnsi="Helvetica" w:cs="Helvetica"/>
          <w:sz w:val="16"/>
          <w:szCs w:val="16"/>
        </w:rPr>
        <w:t>(n = 20</w:t>
      </w:r>
      <w:r w:rsidRPr="004E0E47">
        <w:rPr>
          <w:rFonts w:ascii="Helvetica" w:hAnsi="Helvetica" w:cs="Helvetica"/>
          <w:sz w:val="16"/>
          <w:szCs w:val="16"/>
        </w:rPr>
        <w:t>)</w:t>
      </w:r>
    </w:p>
    <w:tbl>
      <w:tblPr>
        <w:tblpPr w:leftFromText="142" w:rightFromText="142" w:vertAnchor="text" w:tblpY="1"/>
        <w:tblOverlap w:val="never"/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119"/>
        <w:gridCol w:w="1417"/>
      </w:tblGrid>
      <w:tr w:rsidR="008D3152" w:rsidRPr="004E0E47" w14:paraId="6031B7E7" w14:textId="77777777" w:rsidTr="008A6F77">
        <w:trPr>
          <w:trHeight w:val="260"/>
        </w:trPr>
        <w:tc>
          <w:tcPr>
            <w:tcW w:w="4928" w:type="dxa"/>
            <w:gridSpan w:val="2"/>
            <w:shd w:val="clear" w:color="auto" w:fill="BFBFBF"/>
            <w:vAlign w:val="center"/>
          </w:tcPr>
          <w:p w14:paraId="766933C1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Characteristic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CF36335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16"/>
              </w:rPr>
              <w:t>No. of patients</w:t>
            </w:r>
          </w:p>
        </w:tc>
      </w:tr>
      <w:tr w:rsidR="008D3152" w:rsidRPr="004E0E47" w14:paraId="379BE1FB" w14:textId="77777777" w:rsidTr="008A6F77">
        <w:trPr>
          <w:cantSplit/>
          <w:trHeight w:hRule="exact" w:val="284"/>
        </w:trPr>
        <w:tc>
          <w:tcPr>
            <w:tcW w:w="1809" w:type="dxa"/>
            <w:tcBorders>
              <w:bottom w:val="nil"/>
            </w:tcBorders>
            <w:vAlign w:val="center"/>
          </w:tcPr>
          <w:p w14:paraId="6E68F5FA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4BB1689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sz w:val="16"/>
                <w:szCs w:val="16"/>
              </w:rPr>
              <w:t>Median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0062A91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53</w:t>
            </w:r>
          </w:p>
        </w:tc>
      </w:tr>
      <w:tr w:rsidR="008D3152" w:rsidRPr="004E0E47" w14:paraId="228403AA" w14:textId="77777777" w:rsidTr="008A6F77">
        <w:trPr>
          <w:cantSplit/>
          <w:trHeight w:hRule="exact" w:val="284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vAlign w:val="center"/>
          </w:tcPr>
          <w:p w14:paraId="723923D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vAlign w:val="center"/>
          </w:tcPr>
          <w:p w14:paraId="1520B7CA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sz w:val="16"/>
                <w:szCs w:val="16"/>
              </w:rPr>
              <w:t>Range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23377B5A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33-69</w:t>
            </w:r>
          </w:p>
        </w:tc>
      </w:tr>
      <w:tr w:rsidR="008D3152" w:rsidRPr="004E0E47" w14:paraId="1441EA66" w14:textId="77777777" w:rsidTr="008A6F77">
        <w:trPr>
          <w:cantSplit/>
          <w:trHeight w:hRule="exact" w:val="284"/>
        </w:trPr>
        <w:tc>
          <w:tcPr>
            <w:tcW w:w="1809" w:type="dxa"/>
            <w:tcBorders>
              <w:bottom w:val="nil"/>
            </w:tcBorders>
            <w:vAlign w:val="center"/>
          </w:tcPr>
          <w:p w14:paraId="3D8D4DAD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70E9B32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08B8A35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5</w:t>
            </w:r>
          </w:p>
        </w:tc>
      </w:tr>
      <w:tr w:rsidR="008D3152" w:rsidRPr="004E0E47" w14:paraId="30ED3E02" w14:textId="77777777" w:rsidTr="008A6F77">
        <w:trPr>
          <w:cantSplit/>
          <w:trHeight w:hRule="exact" w:val="284"/>
        </w:trPr>
        <w:tc>
          <w:tcPr>
            <w:tcW w:w="1809" w:type="dxa"/>
            <w:tcBorders>
              <w:top w:val="nil"/>
              <w:bottom w:val="nil"/>
            </w:tcBorders>
            <w:vAlign w:val="center"/>
          </w:tcPr>
          <w:p w14:paraId="3FCA080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44A388A7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0BE55C5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13</w:t>
            </w:r>
          </w:p>
        </w:tc>
      </w:tr>
      <w:tr w:rsidR="008D3152" w:rsidRPr="004E0E47" w14:paraId="33D4CFCC" w14:textId="77777777" w:rsidTr="008A6F77">
        <w:trPr>
          <w:cantSplit/>
          <w:trHeight w:hRule="exact" w:val="284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vAlign w:val="center"/>
          </w:tcPr>
          <w:p w14:paraId="1870AB9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vAlign w:val="center"/>
          </w:tcPr>
          <w:p w14:paraId="3573AA0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14EB725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</w:t>
            </w:r>
          </w:p>
        </w:tc>
      </w:tr>
      <w:tr w:rsidR="008D3152" w:rsidRPr="004E0E47" w14:paraId="52234C4D" w14:textId="77777777" w:rsidTr="008A6F77">
        <w:trPr>
          <w:cantSplit/>
          <w:trHeight w:hRule="exact" w:val="284"/>
        </w:trPr>
        <w:tc>
          <w:tcPr>
            <w:tcW w:w="1809" w:type="dxa"/>
            <w:tcBorders>
              <w:bottom w:val="nil"/>
            </w:tcBorders>
            <w:vAlign w:val="center"/>
          </w:tcPr>
          <w:p w14:paraId="0634984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2AC2CD7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E50F067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11</w:t>
            </w:r>
          </w:p>
        </w:tc>
      </w:tr>
      <w:tr w:rsidR="008D3152" w:rsidRPr="004E0E47" w14:paraId="655B162E" w14:textId="77777777" w:rsidTr="008A6F77">
        <w:trPr>
          <w:cantSplit/>
          <w:trHeight w:hRule="exact" w:val="284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vAlign w:val="center"/>
          </w:tcPr>
          <w:p w14:paraId="2F32F83F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vAlign w:val="center"/>
          </w:tcPr>
          <w:p w14:paraId="516A4D4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624303A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9</w:t>
            </w:r>
          </w:p>
        </w:tc>
      </w:tr>
      <w:tr w:rsidR="008D3152" w:rsidRPr="004E0E47" w14:paraId="3DCD9E00" w14:textId="77777777" w:rsidTr="008A6F77">
        <w:trPr>
          <w:cantSplit/>
          <w:trHeight w:hRule="exact" w:val="284"/>
        </w:trPr>
        <w:tc>
          <w:tcPr>
            <w:tcW w:w="4928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26EDF50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left"/>
              <w:rPr>
                <w:rFonts w:ascii="Helvetica" w:hAnsi="Helvetica" w:cs="Helvetica"/>
                <w:b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sz w:val="16"/>
                <w:szCs w:val="16"/>
              </w:rPr>
              <w:t>Hormone receptor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</w:tcBorders>
            <w:vAlign w:val="center"/>
          </w:tcPr>
          <w:p w14:paraId="227A02E4" w14:textId="77777777" w:rsidR="008D3152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8D3152" w:rsidRPr="004E0E47" w14:paraId="45F4F86C" w14:textId="77777777" w:rsidTr="008A6F77">
        <w:trPr>
          <w:cantSplit/>
          <w:trHeight w:val="296"/>
        </w:trPr>
        <w:tc>
          <w:tcPr>
            <w:tcW w:w="1809" w:type="dxa"/>
            <w:tcBorders>
              <w:top w:val="nil"/>
              <w:bottom w:val="nil"/>
            </w:tcBorders>
          </w:tcPr>
          <w:p w14:paraId="1433302F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0ACC27CF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positive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51FF48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9</w:t>
            </w:r>
          </w:p>
        </w:tc>
      </w:tr>
      <w:tr w:rsidR="008D3152" w:rsidRPr="004E0E47" w14:paraId="658B961D" w14:textId="77777777" w:rsidTr="008A6F77">
        <w:trPr>
          <w:cantSplit/>
          <w:trHeight w:val="296"/>
        </w:trPr>
        <w:tc>
          <w:tcPr>
            <w:tcW w:w="1809" w:type="dxa"/>
            <w:tcBorders>
              <w:top w:val="nil"/>
              <w:bottom w:val="nil"/>
            </w:tcBorders>
          </w:tcPr>
          <w:p w14:paraId="61EB1A1A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1355539B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negative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B7513F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11</w:t>
            </w:r>
          </w:p>
        </w:tc>
      </w:tr>
      <w:tr w:rsidR="008D3152" w:rsidRPr="004E0E47" w14:paraId="413CEF1E" w14:textId="77777777" w:rsidTr="008A6F77">
        <w:trPr>
          <w:cantSplit/>
          <w:trHeight w:val="296"/>
        </w:trPr>
        <w:tc>
          <w:tcPr>
            <w:tcW w:w="1809" w:type="dxa"/>
            <w:tcBorders>
              <w:top w:val="nil"/>
              <w:bottom w:val="nil"/>
            </w:tcBorders>
          </w:tcPr>
          <w:p w14:paraId="370AB6E5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PR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117394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positive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2FDE4B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7</w:t>
            </w:r>
          </w:p>
        </w:tc>
      </w:tr>
      <w:tr w:rsidR="008D3152" w:rsidRPr="004E0E47" w14:paraId="3C920997" w14:textId="77777777" w:rsidTr="008A6F77">
        <w:trPr>
          <w:cantSplit/>
          <w:trHeight w:val="296"/>
        </w:trPr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14:paraId="59AE1E2D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07C87ABE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negative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1198F0F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13</w:t>
            </w:r>
          </w:p>
        </w:tc>
      </w:tr>
      <w:tr w:rsidR="008D3152" w:rsidRPr="004E0E47" w14:paraId="0623D3D5" w14:textId="77777777" w:rsidTr="008A6F77">
        <w:trPr>
          <w:cantSplit/>
          <w:trHeight w:val="296"/>
        </w:trPr>
        <w:tc>
          <w:tcPr>
            <w:tcW w:w="1809" w:type="dxa"/>
            <w:tcBorders>
              <w:bottom w:val="nil"/>
            </w:tcBorders>
          </w:tcPr>
          <w:p w14:paraId="4986C93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HER2</w:t>
            </w:r>
          </w:p>
        </w:tc>
        <w:tc>
          <w:tcPr>
            <w:tcW w:w="3119" w:type="dxa"/>
            <w:tcBorders>
              <w:bottom w:val="nil"/>
            </w:tcBorders>
          </w:tcPr>
          <w:p w14:paraId="52E1F0E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positive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0E401BF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4</w:t>
            </w:r>
          </w:p>
        </w:tc>
      </w:tr>
      <w:tr w:rsidR="008D3152" w:rsidRPr="004E0E47" w14:paraId="0EEC9E3F" w14:textId="77777777" w:rsidTr="008A6F77">
        <w:trPr>
          <w:cantSplit/>
          <w:trHeight w:val="296"/>
        </w:trPr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14:paraId="278244E2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4B9955E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sz w:val="16"/>
                <w:szCs w:val="16"/>
              </w:rPr>
              <w:t>negative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5481B43E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16</w:t>
            </w:r>
          </w:p>
        </w:tc>
      </w:tr>
      <w:tr w:rsidR="008D3152" w:rsidRPr="004E0E47" w14:paraId="6F07089F" w14:textId="77777777" w:rsidTr="008A6F77">
        <w:trPr>
          <w:cantSplit/>
          <w:trHeight w:val="296"/>
        </w:trPr>
        <w:tc>
          <w:tcPr>
            <w:tcW w:w="4928" w:type="dxa"/>
            <w:gridSpan w:val="2"/>
            <w:tcBorders>
              <w:bottom w:val="nil"/>
            </w:tcBorders>
          </w:tcPr>
          <w:p w14:paraId="267F83B2" w14:textId="77777777" w:rsidR="008D3152" w:rsidRPr="004E0E47" w:rsidRDefault="008D3152" w:rsidP="005C6ED2">
            <w:pPr>
              <w:widowControl/>
              <w:snapToGrid w:val="0"/>
              <w:spacing w:before="100" w:beforeAutospacing="1" w:after="100" w:afterAutospacing="1" w:line="360" w:lineRule="auto"/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  <w:t>menopausal</w:t>
            </w:r>
            <w:proofErr w:type="gramEnd"/>
            <w:r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  <w:t xml:space="preserve"> status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4EC0EF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8D3152" w:rsidRPr="004E0E47" w14:paraId="27B6F660" w14:textId="77777777" w:rsidTr="008A6F77">
        <w:trPr>
          <w:cantSplit/>
          <w:trHeight w:val="296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7BE2B55E" w14:textId="77777777" w:rsidR="008D3152" w:rsidRPr="004E0E47" w:rsidRDefault="008D3152" w:rsidP="005C6ED2">
            <w:pPr>
              <w:widowControl/>
              <w:snapToGrid w:val="0"/>
              <w:spacing w:before="100" w:beforeAutospacing="1" w:after="100" w:afterAutospacing="1" w:line="360" w:lineRule="auto"/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4E0E47"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  <w:t>premenopausal</w:t>
            </w:r>
            <w:proofErr w:type="gramEnd"/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354CFD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7</w:t>
            </w:r>
          </w:p>
        </w:tc>
      </w:tr>
      <w:tr w:rsidR="008D3152" w:rsidRPr="004E0E47" w14:paraId="2FF5847B" w14:textId="77777777" w:rsidTr="008A6F77">
        <w:trPr>
          <w:cantSplit/>
          <w:trHeight w:val="296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3116975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postmenopausal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AB8D5F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12</w:t>
            </w:r>
          </w:p>
        </w:tc>
      </w:tr>
      <w:tr w:rsidR="008D3152" w:rsidRPr="004E0E47" w14:paraId="4E4FD1C8" w14:textId="77777777" w:rsidTr="008A6F77">
        <w:trPr>
          <w:cantSplit/>
          <w:trHeight w:val="296"/>
        </w:trPr>
        <w:tc>
          <w:tcPr>
            <w:tcW w:w="4928" w:type="dxa"/>
            <w:gridSpan w:val="2"/>
            <w:tcBorders>
              <w:top w:val="nil"/>
              <w:bottom w:val="single" w:sz="4" w:space="0" w:color="auto"/>
            </w:tcBorders>
          </w:tcPr>
          <w:p w14:paraId="78E8200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hysterectomy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C22637E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</w:t>
            </w:r>
          </w:p>
        </w:tc>
      </w:tr>
      <w:tr w:rsidR="008D3152" w:rsidRPr="004E0E47" w14:paraId="7EF61EE8" w14:textId="77777777" w:rsidTr="008A6F77">
        <w:trPr>
          <w:cantSplit/>
          <w:trHeight w:val="576"/>
        </w:trPr>
        <w:tc>
          <w:tcPr>
            <w:tcW w:w="4928" w:type="dxa"/>
            <w:gridSpan w:val="2"/>
            <w:tcBorders>
              <w:bottom w:val="nil"/>
            </w:tcBorders>
          </w:tcPr>
          <w:p w14:paraId="672FCCFB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16"/>
              </w:rPr>
              <w:t>chemotherapy regimen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FD7A58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8D3152" w:rsidRPr="004E0E47" w14:paraId="446A8CBD" w14:textId="77777777" w:rsidTr="008A6F77">
        <w:trPr>
          <w:cantSplit/>
          <w:trHeight w:val="576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430C9594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anthracycline-based (followed by taxane</w:t>
            </w:r>
            <w:r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 &lt; + Trastuzumab&gt;)</w:t>
            </w: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4D32CCD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7 (5 &lt;1&gt;)</w:t>
            </w:r>
          </w:p>
        </w:tc>
      </w:tr>
      <w:tr w:rsidR="008D3152" w:rsidRPr="004E0E47" w14:paraId="321DEEE8" w14:textId="77777777" w:rsidTr="008A6F77">
        <w:trPr>
          <w:cantSplit/>
          <w:trHeight w:val="576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46A60773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taxane-based </w:t>
            </w:r>
            <w:r w:rsidRPr="004E0E47"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  <w:t>(followed by anthracycline)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A78A9FB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5 (2)</w:t>
            </w:r>
          </w:p>
        </w:tc>
      </w:tr>
      <w:tr w:rsidR="008D3152" w:rsidRPr="004E0E47" w14:paraId="04B82AD2" w14:textId="77777777" w:rsidTr="008A6F77">
        <w:trPr>
          <w:cantSplit/>
          <w:trHeight w:val="577"/>
        </w:trPr>
        <w:tc>
          <w:tcPr>
            <w:tcW w:w="4928" w:type="dxa"/>
            <w:gridSpan w:val="2"/>
            <w:tcBorders>
              <w:top w:val="nil"/>
              <w:bottom w:val="single" w:sz="4" w:space="0" w:color="auto"/>
            </w:tcBorders>
          </w:tcPr>
          <w:p w14:paraId="41630343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 xml:space="preserve">platinum-based </w:t>
            </w:r>
            <w:r w:rsidRPr="004E0E47">
              <w:rPr>
                <w:rFonts w:ascii="Helvetica" w:eastAsia="ＭＳ Ｐゴシック" w:hAnsi="Helvetica" w:cs="Helvetica"/>
                <w:b/>
                <w:bCs/>
                <w:color w:val="000000"/>
                <w:sz w:val="16"/>
                <w:szCs w:val="16"/>
              </w:rPr>
              <w:t>(followed by anthracycline)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0E80F809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8 (3)</w:t>
            </w:r>
          </w:p>
        </w:tc>
      </w:tr>
      <w:tr w:rsidR="008D3152" w:rsidRPr="004E0E47" w14:paraId="130D8BC2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bottom w:val="nil"/>
            </w:tcBorders>
          </w:tcPr>
          <w:p w14:paraId="284F5A9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16"/>
              </w:rPr>
              <w:t>pathological response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752EAFC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8D3152" w:rsidRPr="004E0E47" w14:paraId="7C759B68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09B74C86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pCR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7FF6940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5</w:t>
            </w:r>
          </w:p>
        </w:tc>
      </w:tr>
      <w:tr w:rsidR="008D3152" w:rsidRPr="004E0E47" w14:paraId="54DD4051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top w:val="nil"/>
              <w:bottom w:val="single" w:sz="4" w:space="0" w:color="auto"/>
            </w:tcBorders>
          </w:tcPr>
          <w:p w14:paraId="46D7D8D8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non-pCR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61A6BE3E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15</w:t>
            </w:r>
          </w:p>
        </w:tc>
      </w:tr>
      <w:tr w:rsidR="008D3152" w:rsidRPr="004E0E47" w14:paraId="549682D4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bottom w:val="nil"/>
            </w:tcBorders>
          </w:tcPr>
          <w:p w14:paraId="46F93D90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sz w:val="16"/>
                <w:szCs w:val="16"/>
              </w:rPr>
              <w:t>clinical response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2BBAADB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8D3152" w:rsidRPr="004E0E47" w14:paraId="24E8A896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top w:val="nil"/>
              <w:bottom w:val="nil"/>
            </w:tcBorders>
          </w:tcPr>
          <w:p w14:paraId="2D25CEBE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responder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E790CB1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14</w:t>
            </w:r>
          </w:p>
        </w:tc>
      </w:tr>
      <w:tr w:rsidR="008D3152" w:rsidRPr="004E0E47" w14:paraId="46934362" w14:textId="77777777" w:rsidTr="008A6F77">
        <w:trPr>
          <w:cantSplit/>
          <w:trHeight w:val="300"/>
        </w:trPr>
        <w:tc>
          <w:tcPr>
            <w:tcW w:w="4928" w:type="dxa"/>
            <w:gridSpan w:val="2"/>
            <w:tcBorders>
              <w:top w:val="nil"/>
              <w:bottom w:val="single" w:sz="4" w:space="0" w:color="auto"/>
            </w:tcBorders>
          </w:tcPr>
          <w:p w14:paraId="0C984482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rPr>
                <w:rFonts w:ascii="Helvetica" w:hAnsi="Helvetica" w:cs="Helvetica"/>
                <w:b/>
                <w:bCs/>
                <w:sz w:val="16"/>
                <w:szCs w:val="16"/>
              </w:rPr>
            </w:pPr>
            <w:r w:rsidRPr="004E0E47">
              <w:rPr>
                <w:rFonts w:ascii="Helvetica" w:hAnsi="Helvetica" w:cs="Helvetica"/>
                <w:b/>
                <w:bCs/>
                <w:sz w:val="16"/>
                <w:szCs w:val="16"/>
              </w:rPr>
              <w:t>non-responder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4888E3AD" w14:textId="77777777" w:rsidR="008D3152" w:rsidRPr="004E0E47" w:rsidRDefault="008D3152" w:rsidP="005C6ED2">
            <w:pPr>
              <w:pStyle w:val="EndNoteBibliography"/>
              <w:snapToGrid w:val="0"/>
              <w:spacing w:before="100" w:beforeAutospacing="1" w:after="100" w:afterAutospacing="1" w:line="360" w:lineRule="auto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6</w:t>
            </w:r>
          </w:p>
        </w:tc>
      </w:tr>
    </w:tbl>
    <w:p w14:paraId="1A8CD0C8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27325BC1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51F6BF72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021B6B6F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70F52DD4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08EC1A2E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64B4FA00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0DE7C10C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0EE5A42E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1AD842BE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7585382E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12C92FA7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4B35E5B8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6DBAABB1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2D599C10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61C4E7E7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5A017DCE" w14:textId="77777777" w:rsidR="008D3152" w:rsidRDefault="008D3152" w:rsidP="008D3152">
      <w:pPr>
        <w:spacing w:line="360" w:lineRule="auto"/>
        <w:rPr>
          <w:rFonts w:ascii="Helvetica" w:hAnsi="Helvetica" w:cs="Helvetica"/>
          <w:sz w:val="16"/>
          <w:szCs w:val="16"/>
        </w:rPr>
      </w:pPr>
    </w:p>
    <w:p w14:paraId="06442F77" w14:textId="77777777" w:rsidR="008D3152" w:rsidRPr="004E0E47" w:rsidRDefault="008D3152" w:rsidP="008A6F77">
      <w:pPr>
        <w:rPr>
          <w:sz w:val="16"/>
          <w:szCs w:val="16"/>
        </w:rPr>
      </w:pPr>
      <w:r w:rsidRPr="004E0E47">
        <w:rPr>
          <w:rFonts w:ascii="Helvetica" w:hAnsi="Helvetica" w:cs="Helvetica"/>
          <w:sz w:val="16"/>
          <w:szCs w:val="16"/>
        </w:rPr>
        <w:t>ER, estrogen receptor; PR,</w:t>
      </w:r>
      <w:r>
        <w:rPr>
          <w:rFonts w:ascii="Helvetica" w:hAnsi="Helvetica" w:cs="Helvetica"/>
          <w:sz w:val="16"/>
          <w:szCs w:val="16"/>
        </w:rPr>
        <w:t xml:space="preserve"> progesterone receptor; HER2</w:t>
      </w:r>
      <w:r w:rsidRPr="004E0E47">
        <w:rPr>
          <w:rFonts w:ascii="Helvetica" w:hAnsi="Helvetica" w:cs="Helvetica"/>
          <w:sz w:val="16"/>
          <w:szCs w:val="16"/>
        </w:rPr>
        <w:t xml:space="preserve">, </w:t>
      </w:r>
      <w:r w:rsidRPr="00361FE0">
        <w:rPr>
          <w:rStyle w:val="FontStyle28"/>
          <w:rFonts w:ascii="Helvetica" w:hAnsi="Helvetica" w:cs="Helvetica"/>
          <w:b w:val="0"/>
          <w:bCs/>
          <w:szCs w:val="16"/>
          <w:lang w:eastAsia="en-US"/>
        </w:rPr>
        <w:t>human epidermal growth factor receptor type 2</w:t>
      </w:r>
      <w:r w:rsidRPr="004E0E47">
        <w:rPr>
          <w:rFonts w:ascii="Helvetica" w:hAnsi="Helvetica" w:cs="Helvetica"/>
          <w:sz w:val="16"/>
          <w:szCs w:val="16"/>
        </w:rPr>
        <w:t xml:space="preserve">; </w:t>
      </w:r>
      <w:proofErr w:type="spellStart"/>
      <w:r w:rsidRPr="004E0E47">
        <w:rPr>
          <w:rFonts w:ascii="Helvetica" w:hAnsi="Helvetica" w:cs="Helvetica"/>
          <w:sz w:val="16"/>
          <w:szCs w:val="16"/>
        </w:rPr>
        <w:t>pCR</w:t>
      </w:r>
      <w:proofErr w:type="spellEnd"/>
      <w:r w:rsidRPr="004E0E47">
        <w:rPr>
          <w:rFonts w:ascii="Helvetica" w:hAnsi="Helvetica" w:cs="Helvetica"/>
          <w:sz w:val="16"/>
          <w:szCs w:val="16"/>
        </w:rPr>
        <w:t xml:space="preserve">, pathological complete response </w:t>
      </w:r>
    </w:p>
    <w:p w14:paraId="00DDA3BA" w14:textId="77777777" w:rsidR="008D3152" w:rsidRDefault="008D3152" w:rsidP="008D3152"/>
    <w:p w14:paraId="5C32A85D" w14:textId="10D476AC" w:rsidR="00DF5764" w:rsidRDefault="00DF5764">
      <w:pPr>
        <w:widowControl/>
        <w:jc w:val="left"/>
        <w:rPr>
          <w:rFonts w:ascii="Helvetica" w:eastAsia="Arial Unicode MS" w:hAnsi="Helvetica" w:cs="Helvetica"/>
          <w:b/>
          <w:bCs/>
          <w:noProof/>
          <w:kern w:val="0"/>
          <w:sz w:val="16"/>
          <w:szCs w:val="16"/>
        </w:rPr>
      </w:pPr>
      <w:bookmarkStart w:id="0" w:name="_GoBack"/>
      <w:bookmarkEnd w:id="0"/>
    </w:p>
    <w:sectPr w:rsidR="00DF5764" w:rsidSect="00721521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220DAC" w14:textId="77777777" w:rsidR="00FF12FA" w:rsidRDefault="00FF12FA" w:rsidP="00310D23">
      <w:r>
        <w:separator/>
      </w:r>
    </w:p>
  </w:endnote>
  <w:endnote w:type="continuationSeparator" w:id="0">
    <w:p w14:paraId="40A2229C" w14:textId="77777777" w:rsidR="00FF12FA" w:rsidRDefault="00FF12FA" w:rsidP="0031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6E3D92" w14:textId="77777777" w:rsidR="00FF12FA" w:rsidRDefault="00FF12FA" w:rsidP="00310D23">
      <w:r>
        <w:separator/>
      </w:r>
    </w:p>
  </w:footnote>
  <w:footnote w:type="continuationSeparator" w:id="0">
    <w:p w14:paraId="0C7AC65D" w14:textId="77777777" w:rsidR="00FF12FA" w:rsidRDefault="00FF12FA" w:rsidP="00310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C14"/>
    <w:rsid w:val="00037247"/>
    <w:rsid w:val="00310D23"/>
    <w:rsid w:val="00336C14"/>
    <w:rsid w:val="00361FE0"/>
    <w:rsid w:val="00721521"/>
    <w:rsid w:val="0082440E"/>
    <w:rsid w:val="0088560E"/>
    <w:rsid w:val="008A6F77"/>
    <w:rsid w:val="008D3152"/>
    <w:rsid w:val="00BE0F54"/>
    <w:rsid w:val="00DF5764"/>
    <w:rsid w:val="00E05CD8"/>
    <w:rsid w:val="00E56743"/>
    <w:rsid w:val="00FA57CE"/>
    <w:rsid w:val="00FF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0261E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C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C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6C14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6C14"/>
    <w:rPr>
      <w:rFonts w:ascii="ヒラギノ角ゴ ProN W3" w:eastAsia="ヒラギノ角ゴ ProN W3"/>
      <w:sz w:val="18"/>
      <w:szCs w:val="18"/>
    </w:rPr>
  </w:style>
  <w:style w:type="character" w:customStyle="1" w:styleId="FontStyle28">
    <w:name w:val="Font Style28"/>
    <w:rsid w:val="00361FE0"/>
    <w:rPr>
      <w:rFonts w:ascii="Arial Unicode MS" w:eastAsia="Arial Unicode MS"/>
      <w:b/>
      <w:color w:val="000000"/>
      <w:sz w:val="16"/>
    </w:rPr>
  </w:style>
  <w:style w:type="paragraph" w:customStyle="1" w:styleId="EndNoteBibliography">
    <w:name w:val="EndNote Bibliography"/>
    <w:basedOn w:val="a"/>
    <w:rsid w:val="00361FE0"/>
    <w:pPr>
      <w:autoSpaceDE w:val="0"/>
      <w:autoSpaceDN w:val="0"/>
      <w:adjustRightInd w:val="0"/>
    </w:pPr>
    <w:rPr>
      <w:rFonts w:ascii="Arial Unicode MS" w:eastAsia="Arial Unicode MS" w:hAnsi="Arial Unicode MS" w:cs="Arial Unicode MS"/>
      <w:noProof/>
      <w:kern w:val="0"/>
    </w:rPr>
  </w:style>
  <w:style w:type="paragraph" w:styleId="a6">
    <w:name w:val="header"/>
    <w:basedOn w:val="a"/>
    <w:link w:val="a7"/>
    <w:uiPriority w:val="99"/>
    <w:unhideWhenUsed/>
    <w:rsid w:val="00310D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D23"/>
  </w:style>
  <w:style w:type="paragraph" w:styleId="a8">
    <w:name w:val="footer"/>
    <w:basedOn w:val="a"/>
    <w:link w:val="a9"/>
    <w:uiPriority w:val="99"/>
    <w:unhideWhenUsed/>
    <w:rsid w:val="00310D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D2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C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C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6C14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6C14"/>
    <w:rPr>
      <w:rFonts w:ascii="ヒラギノ角ゴ ProN W3" w:eastAsia="ヒラギノ角ゴ ProN W3"/>
      <w:sz w:val="18"/>
      <w:szCs w:val="18"/>
    </w:rPr>
  </w:style>
  <w:style w:type="character" w:customStyle="1" w:styleId="FontStyle28">
    <w:name w:val="Font Style28"/>
    <w:rsid w:val="00361FE0"/>
    <w:rPr>
      <w:rFonts w:ascii="Arial Unicode MS" w:eastAsia="Arial Unicode MS"/>
      <w:b/>
      <w:color w:val="000000"/>
      <w:sz w:val="16"/>
    </w:rPr>
  </w:style>
  <w:style w:type="paragraph" w:customStyle="1" w:styleId="EndNoteBibliography">
    <w:name w:val="EndNote Bibliography"/>
    <w:basedOn w:val="a"/>
    <w:rsid w:val="00361FE0"/>
    <w:pPr>
      <w:autoSpaceDE w:val="0"/>
      <w:autoSpaceDN w:val="0"/>
      <w:adjustRightInd w:val="0"/>
    </w:pPr>
    <w:rPr>
      <w:rFonts w:ascii="Arial Unicode MS" w:eastAsia="Arial Unicode MS" w:hAnsi="Arial Unicode MS" w:cs="Arial Unicode MS"/>
      <w:noProof/>
      <w:kern w:val="0"/>
    </w:rPr>
  </w:style>
  <w:style w:type="paragraph" w:styleId="a6">
    <w:name w:val="header"/>
    <w:basedOn w:val="a"/>
    <w:link w:val="a7"/>
    <w:uiPriority w:val="99"/>
    <w:unhideWhenUsed/>
    <w:rsid w:val="00310D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D23"/>
  </w:style>
  <w:style w:type="paragraph" w:styleId="a8">
    <w:name w:val="footer"/>
    <w:basedOn w:val="a"/>
    <w:link w:val="a9"/>
    <w:uiPriority w:val="99"/>
    <w:unhideWhenUsed/>
    <w:rsid w:val="00310D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Macintosh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 Sunao</dc:creator>
  <cp:keywords/>
  <dc:description/>
  <cp:lastModifiedBy>Tanaka Sunao</cp:lastModifiedBy>
  <cp:revision>3</cp:revision>
  <dcterms:created xsi:type="dcterms:W3CDTF">2016-11-08T07:13:00Z</dcterms:created>
  <dcterms:modified xsi:type="dcterms:W3CDTF">2016-11-09T01:18:00Z</dcterms:modified>
</cp:coreProperties>
</file>