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7912E" w14:textId="77777777" w:rsidR="0080185C" w:rsidRDefault="0080185C" w:rsidP="004671A3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spacing w:val="3"/>
          <w:sz w:val="24"/>
          <w:szCs w:val="24"/>
        </w:rPr>
      </w:pPr>
      <w:r w:rsidRPr="0080185C">
        <w:rPr>
          <w:rFonts w:ascii="Arial" w:eastAsia="Times New Roman" w:hAnsi="Arial" w:cs="Arial"/>
          <w:b/>
          <w:spacing w:val="3"/>
          <w:sz w:val="24"/>
          <w:szCs w:val="24"/>
        </w:rPr>
        <w:fldChar w:fldCharType="begin"/>
      </w:r>
      <w:r w:rsidRPr="0080185C">
        <w:rPr>
          <w:rFonts w:ascii="Arial" w:eastAsia="Times New Roman" w:hAnsi="Arial" w:cs="Arial"/>
          <w:b/>
          <w:spacing w:val="3"/>
          <w:sz w:val="24"/>
          <w:szCs w:val="24"/>
        </w:rPr>
        <w:instrText xml:space="preserve"> HYPERLINK "https://static-content.springer.com/esm/art%3A10.1038%2Fs41698-017-0011-4/MediaObjects/41698_2017_11_MOESM1_ESM.docx" </w:instrText>
      </w:r>
      <w:r w:rsidRPr="0080185C">
        <w:rPr>
          <w:rFonts w:ascii="Arial" w:eastAsia="Times New Roman" w:hAnsi="Arial" w:cs="Arial"/>
          <w:b/>
          <w:spacing w:val="3"/>
          <w:sz w:val="24"/>
          <w:szCs w:val="24"/>
        </w:rPr>
        <w:fldChar w:fldCharType="separate"/>
      </w:r>
      <w:r w:rsidRPr="004671A3">
        <w:rPr>
          <w:rFonts w:ascii="Arial" w:eastAsia="Times New Roman" w:hAnsi="Arial" w:cs="Arial"/>
          <w:b/>
          <w:spacing w:val="3"/>
          <w:sz w:val="24"/>
          <w:szCs w:val="24"/>
        </w:rPr>
        <w:t>Supplemental Figure Legend</w:t>
      </w:r>
      <w:r w:rsidRPr="0080185C">
        <w:rPr>
          <w:rFonts w:ascii="Arial" w:eastAsia="Times New Roman" w:hAnsi="Arial" w:cs="Arial"/>
          <w:b/>
          <w:spacing w:val="3"/>
          <w:sz w:val="24"/>
          <w:szCs w:val="24"/>
        </w:rPr>
        <w:fldChar w:fldCharType="end"/>
      </w:r>
    </w:p>
    <w:p w14:paraId="41CE884B" w14:textId="77777777" w:rsidR="004671A3" w:rsidRPr="0080185C" w:rsidRDefault="004671A3" w:rsidP="004671A3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spacing w:val="3"/>
          <w:sz w:val="24"/>
          <w:szCs w:val="24"/>
        </w:rPr>
      </w:pPr>
    </w:p>
    <w:p w14:paraId="2F772B94" w14:textId="0C907CF4" w:rsidR="004671A3" w:rsidRPr="004671A3" w:rsidRDefault="004671A3" w:rsidP="004671A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671A3">
        <w:rPr>
          <w:rFonts w:ascii="Arial" w:hAnsi="Arial" w:cs="Arial"/>
          <w:b/>
          <w:sz w:val="24"/>
          <w:szCs w:val="24"/>
        </w:rPr>
        <w:t>Screening of natural compounds for identification</w:t>
      </w:r>
      <w:r w:rsidRPr="004671A3">
        <w:rPr>
          <w:rFonts w:ascii="Arial" w:hAnsi="Arial" w:cs="Arial"/>
          <w:b/>
          <w:sz w:val="24"/>
          <w:szCs w:val="24"/>
        </w:rPr>
        <w:t xml:space="preserve"> of synergistic combinations in </w:t>
      </w:r>
      <w:r w:rsidRPr="004671A3">
        <w:rPr>
          <w:rFonts w:ascii="Arial" w:hAnsi="Arial" w:cs="Arial"/>
          <w:b/>
          <w:sz w:val="24"/>
          <w:szCs w:val="24"/>
        </w:rPr>
        <w:t>prostate cancer</w:t>
      </w:r>
    </w:p>
    <w:p w14:paraId="7A4F06FC" w14:textId="77777777" w:rsidR="004671A3" w:rsidRPr="00FD6F03" w:rsidRDefault="004671A3" w:rsidP="004671A3">
      <w:pPr>
        <w:spacing w:after="0" w:line="240" w:lineRule="auto"/>
        <w:rPr>
          <w:rFonts w:ascii="Arial" w:hAnsi="Arial" w:cs="Arial"/>
        </w:rPr>
      </w:pPr>
    </w:p>
    <w:p w14:paraId="44CBD99F" w14:textId="77777777" w:rsidR="004671A3" w:rsidRPr="008264BD" w:rsidRDefault="004671A3" w:rsidP="004671A3">
      <w:pPr>
        <w:spacing w:after="0" w:line="240" w:lineRule="auto"/>
        <w:rPr>
          <w:rFonts w:ascii="Arial" w:hAnsi="Arial" w:cs="Arial"/>
        </w:rPr>
      </w:pPr>
      <w:r w:rsidRPr="008264BD">
        <w:rPr>
          <w:rFonts w:ascii="Arial" w:hAnsi="Arial" w:cs="Arial"/>
        </w:rPr>
        <w:t>Alessia Lodi</w:t>
      </w:r>
      <w:r w:rsidRPr="008264BD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,5</w:t>
      </w:r>
      <w:r w:rsidRPr="008264BD">
        <w:rPr>
          <w:rFonts w:ascii="Arial" w:hAnsi="Arial" w:cs="Arial"/>
        </w:rPr>
        <w:t xml:space="preserve">, </w:t>
      </w:r>
      <w:proofErr w:type="spellStart"/>
      <w:r w:rsidRPr="008264BD">
        <w:rPr>
          <w:rFonts w:ascii="Arial" w:hAnsi="Arial" w:cs="Arial"/>
        </w:rPr>
        <w:t>Achinto</w:t>
      </w:r>
      <w:proofErr w:type="spellEnd"/>
      <w:r w:rsidRPr="008264BD">
        <w:rPr>
          <w:rFonts w:ascii="Arial" w:hAnsi="Arial" w:cs="Arial"/>
        </w:rPr>
        <w:t xml:space="preserve"> Saha</w:t>
      </w:r>
      <w:r w:rsidRPr="008264BD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  <w:vertAlign w:val="superscript"/>
        </w:rPr>
        <w:t>,5</w:t>
      </w:r>
      <w:r w:rsidRPr="008264BD">
        <w:rPr>
          <w:rFonts w:ascii="Arial" w:hAnsi="Arial" w:cs="Arial"/>
        </w:rPr>
        <w:t>, Xiyuan Lu</w:t>
      </w:r>
      <w:r w:rsidRPr="008264BD">
        <w:rPr>
          <w:rFonts w:ascii="Arial" w:hAnsi="Arial" w:cs="Arial"/>
          <w:vertAlign w:val="superscript"/>
        </w:rPr>
        <w:t>1</w:t>
      </w:r>
      <w:r w:rsidRPr="008264BD">
        <w:rPr>
          <w:rFonts w:ascii="Arial" w:hAnsi="Arial" w:cs="Arial"/>
        </w:rPr>
        <w:t>, Bo Wang</w:t>
      </w:r>
      <w:r w:rsidRPr="008264BD">
        <w:rPr>
          <w:rFonts w:ascii="Arial" w:hAnsi="Arial" w:cs="Arial"/>
          <w:vertAlign w:val="superscript"/>
        </w:rPr>
        <w:t>1</w:t>
      </w:r>
      <w:r w:rsidRPr="008264BD">
        <w:rPr>
          <w:rFonts w:ascii="Arial" w:hAnsi="Arial" w:cs="Arial"/>
        </w:rPr>
        <w:t>, Enrique Sentandreu</w:t>
      </w:r>
      <w:r w:rsidRPr="008264BD">
        <w:rPr>
          <w:rFonts w:ascii="Arial" w:hAnsi="Arial" w:cs="Arial"/>
          <w:vertAlign w:val="superscript"/>
        </w:rPr>
        <w:t>1</w:t>
      </w:r>
      <w:r w:rsidRPr="008264B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Meghan Collins</w:t>
      </w:r>
      <w:r w:rsidRPr="008264BD">
        <w:rPr>
          <w:rFonts w:ascii="Arial" w:hAnsi="Arial" w:cs="Arial"/>
          <w:vertAlign w:val="superscript"/>
        </w:rPr>
        <w:t>1</w:t>
      </w:r>
      <w:r w:rsidRPr="008264BD">
        <w:rPr>
          <w:rFonts w:ascii="Arial" w:hAnsi="Arial" w:cs="Arial"/>
        </w:rPr>
        <w:t xml:space="preserve">, </w:t>
      </w:r>
      <w:r w:rsidRPr="00714DC7">
        <w:rPr>
          <w:rFonts w:ascii="Arial" w:hAnsi="Arial" w:cs="Arial"/>
        </w:rPr>
        <w:t>Mikhail G Kolonin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, </w:t>
      </w:r>
      <w:r w:rsidRPr="008264BD">
        <w:rPr>
          <w:rFonts w:ascii="Arial" w:hAnsi="Arial" w:cs="Arial"/>
        </w:rPr>
        <w:t>John DiGiovanni</w:t>
      </w:r>
      <w:r w:rsidRPr="008264BD">
        <w:rPr>
          <w:rFonts w:ascii="Arial" w:hAnsi="Arial" w:cs="Arial"/>
          <w:vertAlign w:val="superscript"/>
        </w:rPr>
        <w:t>2,3</w:t>
      </w:r>
      <w:r>
        <w:rPr>
          <w:rFonts w:ascii="Arial" w:hAnsi="Arial" w:cs="Arial"/>
          <w:vertAlign w:val="superscript"/>
        </w:rPr>
        <w:t>,*</w:t>
      </w:r>
      <w:r w:rsidRPr="008264BD">
        <w:rPr>
          <w:rFonts w:ascii="Arial" w:hAnsi="Arial" w:cs="Arial"/>
        </w:rPr>
        <w:t>, Stefano Tiziani</w:t>
      </w:r>
      <w:r w:rsidRPr="008264BD">
        <w:rPr>
          <w:rFonts w:ascii="Arial" w:hAnsi="Arial" w:cs="Arial"/>
          <w:vertAlign w:val="superscript"/>
        </w:rPr>
        <w:t>1,3</w:t>
      </w:r>
      <w:r>
        <w:rPr>
          <w:rFonts w:ascii="Arial" w:hAnsi="Arial" w:cs="Arial"/>
          <w:vertAlign w:val="superscript"/>
        </w:rPr>
        <w:t>,*</w:t>
      </w:r>
    </w:p>
    <w:p w14:paraId="054E34AE" w14:textId="77777777" w:rsidR="004671A3" w:rsidRDefault="004671A3" w:rsidP="004671A3">
      <w:pPr>
        <w:spacing w:after="0" w:line="240" w:lineRule="auto"/>
        <w:rPr>
          <w:rFonts w:ascii="Arial" w:hAnsi="Arial" w:cs="Arial"/>
          <w:b/>
          <w:bCs/>
        </w:rPr>
      </w:pPr>
    </w:p>
    <w:p w14:paraId="1CF77BBA" w14:textId="14B2FA9C" w:rsidR="00285519" w:rsidRDefault="00285519" w:rsidP="004671A3">
      <w:pPr>
        <w:spacing w:after="0" w:line="240" w:lineRule="auto"/>
        <w:rPr>
          <w:rFonts w:ascii="Arial" w:hAnsi="Arial" w:cs="Arial"/>
        </w:rPr>
      </w:pPr>
      <w:r w:rsidRPr="00285519">
        <w:rPr>
          <w:rFonts w:ascii="Arial" w:hAnsi="Arial" w:cs="Arial"/>
          <w:b/>
          <w:bCs/>
        </w:rPr>
        <w:t>Supplementary Figure 1: Comparison of the effect of therapeutic agents or combination of UA with CUR or RES on the growth/survival of PCa cells</w:t>
      </w:r>
      <w:r w:rsidRPr="00285519">
        <w:rPr>
          <w:rFonts w:ascii="Arial" w:hAnsi="Arial" w:cs="Arial"/>
        </w:rPr>
        <w:t>. Isolated mouse (HMVP2) and human (</w:t>
      </w:r>
      <w:proofErr w:type="spellStart"/>
      <w:r w:rsidRPr="00285519">
        <w:rPr>
          <w:rFonts w:ascii="Arial" w:hAnsi="Arial" w:cs="Arial"/>
        </w:rPr>
        <w:t>LNCaP</w:t>
      </w:r>
      <w:proofErr w:type="spellEnd"/>
      <w:r w:rsidRPr="00285519">
        <w:rPr>
          <w:rFonts w:ascii="Arial" w:hAnsi="Arial" w:cs="Arial"/>
        </w:rPr>
        <w:t xml:space="preserve"> a</w:t>
      </w:r>
      <w:bookmarkStart w:id="0" w:name="_GoBack"/>
      <w:bookmarkEnd w:id="0"/>
      <w:r w:rsidRPr="00285519">
        <w:rPr>
          <w:rFonts w:ascii="Arial" w:hAnsi="Arial" w:cs="Arial"/>
        </w:rPr>
        <w:t>nd PC-3) PCa cells (1–5 × 10</w:t>
      </w:r>
      <w:r w:rsidRPr="00285519">
        <w:rPr>
          <w:rFonts w:ascii="Arial" w:hAnsi="Arial" w:cs="Arial"/>
          <w:vertAlign w:val="superscript"/>
        </w:rPr>
        <w:t>3</w:t>
      </w:r>
      <w:r w:rsidRPr="00285519">
        <w:rPr>
          <w:rFonts w:ascii="Arial" w:hAnsi="Arial" w:cs="Arial"/>
        </w:rPr>
        <w:t xml:space="preserve">/well) were plated in 96 well tissue culture plates and treated with the indicated concentration of </w:t>
      </w:r>
      <w:proofErr w:type="spellStart"/>
      <w:r w:rsidRPr="00285519">
        <w:rPr>
          <w:rFonts w:ascii="Arial" w:hAnsi="Arial" w:cs="Arial"/>
        </w:rPr>
        <w:t>abiraterone</w:t>
      </w:r>
      <w:proofErr w:type="spellEnd"/>
      <w:r w:rsidRPr="00285519">
        <w:rPr>
          <w:rFonts w:ascii="Arial" w:hAnsi="Arial" w:cs="Arial"/>
        </w:rPr>
        <w:t xml:space="preserve">, </w:t>
      </w:r>
      <w:proofErr w:type="spellStart"/>
      <w:r w:rsidRPr="00285519">
        <w:rPr>
          <w:rFonts w:ascii="Arial" w:hAnsi="Arial" w:cs="Arial"/>
        </w:rPr>
        <w:t>enzalutamide</w:t>
      </w:r>
      <w:proofErr w:type="spellEnd"/>
      <w:r w:rsidRPr="00285519">
        <w:rPr>
          <w:rFonts w:ascii="Arial" w:hAnsi="Arial" w:cs="Arial"/>
        </w:rPr>
        <w:t xml:space="preserve">, </w:t>
      </w:r>
      <w:proofErr w:type="spellStart"/>
      <w:r w:rsidRPr="00285519">
        <w:rPr>
          <w:rFonts w:ascii="Arial" w:hAnsi="Arial" w:cs="Arial"/>
        </w:rPr>
        <w:t>docetaxel</w:t>
      </w:r>
      <w:proofErr w:type="spellEnd"/>
      <w:r w:rsidRPr="00285519">
        <w:rPr>
          <w:rFonts w:ascii="Arial" w:hAnsi="Arial" w:cs="Arial"/>
        </w:rPr>
        <w:t>, rapamycin, UA+RES or UA+CUR for 48h and cell growth/survival was measured by MTT assay. One-way ANOVA with significance at p&lt;0.05 was used. *P&lt;0.05, **P&lt;0.01, ***P&lt;0.001, ****P&lt;0.0001.</w:t>
      </w:r>
    </w:p>
    <w:p w14:paraId="3144DCB5" w14:textId="39D3E1C6" w:rsidR="00C836EF" w:rsidRDefault="00C836EF" w:rsidP="004671A3">
      <w:pPr>
        <w:spacing w:after="0" w:line="240" w:lineRule="auto"/>
        <w:rPr>
          <w:rFonts w:ascii="Arial" w:hAnsi="Arial" w:cs="Arial"/>
        </w:rPr>
      </w:pPr>
    </w:p>
    <w:p w14:paraId="1089307D" w14:textId="65B5EEF3" w:rsidR="00C836EF" w:rsidRPr="00285519" w:rsidRDefault="00C836EF" w:rsidP="004671A3">
      <w:pPr>
        <w:spacing w:after="0" w:line="240" w:lineRule="auto"/>
        <w:jc w:val="center"/>
        <w:rPr>
          <w:rFonts w:ascii="Arial" w:hAnsi="Arial" w:cs="Arial"/>
        </w:rPr>
      </w:pPr>
    </w:p>
    <w:p w14:paraId="4FCC8D3C" w14:textId="6C8732CD" w:rsidR="00C836EF" w:rsidRPr="00C836EF" w:rsidRDefault="00C836EF" w:rsidP="004671A3">
      <w:pPr>
        <w:spacing w:after="0" w:line="240" w:lineRule="auto"/>
        <w:rPr>
          <w:rFonts w:ascii="Arial" w:hAnsi="Arial" w:cs="Arial"/>
        </w:rPr>
      </w:pPr>
      <w:r w:rsidRPr="00C836EF">
        <w:rPr>
          <w:rFonts w:ascii="Arial" w:hAnsi="Arial" w:cs="Arial"/>
          <w:b/>
          <w:bCs/>
        </w:rPr>
        <w:t xml:space="preserve">Supplementary Figure 2. </w:t>
      </w:r>
      <w:r w:rsidRPr="00C836EF">
        <w:rPr>
          <w:rFonts w:ascii="Arial" w:hAnsi="Arial" w:cs="Arial"/>
          <w:b/>
          <w:bCs/>
          <w:i/>
          <w:iCs/>
        </w:rPr>
        <w:t xml:space="preserve">In vivo </w:t>
      </w:r>
      <w:r w:rsidRPr="00C836EF">
        <w:rPr>
          <w:rFonts w:ascii="Arial" w:hAnsi="Arial" w:cs="Arial"/>
          <w:b/>
          <w:bCs/>
        </w:rPr>
        <w:t xml:space="preserve">effect of docetaxel on HMVP2 allograft tumor and </w:t>
      </w:r>
      <w:r w:rsidRPr="00C836EF">
        <w:rPr>
          <w:rFonts w:ascii="Arial" w:hAnsi="Arial" w:cs="Arial"/>
          <w:b/>
          <w:bCs/>
          <w:i/>
          <w:iCs/>
        </w:rPr>
        <w:t>in vitro</w:t>
      </w:r>
      <w:r w:rsidRPr="00C836EF">
        <w:rPr>
          <w:rFonts w:ascii="Arial" w:hAnsi="Arial" w:cs="Arial"/>
          <w:b/>
          <w:bCs/>
        </w:rPr>
        <w:t xml:space="preserve"> cell growth. </w:t>
      </w:r>
      <w:r w:rsidRPr="00C836EF">
        <w:rPr>
          <w:rFonts w:ascii="Arial" w:hAnsi="Arial" w:cs="Arial"/>
        </w:rPr>
        <w:t xml:space="preserve">HMVP2 cell spheroids were injected subcutaneously into the flank of male FVB/N mice. 4 days after spheroid injection mice were treated (half of the drug volume intraperitoneally and the other half subcutaneously around the tumor) weekly with docetaxel (20 mg/kg body weight) for 4 consecutive weeks. Tumor volume (A) and tumor weight (B) are shown as mean ± SEM. Cell viability (as ATP bioluminescence, C) was measured </w:t>
      </w:r>
      <w:r w:rsidRPr="00C836EF">
        <w:rPr>
          <w:rFonts w:ascii="Arial" w:hAnsi="Arial" w:cs="Arial"/>
          <w:i/>
          <w:iCs/>
        </w:rPr>
        <w:t xml:space="preserve">in vitro </w:t>
      </w:r>
      <w:r w:rsidRPr="00C836EF">
        <w:rPr>
          <w:rFonts w:ascii="Arial" w:hAnsi="Arial" w:cs="Arial"/>
        </w:rPr>
        <w:t xml:space="preserve">in NMVP and HMVP2 cells treated with a range of doses (1 </w:t>
      </w:r>
      <w:proofErr w:type="spellStart"/>
      <w:r w:rsidRPr="00C836EF">
        <w:rPr>
          <w:rFonts w:ascii="Arial" w:hAnsi="Arial" w:cs="Arial"/>
        </w:rPr>
        <w:t>nM</w:t>
      </w:r>
      <w:proofErr w:type="spellEnd"/>
      <w:r w:rsidRPr="00C836EF">
        <w:rPr>
          <w:rFonts w:ascii="Arial" w:hAnsi="Arial" w:cs="Arial"/>
        </w:rPr>
        <w:t xml:space="preserve"> to 250 </w:t>
      </w:r>
      <w:proofErr w:type="spellStart"/>
      <w:r w:rsidRPr="00C836EF">
        <w:rPr>
          <w:rFonts w:ascii="Arial" w:hAnsi="Arial" w:cs="Arial"/>
        </w:rPr>
        <w:t>nM</w:t>
      </w:r>
      <w:proofErr w:type="spellEnd"/>
      <w:r w:rsidRPr="00C836EF">
        <w:rPr>
          <w:rFonts w:ascii="Arial" w:hAnsi="Arial" w:cs="Arial"/>
        </w:rPr>
        <w:t>) of docetaxel for 12 hours. ATP bioluminescence values were normalized to control and shown as mean ± SEM</w:t>
      </w:r>
      <w:proofErr w:type="gramStart"/>
      <w:r w:rsidRPr="00C836EF">
        <w:rPr>
          <w:rFonts w:ascii="Arial" w:hAnsi="Arial" w:cs="Arial"/>
        </w:rPr>
        <w:t>. .</w:t>
      </w:r>
      <w:proofErr w:type="gramEnd"/>
      <w:r w:rsidRPr="00C836EF">
        <w:rPr>
          <w:rFonts w:ascii="Arial" w:hAnsi="Arial" w:cs="Arial"/>
        </w:rPr>
        <w:t xml:space="preserve"> Two tailed Student’s t-test was performed; all comparison</w:t>
      </w:r>
      <w:r w:rsidR="004D6D5A">
        <w:rPr>
          <w:rFonts w:ascii="Arial" w:hAnsi="Arial" w:cs="Arial"/>
        </w:rPr>
        <w:t>s</w:t>
      </w:r>
      <w:r w:rsidRPr="00C836EF">
        <w:rPr>
          <w:rFonts w:ascii="Arial" w:hAnsi="Arial" w:cs="Arial"/>
        </w:rPr>
        <w:t xml:space="preserve"> were not significantly different (p&gt;0.05).  </w:t>
      </w:r>
    </w:p>
    <w:p w14:paraId="2C35C97B" w14:textId="0F9CC31D" w:rsidR="004714F4" w:rsidRDefault="004714F4" w:rsidP="004671A3">
      <w:pPr>
        <w:spacing w:after="0" w:line="240" w:lineRule="auto"/>
        <w:jc w:val="center"/>
        <w:rPr>
          <w:rFonts w:ascii="Arial" w:hAnsi="Arial" w:cs="Arial"/>
        </w:rPr>
      </w:pPr>
    </w:p>
    <w:p w14:paraId="7A21BE21" w14:textId="6CA187E7" w:rsidR="004714F4" w:rsidRPr="004714F4" w:rsidRDefault="004714F4" w:rsidP="004671A3">
      <w:pPr>
        <w:spacing w:after="0" w:line="240" w:lineRule="auto"/>
        <w:jc w:val="both"/>
        <w:rPr>
          <w:rFonts w:ascii="Arial" w:hAnsi="Arial" w:cs="Arial"/>
        </w:rPr>
      </w:pPr>
      <w:r w:rsidRPr="004714F4">
        <w:rPr>
          <w:rFonts w:ascii="Arial" w:hAnsi="Arial" w:cs="Arial"/>
          <w:b/>
          <w:bCs/>
        </w:rPr>
        <w:t xml:space="preserve">Supplementary Figure </w:t>
      </w:r>
      <w:r w:rsidR="00C836EF">
        <w:rPr>
          <w:rFonts w:ascii="Arial" w:hAnsi="Arial" w:cs="Arial"/>
          <w:b/>
          <w:bCs/>
        </w:rPr>
        <w:t>3</w:t>
      </w:r>
      <w:r w:rsidRPr="004714F4">
        <w:rPr>
          <w:rFonts w:ascii="Arial" w:hAnsi="Arial" w:cs="Arial"/>
          <w:b/>
          <w:bCs/>
        </w:rPr>
        <w:t xml:space="preserve">. Effect of treatment on relevant signaling pathways. </w:t>
      </w:r>
      <w:r w:rsidRPr="004714F4">
        <w:rPr>
          <w:rFonts w:ascii="Arial" w:hAnsi="Arial" w:cs="Arial"/>
        </w:rPr>
        <w:t xml:space="preserve">HMVP2 cells were treated for 6 or 24 hours with 20 </w:t>
      </w:r>
      <w:r w:rsidRPr="004714F4">
        <w:rPr>
          <w:rFonts w:ascii="Arial" w:hAnsi="Arial" w:cs="Arial"/>
          <w:lang w:val="el-GR"/>
        </w:rPr>
        <w:t>μ</w:t>
      </w:r>
      <w:r w:rsidRPr="004714F4">
        <w:rPr>
          <w:rFonts w:ascii="Arial" w:hAnsi="Arial" w:cs="Arial"/>
        </w:rPr>
        <w:t xml:space="preserve">M CUR, UA, RES or their combinations of 2 compounds. Phospho and total protein levels for STAT3, p70S6K, S6 and AMPK were measured by Western blotting. Western blotting were performed two times with </w:t>
      </w:r>
      <w:r w:rsidRPr="004714F4">
        <w:rPr>
          <w:rFonts w:ascii="Arial" w:hAnsi="Arial" w:cs="Arial"/>
          <w:lang w:val="el-GR"/>
        </w:rPr>
        <w:t>β</w:t>
      </w:r>
      <w:r w:rsidRPr="004714F4">
        <w:rPr>
          <w:rFonts w:ascii="Arial" w:hAnsi="Arial" w:cs="Arial"/>
        </w:rPr>
        <w:t>-actin controls for each experiment. Numbers above blots indicate band intensities (normalized to control).</w:t>
      </w:r>
    </w:p>
    <w:p w14:paraId="7B87E71B" w14:textId="18A3FF44" w:rsidR="004714F4" w:rsidRDefault="004714F4" w:rsidP="004671A3">
      <w:pPr>
        <w:spacing w:after="0" w:line="240" w:lineRule="auto"/>
        <w:jc w:val="center"/>
        <w:rPr>
          <w:rFonts w:ascii="Arial" w:hAnsi="Arial" w:cs="Arial"/>
        </w:rPr>
      </w:pPr>
    </w:p>
    <w:p w14:paraId="0537B59F" w14:textId="77777777" w:rsidR="00C817E6" w:rsidRPr="004714F4" w:rsidRDefault="00C836EF" w:rsidP="004671A3">
      <w:pPr>
        <w:spacing w:after="0" w:line="240" w:lineRule="auto"/>
        <w:jc w:val="both"/>
        <w:rPr>
          <w:rFonts w:ascii="Arial" w:hAnsi="Arial" w:cs="Arial"/>
        </w:rPr>
      </w:pPr>
      <w:r w:rsidRPr="00C836EF">
        <w:rPr>
          <w:rFonts w:ascii="Arial" w:hAnsi="Arial" w:cs="Arial"/>
          <w:b/>
          <w:bCs/>
        </w:rPr>
        <w:t xml:space="preserve">Supplementary Figure 4. Effect of treatment with metformin and rapamycin on AMPK and mTORC1 signaling pathways. </w:t>
      </w:r>
      <w:r w:rsidRPr="00C836EF">
        <w:rPr>
          <w:rFonts w:ascii="Arial" w:hAnsi="Arial" w:cs="Arial"/>
        </w:rPr>
        <w:t xml:space="preserve">HMVP2 and </w:t>
      </w:r>
      <w:proofErr w:type="spellStart"/>
      <w:r w:rsidRPr="00C836EF">
        <w:rPr>
          <w:rFonts w:ascii="Arial" w:hAnsi="Arial" w:cs="Arial"/>
        </w:rPr>
        <w:t>LNCaP</w:t>
      </w:r>
      <w:proofErr w:type="spellEnd"/>
      <w:r w:rsidRPr="00C836EF">
        <w:rPr>
          <w:rFonts w:ascii="Arial" w:hAnsi="Arial" w:cs="Arial"/>
        </w:rPr>
        <w:t xml:space="preserve"> cells were treated for 24 hours with 0.5 mM metformin or 1 </w:t>
      </w:r>
      <w:proofErr w:type="spellStart"/>
      <w:r w:rsidRPr="00C836EF">
        <w:rPr>
          <w:rFonts w:ascii="Arial" w:hAnsi="Arial" w:cs="Arial"/>
        </w:rPr>
        <w:t>nM</w:t>
      </w:r>
      <w:proofErr w:type="spellEnd"/>
      <w:r w:rsidRPr="00C836EF">
        <w:rPr>
          <w:rFonts w:ascii="Arial" w:hAnsi="Arial" w:cs="Arial"/>
        </w:rPr>
        <w:t xml:space="preserve"> rapamycin. The levels of the phospho- and total protein levels for AMPK, p70S6K and S6 were measured by Western blotting. </w:t>
      </w:r>
      <w:r w:rsidR="00C817E6" w:rsidRPr="004714F4">
        <w:rPr>
          <w:rFonts w:ascii="Arial" w:hAnsi="Arial" w:cs="Arial"/>
        </w:rPr>
        <w:t>Numbers above blots indicate band intensities (normalized to control).</w:t>
      </w:r>
    </w:p>
    <w:p w14:paraId="38DB3D5E" w14:textId="77777777" w:rsidR="00C836EF" w:rsidRDefault="00C836EF" w:rsidP="004671A3">
      <w:pPr>
        <w:spacing w:after="0" w:line="240" w:lineRule="auto"/>
        <w:rPr>
          <w:rFonts w:ascii="Arial" w:hAnsi="Arial" w:cs="Arial"/>
          <w:b/>
        </w:rPr>
      </w:pPr>
    </w:p>
    <w:p w14:paraId="21A0E982" w14:textId="77777777" w:rsidR="000D1E46" w:rsidRPr="00C817E6" w:rsidRDefault="000D1E46" w:rsidP="004671A3">
      <w:pPr>
        <w:spacing w:after="0" w:line="240" w:lineRule="auto"/>
        <w:rPr>
          <w:rFonts w:ascii="Arial" w:hAnsi="Arial" w:cs="Arial"/>
          <w:b/>
        </w:rPr>
      </w:pPr>
    </w:p>
    <w:p w14:paraId="37018D4C" w14:textId="77777777" w:rsidR="00EB7532" w:rsidRPr="00EB7532" w:rsidRDefault="00EB7532" w:rsidP="004671A3">
      <w:pPr>
        <w:spacing w:after="0" w:line="240" w:lineRule="auto"/>
        <w:jc w:val="both"/>
        <w:rPr>
          <w:rFonts w:ascii="Arial" w:hAnsi="Arial" w:cs="Arial"/>
        </w:rPr>
      </w:pPr>
      <w:r w:rsidRPr="00EB7532">
        <w:rPr>
          <w:rFonts w:ascii="Arial" w:hAnsi="Arial" w:cs="Arial"/>
          <w:b/>
          <w:bCs/>
        </w:rPr>
        <w:t xml:space="preserve">Supplementary Figure 5. The combination of CUR, UA and RES induces Stat3 inhibition and apoptosis in DU145 cells. </w:t>
      </w:r>
      <w:r w:rsidRPr="00EB7532">
        <w:rPr>
          <w:rFonts w:ascii="Arial" w:hAnsi="Arial" w:cs="Arial"/>
        </w:rPr>
        <w:t xml:space="preserve">DU145 cells were treated for 24 hours with the indicated concentrations of CUR, UA, RES or their combinations of 2 compounds. The levels of the phospho- and total protein levels for STAT3, and of the apoptosis markers were measured by Western blotting (A). The percent of apoptotic cells (B) were measured by </w:t>
      </w:r>
      <w:proofErr w:type="spellStart"/>
      <w:r w:rsidRPr="00EB7532">
        <w:rPr>
          <w:rFonts w:ascii="Arial" w:hAnsi="Arial" w:cs="Arial"/>
        </w:rPr>
        <w:t>Annexin</w:t>
      </w:r>
      <w:proofErr w:type="spellEnd"/>
      <w:r w:rsidRPr="00EB7532">
        <w:rPr>
          <w:rFonts w:ascii="Arial" w:hAnsi="Arial" w:cs="Arial"/>
        </w:rPr>
        <w:t xml:space="preserve"> V staining. One-way ANOVA with significance at p&lt;0.05 was used. Statistical significance is shown as different from control (a), CUR (b), UA (c) and RES (d)</w:t>
      </w:r>
    </w:p>
    <w:p w14:paraId="75A25357" w14:textId="0EE40D36" w:rsidR="00EB7532" w:rsidRPr="00660CC7" w:rsidRDefault="00EB7532" w:rsidP="004671A3">
      <w:pPr>
        <w:spacing w:after="0" w:line="240" w:lineRule="auto"/>
        <w:jc w:val="center"/>
        <w:rPr>
          <w:rFonts w:ascii="Arial" w:hAnsi="Arial" w:cs="Arial"/>
        </w:rPr>
      </w:pPr>
    </w:p>
    <w:sectPr w:rsidR="00EB7532" w:rsidRPr="00660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vwxvrv9yvdsw7e5dxaxsst4twedaprpx92a&quot;&gt;BATfinalV&lt;record-ids&gt;&lt;item&gt;23&lt;/item&gt;&lt;item&gt;24&lt;/item&gt;&lt;item&gt;25&lt;/item&gt;&lt;item&gt;26&lt;/item&gt;&lt;item&gt;27&lt;/item&gt;&lt;item&gt;28&lt;/item&gt;&lt;item&gt;29&lt;/item&gt;&lt;item&gt;30&lt;/item&gt;&lt;item&gt;33&lt;/item&gt;&lt;/record-ids&gt;&lt;/item&gt;&lt;/Libraries&gt;"/>
  </w:docVars>
  <w:rsids>
    <w:rsidRoot w:val="00660CC7"/>
    <w:rsid w:val="000D1E46"/>
    <w:rsid w:val="00135B3C"/>
    <w:rsid w:val="00151981"/>
    <w:rsid w:val="001703EB"/>
    <w:rsid w:val="00233010"/>
    <w:rsid w:val="00255891"/>
    <w:rsid w:val="00263DB5"/>
    <w:rsid w:val="00285519"/>
    <w:rsid w:val="002A4451"/>
    <w:rsid w:val="002E7344"/>
    <w:rsid w:val="00302019"/>
    <w:rsid w:val="004671A3"/>
    <w:rsid w:val="004714F4"/>
    <w:rsid w:val="004C4715"/>
    <w:rsid w:val="004C61A9"/>
    <w:rsid w:val="004D43E8"/>
    <w:rsid w:val="004D6D5A"/>
    <w:rsid w:val="00577329"/>
    <w:rsid w:val="0062458F"/>
    <w:rsid w:val="006329B5"/>
    <w:rsid w:val="00660CC7"/>
    <w:rsid w:val="006E4D55"/>
    <w:rsid w:val="007227A1"/>
    <w:rsid w:val="007321F5"/>
    <w:rsid w:val="0078055A"/>
    <w:rsid w:val="007E5676"/>
    <w:rsid w:val="0080185C"/>
    <w:rsid w:val="00814F4C"/>
    <w:rsid w:val="00857AB6"/>
    <w:rsid w:val="008F2682"/>
    <w:rsid w:val="009526F0"/>
    <w:rsid w:val="009C3586"/>
    <w:rsid w:val="009C7357"/>
    <w:rsid w:val="009C74D9"/>
    <w:rsid w:val="009F6BF7"/>
    <w:rsid w:val="00AD1E8A"/>
    <w:rsid w:val="00AE7C15"/>
    <w:rsid w:val="00B945CA"/>
    <w:rsid w:val="00BD2920"/>
    <w:rsid w:val="00BE273A"/>
    <w:rsid w:val="00C817E6"/>
    <w:rsid w:val="00C836EF"/>
    <w:rsid w:val="00D7787D"/>
    <w:rsid w:val="00E67522"/>
    <w:rsid w:val="00EB7532"/>
    <w:rsid w:val="00ED158C"/>
    <w:rsid w:val="00EE2556"/>
    <w:rsid w:val="00EE618D"/>
    <w:rsid w:val="00F64DC8"/>
    <w:rsid w:val="00F70736"/>
    <w:rsid w:val="00F7212A"/>
    <w:rsid w:val="00FD6F03"/>
    <w:rsid w:val="00FD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D94D38"/>
  <w15:docId w15:val="{89FB9EA1-4367-4C72-B6FA-9556CFC0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F03"/>
  </w:style>
  <w:style w:type="paragraph" w:styleId="Heading3">
    <w:name w:val="heading 3"/>
    <w:basedOn w:val="Normal"/>
    <w:link w:val="Heading3Char"/>
    <w:uiPriority w:val="9"/>
    <w:qFormat/>
    <w:rsid w:val="008018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29B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zh-CN"/>
    </w:rPr>
  </w:style>
  <w:style w:type="character" w:customStyle="1" w:styleId="apple-converted-space">
    <w:name w:val="apple-converted-space"/>
    <w:rsid w:val="00135B3C"/>
  </w:style>
  <w:style w:type="paragraph" w:customStyle="1" w:styleId="EndNoteBibliographyTitle">
    <w:name w:val="EndNote Bibliography Title"/>
    <w:basedOn w:val="Normal"/>
    <w:link w:val="EndNoteBibliographyTitleChar"/>
    <w:rsid w:val="00FD6F03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D6F03"/>
    <w:rPr>
      <w:rFonts w:ascii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FD6F03"/>
    <w:pPr>
      <w:spacing w:line="24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D6F03"/>
    <w:rPr>
      <w:rFonts w:ascii="Arial" w:hAnsi="Arial" w:cs="Arial"/>
      <w:noProof/>
    </w:rPr>
  </w:style>
  <w:style w:type="character" w:styleId="Strong">
    <w:name w:val="Strong"/>
    <w:qFormat/>
    <w:rsid w:val="007321F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805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5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55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55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3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3EB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80185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8018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2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Tiziani_Asus</dc:creator>
  <cp:keywords/>
  <dc:description/>
  <cp:lastModifiedBy>Windows User</cp:lastModifiedBy>
  <cp:revision>4</cp:revision>
  <dcterms:created xsi:type="dcterms:W3CDTF">2017-04-11T22:26:00Z</dcterms:created>
  <dcterms:modified xsi:type="dcterms:W3CDTF">2017-04-11T22:28:00Z</dcterms:modified>
</cp:coreProperties>
</file>