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text" w:horzAnchor="page" w:tblpX="1784" w:tblpY="936"/>
        <w:tblOverlap w:val="never"/>
        <w:tblW w:w="821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2"/>
        <w:gridCol w:w="6095"/>
      </w:tblGrid>
      <w:tr w14:paraId="4AC63E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217" w:type="dxa"/>
            <w:gridSpan w:val="2"/>
            <w:tcBorders>
              <w:top w:val="nil"/>
              <w:bottom w:val="single" w:color="auto" w:sz="4" w:space="0"/>
            </w:tcBorders>
            <w:shd w:val="clear" w:color="auto" w:fill="auto"/>
            <w:noWrap/>
          </w:tcPr>
          <w:p w14:paraId="771B05E3">
            <w:pPr>
              <w:widowControl/>
              <w:spacing w:line="360" w:lineRule="auto"/>
              <w:contextualSpacing/>
              <w:jc w:val="left"/>
              <w:rPr>
                <w:rFonts w:ascii="Times New Roman" w:hAnsi="Times New Roman" w:cs="Times New Roman"/>
                <w:sz w:val="20"/>
                <w:szCs w:val="20"/>
              </w:rPr>
            </w:pPr>
            <w:bookmarkStart w:id="0" w:name="OLE_LINK1"/>
            <w:r>
              <w:rPr>
                <w:rFonts w:hint="eastAsia" w:ascii="Times New Roman" w:hAnsi="Times New Roman" w:eastAsia="宋体" w:cs="Times New Roman"/>
                <w:b w:val="0"/>
                <w:bCs w:val="0"/>
                <w:kern w:val="0"/>
                <w:sz w:val="20"/>
                <w:szCs w:val="20"/>
                <w:lang w:val="en-US" w:eastAsia="zh-CN"/>
              </w:rPr>
              <w:t>Supplementary Table1</w:t>
            </w:r>
            <w:r>
              <w:rPr>
                <w:rFonts w:ascii="Times New Roman" w:hAnsi="Times New Roman" w:eastAsia="宋体" w:cs="Times New Roman"/>
                <w:b w:val="0"/>
                <w:bCs w:val="0"/>
                <w:kern w:val="0"/>
                <w:sz w:val="20"/>
                <w:szCs w:val="20"/>
              </w:rPr>
              <w:t xml:space="preserve">. The </w:t>
            </w:r>
            <w:r>
              <w:rPr>
                <w:rFonts w:hint="eastAsia" w:ascii="Times New Roman" w:hAnsi="Times New Roman" w:eastAsia="宋体" w:cs="Times New Roman"/>
                <w:b w:val="0"/>
                <w:bCs w:val="0"/>
                <w:kern w:val="0"/>
                <w:sz w:val="20"/>
                <w:szCs w:val="20"/>
                <w:lang w:val="en-US" w:eastAsia="zh-CN"/>
              </w:rPr>
              <w:t>prim</w:t>
            </w:r>
            <w:r>
              <w:rPr>
                <w:rFonts w:hint="eastAsia" w:ascii="Times New Roman" w:hAnsi="Times New Roman" w:eastAsia="宋体" w:cs="Times New Roman"/>
                <w:kern w:val="0"/>
                <w:sz w:val="20"/>
                <w:szCs w:val="20"/>
                <w:lang w:val="en-US" w:eastAsia="zh-CN"/>
              </w:rPr>
              <w:t xml:space="preserve">er </w:t>
            </w:r>
            <w:r>
              <w:rPr>
                <w:rFonts w:ascii="Times New Roman" w:hAnsi="Times New Roman" w:eastAsia="宋体" w:cs="Times New Roman"/>
                <w:kern w:val="0"/>
                <w:sz w:val="20"/>
                <w:szCs w:val="20"/>
              </w:rPr>
              <w:t xml:space="preserve">sequences </w:t>
            </w:r>
            <w:r>
              <w:rPr>
                <w:rFonts w:hint="eastAsia" w:ascii="Times New Roman" w:hAnsi="Times New Roman" w:eastAsia="宋体" w:cs="Times New Roman"/>
                <w:kern w:val="0"/>
                <w:sz w:val="20"/>
                <w:szCs w:val="20"/>
                <w:lang w:val="en-US" w:eastAsia="zh-CN"/>
              </w:rPr>
              <w:t>for qRT-PCR</w:t>
            </w:r>
            <w:r>
              <w:rPr>
                <w:rFonts w:ascii="Times New Roman" w:hAnsi="Times New Roman" w:eastAsia="宋体" w:cs="Times New Roman"/>
                <w:kern w:val="0"/>
                <w:sz w:val="20"/>
                <w:szCs w:val="20"/>
              </w:rPr>
              <w:t xml:space="preserve"> in this study.</w:t>
            </w:r>
          </w:p>
        </w:tc>
      </w:tr>
      <w:tr w14:paraId="61CE45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122" w:type="dxa"/>
            <w:tcBorders>
              <w:top w:val="single" w:color="auto" w:sz="4" w:space="0"/>
              <w:bottom w:val="single" w:color="auto" w:sz="4" w:space="0"/>
            </w:tcBorders>
            <w:shd w:val="clear" w:color="auto" w:fill="auto"/>
            <w:noWrap/>
          </w:tcPr>
          <w:p w14:paraId="42715472">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cs="Times New Roman"/>
                <w:sz w:val="20"/>
                <w:szCs w:val="20"/>
              </w:rPr>
              <w:t>Target</w:t>
            </w:r>
          </w:p>
        </w:tc>
        <w:tc>
          <w:tcPr>
            <w:tcW w:w="6095" w:type="dxa"/>
            <w:tcBorders>
              <w:top w:val="single" w:color="auto" w:sz="4" w:space="0"/>
              <w:bottom w:val="single" w:color="auto" w:sz="4" w:space="0"/>
            </w:tcBorders>
            <w:shd w:val="clear" w:color="auto" w:fill="auto"/>
          </w:tcPr>
          <w:p w14:paraId="62270955">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cs="Times New Roman"/>
                <w:sz w:val="20"/>
                <w:szCs w:val="20"/>
              </w:rPr>
              <w:t>Sequence (5’-3’)</w:t>
            </w:r>
          </w:p>
        </w:tc>
      </w:tr>
      <w:tr w14:paraId="0209D9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122" w:type="dxa"/>
            <w:tcBorders>
              <w:top w:val="single" w:color="auto" w:sz="4" w:space="0"/>
            </w:tcBorders>
            <w:shd w:val="clear" w:color="auto" w:fill="auto"/>
            <w:noWrap/>
            <w:vAlign w:val="center"/>
          </w:tcPr>
          <w:p w14:paraId="2991B109">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SHMT1</w:t>
            </w:r>
          </w:p>
        </w:tc>
        <w:tc>
          <w:tcPr>
            <w:tcW w:w="6095" w:type="dxa"/>
            <w:tcBorders>
              <w:top w:val="single" w:color="auto" w:sz="4" w:space="0"/>
            </w:tcBorders>
            <w:shd w:val="clear" w:color="auto" w:fill="auto"/>
            <w:vAlign w:val="center"/>
          </w:tcPr>
          <w:p w14:paraId="325BC49A">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Forward: AGGAAAGGAGTGAAAAGTGTGGAT</w:t>
            </w:r>
          </w:p>
        </w:tc>
      </w:tr>
      <w:tr w14:paraId="5B2D3B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122" w:type="dxa"/>
            <w:shd w:val="clear" w:color="auto" w:fill="auto"/>
            <w:noWrap/>
            <w:vAlign w:val="center"/>
          </w:tcPr>
          <w:p w14:paraId="603059DA">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SHMT1</w:t>
            </w:r>
          </w:p>
        </w:tc>
        <w:tc>
          <w:tcPr>
            <w:tcW w:w="6095" w:type="dxa"/>
            <w:shd w:val="clear" w:color="auto" w:fill="auto"/>
            <w:vAlign w:val="center"/>
          </w:tcPr>
          <w:p w14:paraId="3C147175">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Reverse: GACACCAGTGTCGCTCTGGATCTG</w:t>
            </w:r>
          </w:p>
        </w:tc>
      </w:tr>
      <w:tr w14:paraId="579E55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122" w:type="dxa"/>
            <w:shd w:val="clear" w:color="auto" w:fill="auto"/>
            <w:noWrap/>
            <w:vAlign w:val="center"/>
          </w:tcPr>
          <w:p w14:paraId="729B3C8A">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SHMT2</w:t>
            </w:r>
          </w:p>
        </w:tc>
        <w:tc>
          <w:tcPr>
            <w:tcW w:w="6095" w:type="dxa"/>
            <w:shd w:val="clear" w:color="auto" w:fill="auto"/>
            <w:vAlign w:val="center"/>
          </w:tcPr>
          <w:p w14:paraId="37BCCAAF">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ascii="Times New Roman" w:hAnsi="Times New Roman" w:eastAsia="宋体" w:cs="Times New Roman"/>
                <w:kern w:val="0"/>
                <w:sz w:val="20"/>
                <w:szCs w:val="20"/>
              </w:rPr>
              <w:t>Forward: CCCTTCTGCAACCTCACGAC</w:t>
            </w:r>
          </w:p>
        </w:tc>
      </w:tr>
      <w:tr w14:paraId="6EF273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122" w:type="dxa"/>
            <w:shd w:val="clear" w:color="auto" w:fill="auto"/>
            <w:noWrap/>
            <w:vAlign w:val="center"/>
          </w:tcPr>
          <w:p w14:paraId="230DE8D1">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SHMT2</w:t>
            </w:r>
          </w:p>
        </w:tc>
        <w:tc>
          <w:tcPr>
            <w:tcW w:w="6095" w:type="dxa"/>
            <w:shd w:val="clear" w:color="auto" w:fill="auto"/>
            <w:vAlign w:val="center"/>
          </w:tcPr>
          <w:p w14:paraId="5820E353">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ascii="Times New Roman" w:hAnsi="Times New Roman" w:eastAsia="宋体" w:cs="Times New Roman"/>
                <w:kern w:val="0"/>
                <w:sz w:val="20"/>
                <w:szCs w:val="20"/>
              </w:rPr>
              <w:t>Reverse: TGAGCTTATAGGGCATAGACTCG</w:t>
            </w:r>
          </w:p>
        </w:tc>
      </w:tr>
      <w:tr w14:paraId="7EBEF0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122" w:type="dxa"/>
            <w:shd w:val="clear" w:color="auto" w:fill="auto"/>
            <w:noWrap/>
            <w:vAlign w:val="center"/>
          </w:tcPr>
          <w:p w14:paraId="218ECC7C">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β-actin</w:t>
            </w:r>
          </w:p>
        </w:tc>
        <w:tc>
          <w:tcPr>
            <w:tcW w:w="6095" w:type="dxa"/>
            <w:shd w:val="clear" w:color="auto" w:fill="auto"/>
            <w:vAlign w:val="center"/>
          </w:tcPr>
          <w:p w14:paraId="1B710723">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Forward: </w:t>
            </w:r>
            <w:r>
              <w:rPr>
                <w:rFonts w:ascii="Times New Roman" w:hAnsi="Times New Roman" w:eastAsia="宋体" w:cs="Times New Roman"/>
                <w:color w:val="000000"/>
                <w:kern w:val="0"/>
                <w:sz w:val="20"/>
                <w:szCs w:val="20"/>
              </w:rPr>
              <w:t>AGTTGCGTTACACCCTTTC</w:t>
            </w:r>
          </w:p>
        </w:tc>
      </w:tr>
      <w:tr w14:paraId="31F418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122" w:type="dxa"/>
            <w:shd w:val="clear" w:color="auto" w:fill="auto"/>
            <w:noWrap/>
            <w:vAlign w:val="center"/>
          </w:tcPr>
          <w:p w14:paraId="4D309422">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β-actin</w:t>
            </w:r>
          </w:p>
        </w:tc>
        <w:tc>
          <w:tcPr>
            <w:tcW w:w="6095" w:type="dxa"/>
            <w:shd w:val="clear" w:color="auto" w:fill="auto"/>
            <w:vAlign w:val="center"/>
          </w:tcPr>
          <w:p w14:paraId="35406346">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Reverse: </w:t>
            </w:r>
            <w:r>
              <w:rPr>
                <w:rFonts w:ascii="Times New Roman" w:hAnsi="Times New Roman" w:eastAsia="宋体" w:cs="Times New Roman"/>
                <w:color w:val="000000"/>
                <w:kern w:val="0"/>
                <w:sz w:val="20"/>
                <w:szCs w:val="20"/>
              </w:rPr>
              <w:t>CCTTCACCGTTCCAGTTT</w:t>
            </w:r>
          </w:p>
        </w:tc>
      </w:tr>
      <w:bookmarkEnd w:id="0"/>
    </w:tbl>
    <w:p w14:paraId="3E0547EA">
      <w:pPr>
        <w:widowControl/>
        <w:spacing w:line="360" w:lineRule="auto"/>
        <w:contextualSpacing/>
        <w:jc w:val="left"/>
        <w:rPr>
          <w:rFonts w:ascii="Times New Roman" w:hAnsi="Times New Roman" w:cs="Times New Roman"/>
          <w:sz w:val="20"/>
          <w:szCs w:val="20"/>
        </w:rPr>
      </w:pPr>
    </w:p>
    <w:p w14:paraId="01CD5B59">
      <w:pPr>
        <w:widowControl/>
        <w:spacing w:line="360" w:lineRule="auto"/>
        <w:contextualSpacing/>
        <w:jc w:val="left"/>
        <w:rPr>
          <w:rFonts w:hint="eastAsia" w:ascii="Times New Roman" w:hAnsi="Times New Roman" w:eastAsia="宋体" w:cs="Times New Roman"/>
          <w:b/>
          <w:bCs/>
          <w:kern w:val="0"/>
          <w:sz w:val="20"/>
          <w:szCs w:val="20"/>
          <w:lang w:val="en-US" w:eastAsia="zh-CN"/>
        </w:rPr>
      </w:pPr>
      <w:r>
        <w:rPr>
          <w:rFonts w:hint="eastAsia" w:ascii="Times New Roman" w:hAnsi="Times New Roman" w:eastAsia="宋体" w:cs="Times New Roman"/>
          <w:b/>
          <w:bCs/>
          <w:kern w:val="0"/>
          <w:sz w:val="20"/>
          <w:szCs w:val="20"/>
          <w:lang w:val="en-US" w:eastAsia="zh-CN"/>
        </w:rPr>
        <w:t>Supplementary Tables</w:t>
      </w:r>
    </w:p>
    <w:p w14:paraId="3EF819ED">
      <w:pPr>
        <w:widowControl/>
        <w:spacing w:line="360" w:lineRule="auto"/>
        <w:contextualSpacing/>
        <w:jc w:val="left"/>
        <w:rPr>
          <w:rFonts w:ascii="Times New Roman" w:hAnsi="Times New Roman" w:eastAsia="宋体" w:cs="Times New Roman"/>
          <w:kern w:val="0"/>
          <w:sz w:val="20"/>
          <w:szCs w:val="20"/>
        </w:rPr>
      </w:pPr>
      <w:bookmarkStart w:id="1" w:name="OLE_LINK2"/>
      <w:r>
        <w:rPr>
          <w:rFonts w:hint="eastAsia" w:ascii="Times New Roman" w:hAnsi="Times New Roman" w:eastAsia="宋体" w:cs="Times New Roman"/>
          <w:b w:val="0"/>
          <w:bCs w:val="0"/>
          <w:kern w:val="0"/>
          <w:sz w:val="20"/>
          <w:szCs w:val="20"/>
          <w:lang w:val="en-US" w:eastAsia="zh-CN"/>
        </w:rPr>
        <w:t>Supplementary Table2</w:t>
      </w:r>
      <w:r>
        <w:rPr>
          <w:rFonts w:ascii="Times New Roman" w:hAnsi="Times New Roman" w:eastAsia="宋体" w:cs="Times New Roman"/>
          <w:kern w:val="0"/>
          <w:sz w:val="20"/>
          <w:szCs w:val="20"/>
        </w:rPr>
        <w:t>. The sequences of shRNAs used in this study.</w:t>
      </w:r>
    </w:p>
    <w:bookmarkEnd w:id="1"/>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2"/>
        <w:gridCol w:w="5324"/>
      </w:tblGrid>
      <w:tr w14:paraId="3C6C1A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Borders>
              <w:top w:val="single" w:color="auto" w:sz="4" w:space="0"/>
              <w:bottom w:val="single" w:color="auto" w:sz="4" w:space="0"/>
            </w:tcBorders>
          </w:tcPr>
          <w:p w14:paraId="54CA328A">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Definition</w:t>
            </w:r>
          </w:p>
        </w:tc>
        <w:tc>
          <w:tcPr>
            <w:tcW w:w="5324" w:type="dxa"/>
            <w:tcBorders>
              <w:top w:val="single" w:color="auto" w:sz="4" w:space="0"/>
              <w:bottom w:val="single" w:color="auto" w:sz="4" w:space="0"/>
            </w:tcBorders>
          </w:tcPr>
          <w:p w14:paraId="7FF683DF">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Sequence (5’-3’)</w:t>
            </w:r>
          </w:p>
        </w:tc>
      </w:tr>
      <w:tr w14:paraId="6008C6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Borders>
              <w:top w:val="single" w:color="auto" w:sz="4" w:space="0"/>
            </w:tcBorders>
          </w:tcPr>
          <w:p w14:paraId="36A3355B">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shNC</w:t>
            </w:r>
          </w:p>
        </w:tc>
        <w:tc>
          <w:tcPr>
            <w:tcW w:w="5324" w:type="dxa"/>
            <w:tcBorders>
              <w:top w:val="single" w:color="auto" w:sz="4" w:space="0"/>
            </w:tcBorders>
          </w:tcPr>
          <w:p w14:paraId="49BCE347">
            <w:pPr>
              <w:widowControl/>
              <w:spacing w:line="360" w:lineRule="auto"/>
              <w:contextualSpacing/>
              <w:jc w:val="left"/>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Sense: TTCTCCGAACGTGTCACGT</w:t>
            </w:r>
          </w:p>
        </w:tc>
      </w:tr>
      <w:tr w14:paraId="0AF9FE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6B1E3EAE">
            <w:pPr>
              <w:widowControl/>
              <w:spacing w:line="360" w:lineRule="auto"/>
              <w:contextualSpacing/>
              <w:jc w:val="left"/>
              <w:rPr>
                <w:rFonts w:ascii="Times New Roman" w:hAnsi="Times New Roman" w:eastAsia="宋体" w:cs="Times New Roman"/>
                <w:kern w:val="0"/>
                <w:sz w:val="20"/>
                <w:szCs w:val="20"/>
              </w:rPr>
            </w:pPr>
          </w:p>
        </w:tc>
        <w:tc>
          <w:tcPr>
            <w:tcW w:w="5324" w:type="dxa"/>
          </w:tcPr>
          <w:p w14:paraId="2D5CAEF0">
            <w:pPr>
              <w:widowControl/>
              <w:spacing w:line="360" w:lineRule="auto"/>
              <w:contextualSpacing/>
              <w:jc w:val="left"/>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Antisense: ACGTGACACGTTCGGAGAA</w:t>
            </w:r>
          </w:p>
        </w:tc>
      </w:tr>
      <w:tr w14:paraId="240B21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33C3A7E9">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ascii="Times New Roman" w:hAnsi="Times New Roman" w:eastAsia="宋体" w:cs="Times New Roman"/>
                <w:kern w:val="0"/>
                <w:sz w:val="20"/>
                <w:szCs w:val="20"/>
              </w:rPr>
              <w:t xml:space="preserve">sh </w:t>
            </w:r>
            <w:r>
              <w:rPr>
                <w:rFonts w:hint="eastAsia" w:ascii="Times New Roman" w:hAnsi="Times New Roman" w:eastAsia="宋体" w:cs="Times New Roman"/>
                <w:kern w:val="0"/>
                <w:sz w:val="20"/>
                <w:szCs w:val="20"/>
                <w:lang w:val="en-US" w:eastAsia="zh-CN"/>
              </w:rPr>
              <w:t>SHMT1</w:t>
            </w:r>
          </w:p>
        </w:tc>
        <w:tc>
          <w:tcPr>
            <w:tcW w:w="5324" w:type="dxa"/>
          </w:tcPr>
          <w:p w14:paraId="69D0B7B2">
            <w:pPr>
              <w:widowControl/>
              <w:spacing w:line="360" w:lineRule="auto"/>
              <w:contextualSpacing/>
              <w:jc w:val="left"/>
              <w:rPr>
                <w:rFonts w:hint="default" w:ascii="Times New Roman" w:hAnsi="Times New Roman" w:eastAsia="宋体" w:cs="Times New Roman"/>
                <w:color w:val="000000" w:themeColor="text1"/>
                <w:kern w:val="0"/>
                <w:sz w:val="20"/>
                <w:szCs w:val="20"/>
                <w:lang w:val="en-US" w:eastAsia="zh-CN"/>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 xml:space="preserve">Sense: </w:t>
            </w:r>
            <w:r>
              <w:rPr>
                <w:rFonts w:hint="eastAsia" w:ascii="Times New Roman" w:hAnsi="Times New Roman" w:eastAsia="宋体" w:cs="Times New Roman"/>
                <w:color w:val="000000" w:themeColor="text1"/>
                <w:kern w:val="0"/>
                <w:sz w:val="20"/>
                <w:szCs w:val="20"/>
                <w:lang w:val="en-US" w:eastAsia="zh-CN"/>
                <w14:textFill>
                  <w14:solidFill>
                    <w14:schemeClr w14:val="tx1"/>
                  </w14:solidFill>
                </w14:textFill>
              </w:rPr>
              <w:t>TAGGCTCTTGCTTAAATAATT</w:t>
            </w:r>
          </w:p>
        </w:tc>
      </w:tr>
      <w:tr w14:paraId="14980B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07F3D120">
            <w:pPr>
              <w:widowControl/>
              <w:spacing w:line="360" w:lineRule="auto"/>
              <w:contextualSpacing/>
              <w:jc w:val="left"/>
              <w:rPr>
                <w:rFonts w:ascii="Times New Roman" w:hAnsi="Times New Roman" w:eastAsia="宋体" w:cs="Times New Roman"/>
                <w:kern w:val="0"/>
                <w:sz w:val="20"/>
                <w:szCs w:val="20"/>
              </w:rPr>
            </w:pPr>
          </w:p>
        </w:tc>
        <w:tc>
          <w:tcPr>
            <w:tcW w:w="5324" w:type="dxa"/>
          </w:tcPr>
          <w:p w14:paraId="7384164E">
            <w:pPr>
              <w:widowControl/>
              <w:spacing w:line="360" w:lineRule="auto"/>
              <w:contextualSpacing/>
              <w:jc w:val="left"/>
              <w:rPr>
                <w:rFonts w:hint="default" w:ascii="Times New Roman" w:hAnsi="Times New Roman" w:eastAsia="宋体" w:cs="Times New Roman"/>
                <w:color w:val="000000" w:themeColor="text1"/>
                <w:kern w:val="0"/>
                <w:sz w:val="20"/>
                <w:szCs w:val="20"/>
                <w:lang w:val="en-US" w:eastAsia="zh-CN"/>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 xml:space="preserve">Antisense: </w:t>
            </w:r>
            <w:r>
              <w:rPr>
                <w:rFonts w:hint="eastAsia" w:ascii="Times New Roman" w:hAnsi="Times New Roman" w:eastAsia="宋体" w:cs="Times New Roman"/>
                <w:color w:val="000000" w:themeColor="text1"/>
                <w:kern w:val="0"/>
                <w:sz w:val="20"/>
                <w:szCs w:val="20"/>
                <w:lang w:val="en-US" w:eastAsia="zh-CN"/>
                <w14:textFill>
                  <w14:solidFill>
                    <w14:schemeClr w14:val="tx1"/>
                  </w14:solidFill>
                </w14:textFill>
              </w:rPr>
              <w:t>AAGCTATGACTCTGGAATTTT</w:t>
            </w:r>
          </w:p>
        </w:tc>
      </w:tr>
      <w:tr w14:paraId="47E692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43F2E825">
            <w:pPr>
              <w:widowControl/>
              <w:spacing w:line="360" w:lineRule="auto"/>
              <w:contextualSpacing/>
              <w:jc w:val="left"/>
              <w:rPr>
                <w:rFonts w:hint="default" w:ascii="Times New Roman" w:hAnsi="Times New Roman" w:eastAsia="宋体" w:cs="Times New Roman"/>
                <w:kern w:val="0"/>
                <w:sz w:val="20"/>
                <w:szCs w:val="20"/>
                <w:lang w:val="en-US" w:eastAsia="zh-CN"/>
              </w:rPr>
            </w:pPr>
            <w:r>
              <w:rPr>
                <w:rFonts w:ascii="Times New Roman" w:hAnsi="Times New Roman" w:eastAsia="宋体" w:cs="Times New Roman"/>
                <w:kern w:val="0"/>
                <w:sz w:val="20"/>
                <w:szCs w:val="20"/>
              </w:rPr>
              <w:t xml:space="preserve">sh </w:t>
            </w:r>
            <w:r>
              <w:rPr>
                <w:rFonts w:hint="eastAsia" w:ascii="Times New Roman" w:hAnsi="Times New Roman" w:eastAsia="宋体" w:cs="Times New Roman"/>
                <w:kern w:val="0"/>
                <w:sz w:val="20"/>
                <w:szCs w:val="20"/>
                <w:lang w:val="en-US" w:eastAsia="zh-CN"/>
              </w:rPr>
              <w:t>SHMT2</w:t>
            </w:r>
          </w:p>
        </w:tc>
        <w:tc>
          <w:tcPr>
            <w:tcW w:w="5324" w:type="dxa"/>
          </w:tcPr>
          <w:p w14:paraId="2E367F9F">
            <w:pPr>
              <w:widowControl/>
              <w:spacing w:line="360" w:lineRule="auto"/>
              <w:contextualSpacing/>
              <w:jc w:val="left"/>
              <w:rPr>
                <w:rFonts w:hint="default" w:ascii="Times New Roman" w:hAnsi="Times New Roman" w:eastAsia="宋体" w:cs="Times New Roman"/>
                <w:color w:val="000000" w:themeColor="text1"/>
                <w:kern w:val="0"/>
                <w:sz w:val="20"/>
                <w:szCs w:val="20"/>
                <w:lang w:val="en-US" w:eastAsia="zh-CN"/>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 xml:space="preserve">Sense: </w:t>
            </w:r>
            <w:r>
              <w:rPr>
                <w:rFonts w:hint="eastAsia" w:ascii="Times New Roman" w:hAnsi="Times New Roman" w:eastAsia="宋体" w:cs="Times New Roman"/>
                <w:color w:val="000000" w:themeColor="text1"/>
                <w:kern w:val="0"/>
                <w:sz w:val="20"/>
                <w:szCs w:val="20"/>
                <w:lang w:val="en-US" w:eastAsia="zh-CN"/>
                <w14:textFill>
                  <w14:solidFill>
                    <w14:schemeClr w14:val="tx1"/>
                  </w14:solidFill>
                </w14:textFill>
              </w:rPr>
              <w:t>CCGGAGAGTTGTGTGGACTTTAT</w:t>
            </w:r>
          </w:p>
        </w:tc>
      </w:tr>
      <w:tr w14:paraId="0AE23C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6EB9B58F">
            <w:pPr>
              <w:widowControl/>
              <w:spacing w:line="360" w:lineRule="auto"/>
              <w:contextualSpacing/>
              <w:jc w:val="left"/>
              <w:rPr>
                <w:rFonts w:ascii="Times New Roman" w:hAnsi="Times New Roman" w:eastAsia="宋体" w:cs="Times New Roman"/>
                <w:kern w:val="0"/>
                <w:sz w:val="20"/>
                <w:szCs w:val="20"/>
              </w:rPr>
            </w:pPr>
          </w:p>
        </w:tc>
        <w:tc>
          <w:tcPr>
            <w:tcW w:w="5324" w:type="dxa"/>
          </w:tcPr>
          <w:p w14:paraId="30CAA51B">
            <w:pPr>
              <w:widowControl/>
              <w:spacing w:line="360" w:lineRule="auto"/>
              <w:contextualSpacing/>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Antisense: </w:t>
            </w:r>
            <w:r>
              <w:rPr>
                <w:rFonts w:hint="eastAsia" w:ascii="Times New Roman" w:hAnsi="Times New Roman" w:eastAsia="宋体" w:cs="Times New Roman"/>
                <w:kern w:val="0"/>
                <w:sz w:val="20"/>
                <w:szCs w:val="20"/>
                <w:lang w:val="en-US" w:eastAsia="zh-CN"/>
              </w:rPr>
              <w:t>ACAAGTACTCGGAGGGTTATC</w:t>
            </w:r>
            <w:r>
              <w:rPr>
                <w:rFonts w:ascii="Times New Roman" w:hAnsi="Times New Roman" w:eastAsia="宋体" w:cs="Times New Roman"/>
                <w:kern w:val="0"/>
                <w:sz w:val="20"/>
                <w:szCs w:val="20"/>
              </w:rPr>
              <w:tab/>
            </w:r>
          </w:p>
        </w:tc>
      </w:tr>
    </w:tbl>
    <w:p w14:paraId="0F0A3B5C">
      <w:pPr>
        <w:spacing w:line="360" w:lineRule="auto"/>
        <w:contextualSpacing/>
        <w:rPr>
          <w:rFonts w:ascii="Times New Roman" w:hAnsi="Times New Roman" w:cs="Times New Roman"/>
          <w:sz w:val="20"/>
          <w:szCs w:val="20"/>
        </w:rPr>
      </w:pPr>
    </w:p>
    <w:p w14:paraId="5549AC88">
      <w:pPr>
        <w:spacing w:line="360" w:lineRule="auto"/>
        <w:contextualSpacing/>
        <w:rPr>
          <w:rFonts w:ascii="Times New Roman" w:hAnsi="Times New Roman" w:cs="Times New Roman"/>
          <w:sz w:val="20"/>
          <w:szCs w:val="20"/>
        </w:rPr>
      </w:pPr>
    </w:p>
    <w:p w14:paraId="13A8CDFB">
      <w:pPr>
        <w:spacing w:line="360" w:lineRule="auto"/>
        <w:contextualSpacing/>
        <w:rPr>
          <w:rFonts w:ascii="Times New Roman" w:hAnsi="Times New Roman" w:cs="Times New Roman"/>
          <w:sz w:val="20"/>
          <w:szCs w:val="20"/>
        </w:rPr>
      </w:pPr>
    </w:p>
    <w:p w14:paraId="4DE90578">
      <w:pPr>
        <w:spacing w:line="360" w:lineRule="auto"/>
        <w:contextualSpacing/>
        <w:rPr>
          <w:rFonts w:ascii="Times New Roman" w:hAnsi="Times New Roman" w:cs="Times New Roman"/>
          <w:sz w:val="20"/>
          <w:szCs w:val="20"/>
        </w:rPr>
      </w:pPr>
    </w:p>
    <w:p w14:paraId="6B45388D">
      <w:pPr>
        <w:spacing w:line="360" w:lineRule="auto"/>
        <w:contextualSpacing/>
        <w:rPr>
          <w:rFonts w:ascii="Times New Roman" w:hAnsi="Times New Roman" w:cs="Times New Roman"/>
          <w:sz w:val="20"/>
          <w:szCs w:val="20"/>
        </w:rPr>
      </w:pPr>
    </w:p>
    <w:p w14:paraId="1518BC58">
      <w:pPr>
        <w:spacing w:line="360" w:lineRule="auto"/>
        <w:contextualSpacing/>
        <w:rPr>
          <w:rFonts w:ascii="Times New Roman" w:hAnsi="Times New Roman" w:cs="Times New Roman"/>
          <w:sz w:val="20"/>
          <w:szCs w:val="20"/>
        </w:rPr>
      </w:pPr>
    </w:p>
    <w:p w14:paraId="7D83C619">
      <w:pPr>
        <w:spacing w:line="360" w:lineRule="auto"/>
        <w:contextualSpacing/>
        <w:rPr>
          <w:rFonts w:ascii="Times New Roman" w:hAnsi="Times New Roman" w:cs="Times New Roman"/>
          <w:sz w:val="20"/>
          <w:szCs w:val="20"/>
        </w:rPr>
      </w:pPr>
    </w:p>
    <w:p w14:paraId="15F71F79">
      <w:pPr>
        <w:spacing w:line="360" w:lineRule="auto"/>
        <w:contextualSpacing/>
        <w:rPr>
          <w:rFonts w:ascii="Times New Roman" w:hAnsi="Times New Roman" w:cs="Times New Roman"/>
          <w:sz w:val="20"/>
          <w:szCs w:val="20"/>
        </w:rPr>
      </w:pPr>
    </w:p>
    <w:p w14:paraId="7DF591D0">
      <w:pPr>
        <w:spacing w:line="360" w:lineRule="auto"/>
        <w:contextualSpacing/>
        <w:rPr>
          <w:rFonts w:ascii="Times New Roman" w:hAnsi="Times New Roman" w:cs="Times New Roman"/>
          <w:sz w:val="20"/>
          <w:szCs w:val="20"/>
        </w:rPr>
      </w:pPr>
    </w:p>
    <w:p w14:paraId="76FEFBB7">
      <w:pPr>
        <w:spacing w:line="360" w:lineRule="auto"/>
        <w:contextualSpacing/>
        <w:rPr>
          <w:rFonts w:ascii="Times New Roman" w:hAnsi="Times New Roman" w:cs="Times New Roman"/>
          <w:sz w:val="20"/>
          <w:szCs w:val="20"/>
        </w:rPr>
      </w:pPr>
    </w:p>
    <w:p w14:paraId="2A894380">
      <w:pPr>
        <w:spacing w:line="360" w:lineRule="auto"/>
        <w:contextualSpacing/>
        <w:rPr>
          <w:rFonts w:ascii="Times New Roman" w:hAnsi="Times New Roman" w:cs="Times New Roman"/>
          <w:sz w:val="20"/>
          <w:szCs w:val="20"/>
        </w:rPr>
      </w:pPr>
    </w:p>
    <w:tbl>
      <w:tblPr>
        <w:tblStyle w:val="6"/>
        <w:tblpPr w:leftFromText="180" w:rightFromText="180" w:vertAnchor="text" w:horzAnchor="page" w:tblpX="2033" w:tblpY="84"/>
        <w:tblOverlap w:val="never"/>
        <w:tblW w:w="6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2122"/>
        <w:gridCol w:w="2122"/>
      </w:tblGrid>
      <w:tr w14:paraId="2EAD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66" w:type="dxa"/>
            <w:gridSpan w:val="3"/>
            <w:tcBorders>
              <w:top w:val="nil"/>
              <w:left w:val="nil"/>
              <w:bottom w:val="single" w:color="auto" w:sz="4" w:space="0"/>
              <w:right w:val="nil"/>
            </w:tcBorders>
            <w:shd w:val="clear" w:color="auto" w:fill="auto"/>
            <w:noWrap/>
          </w:tcPr>
          <w:p w14:paraId="77765650">
            <w:pPr>
              <w:widowControl/>
              <w:spacing w:line="360" w:lineRule="auto"/>
              <w:contextualSpacing/>
              <w:jc w:val="left"/>
              <w:rPr>
                <w:rFonts w:hint="eastAsia" w:ascii="Times New Roman" w:hAnsi="Times New Roman" w:eastAsia="宋体" w:cs="Times New Roman"/>
                <w:kern w:val="0"/>
                <w:sz w:val="20"/>
                <w:szCs w:val="20"/>
                <w:lang w:val="en-US" w:eastAsia="zh-CN"/>
              </w:rPr>
            </w:pPr>
            <w:bookmarkStart w:id="2" w:name="OLE_LINK3"/>
            <w:r>
              <w:rPr>
                <w:rFonts w:hint="eastAsia" w:ascii="Times New Roman" w:hAnsi="Times New Roman" w:eastAsia="宋体" w:cs="Times New Roman"/>
                <w:b w:val="0"/>
                <w:bCs w:val="0"/>
                <w:kern w:val="0"/>
                <w:sz w:val="20"/>
                <w:szCs w:val="20"/>
                <w:lang w:val="en-US" w:eastAsia="zh-CN"/>
              </w:rPr>
              <w:t>Supplementary Table3</w:t>
            </w:r>
            <w:r>
              <w:rPr>
                <w:rFonts w:ascii="Times New Roman" w:hAnsi="Times New Roman" w:eastAsia="宋体" w:cs="Times New Roman"/>
                <w:kern w:val="0"/>
                <w:sz w:val="20"/>
                <w:szCs w:val="20"/>
              </w:rPr>
              <w:t xml:space="preserve">. The </w:t>
            </w:r>
            <w:r>
              <w:rPr>
                <w:rFonts w:hint="eastAsia" w:ascii="Times New Roman" w:hAnsi="Times New Roman" w:eastAsia="宋体" w:cs="Times New Roman"/>
                <w:kern w:val="0"/>
                <w:sz w:val="20"/>
                <w:szCs w:val="20"/>
                <w:lang w:val="en-US" w:eastAsia="zh-CN"/>
              </w:rPr>
              <w:t>drugs and kit used in the stud</w:t>
            </w:r>
            <w:r>
              <w:rPr>
                <w:rFonts w:ascii="Times New Roman" w:hAnsi="Times New Roman" w:eastAsia="宋体" w:cs="Times New Roman"/>
                <w:kern w:val="0"/>
                <w:sz w:val="20"/>
                <w:szCs w:val="20"/>
              </w:rPr>
              <w:t>y.</w:t>
            </w:r>
          </w:p>
        </w:tc>
      </w:tr>
      <w:tr w14:paraId="26C6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single" w:color="auto" w:sz="4" w:space="0"/>
              <w:left w:val="nil"/>
              <w:bottom w:val="nil"/>
              <w:right w:val="nil"/>
            </w:tcBorders>
            <w:shd w:val="clear" w:color="auto" w:fill="auto"/>
            <w:noWrap/>
          </w:tcPr>
          <w:p w14:paraId="0AC29F5A">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Drug</w:t>
            </w:r>
          </w:p>
        </w:tc>
        <w:tc>
          <w:tcPr>
            <w:tcW w:w="2122" w:type="dxa"/>
            <w:tcBorders>
              <w:top w:val="single" w:color="auto" w:sz="4" w:space="0"/>
              <w:left w:val="nil"/>
              <w:bottom w:val="nil"/>
              <w:right w:val="nil"/>
            </w:tcBorders>
            <w:shd w:val="clear" w:color="auto" w:fill="auto"/>
            <w:noWrap/>
          </w:tcPr>
          <w:p w14:paraId="1C1E32D4">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Manufacture</w:t>
            </w:r>
          </w:p>
        </w:tc>
        <w:tc>
          <w:tcPr>
            <w:tcW w:w="2122" w:type="dxa"/>
            <w:tcBorders>
              <w:top w:val="single" w:color="auto" w:sz="4" w:space="0"/>
              <w:left w:val="nil"/>
              <w:bottom w:val="nil"/>
              <w:right w:val="nil"/>
            </w:tcBorders>
            <w:shd w:val="clear" w:color="auto" w:fill="auto"/>
            <w:noWrap/>
            <w:vAlign w:val="top"/>
          </w:tcPr>
          <w:p w14:paraId="5A9433B1">
            <w:pPr>
              <w:widowControl/>
              <w:spacing w:line="360" w:lineRule="auto"/>
              <w:contextualSpacing/>
              <w:jc w:val="center"/>
              <w:rPr>
                <w:rFonts w:hint="eastAsia" w:ascii="Times New Roman" w:hAnsi="Times New Roman" w:eastAsia="宋体" w:cs="Times New Roman"/>
                <w:kern w:val="0"/>
                <w:sz w:val="20"/>
                <w:szCs w:val="20"/>
                <w:lang w:val="en-US" w:eastAsia="zh-CN" w:bidi="ar-SA"/>
              </w:rPr>
            </w:pPr>
            <w:r>
              <w:rPr>
                <w:rFonts w:hint="eastAsia" w:ascii="Times New Roman" w:hAnsi="Times New Roman" w:eastAsia="宋体" w:cs="Times New Roman"/>
                <w:kern w:val="0"/>
                <w:sz w:val="20"/>
                <w:szCs w:val="20"/>
                <w:lang w:val="en-US" w:eastAsia="zh-CN"/>
              </w:rPr>
              <w:t>Catalog number</w:t>
            </w:r>
          </w:p>
        </w:tc>
      </w:tr>
      <w:tr w14:paraId="0B4C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4C5672BB">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5-Fu</w:t>
            </w:r>
          </w:p>
        </w:tc>
        <w:tc>
          <w:tcPr>
            <w:tcW w:w="2122" w:type="dxa"/>
            <w:tcBorders>
              <w:top w:val="nil"/>
              <w:left w:val="nil"/>
              <w:bottom w:val="nil"/>
              <w:right w:val="nil"/>
            </w:tcBorders>
            <w:shd w:val="clear" w:color="auto" w:fill="auto"/>
            <w:noWrap/>
            <w:vAlign w:val="center"/>
          </w:tcPr>
          <w:p w14:paraId="1DF9B13A">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TargetMol </w:t>
            </w:r>
          </w:p>
        </w:tc>
        <w:tc>
          <w:tcPr>
            <w:tcW w:w="2122" w:type="dxa"/>
            <w:tcBorders>
              <w:top w:val="nil"/>
              <w:left w:val="nil"/>
              <w:bottom w:val="nil"/>
              <w:right w:val="nil"/>
            </w:tcBorders>
            <w:shd w:val="clear" w:color="auto" w:fill="auto"/>
            <w:noWrap/>
            <w:vAlign w:val="center"/>
          </w:tcPr>
          <w:p w14:paraId="79F8D6AC">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CAS 51-21-8</w:t>
            </w:r>
          </w:p>
        </w:tc>
      </w:tr>
      <w:tr w14:paraId="4C2E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08440532">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Epirubicin</w:t>
            </w:r>
          </w:p>
        </w:tc>
        <w:tc>
          <w:tcPr>
            <w:tcW w:w="2122" w:type="dxa"/>
            <w:tcBorders>
              <w:top w:val="nil"/>
              <w:left w:val="nil"/>
              <w:bottom w:val="nil"/>
              <w:right w:val="nil"/>
            </w:tcBorders>
            <w:shd w:val="clear" w:color="auto" w:fill="auto"/>
            <w:noWrap/>
            <w:vAlign w:val="center"/>
          </w:tcPr>
          <w:p w14:paraId="37709164">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TargetMol </w:t>
            </w:r>
          </w:p>
        </w:tc>
        <w:tc>
          <w:tcPr>
            <w:tcW w:w="2122" w:type="dxa"/>
            <w:tcBorders>
              <w:top w:val="nil"/>
              <w:left w:val="nil"/>
              <w:bottom w:val="nil"/>
              <w:right w:val="nil"/>
            </w:tcBorders>
            <w:shd w:val="clear" w:color="auto" w:fill="auto"/>
            <w:noWrap/>
            <w:vAlign w:val="center"/>
          </w:tcPr>
          <w:p w14:paraId="12098D20">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CAS 56420-45-2</w:t>
            </w:r>
          </w:p>
        </w:tc>
      </w:tr>
      <w:tr w14:paraId="479C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697F5685">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rPr>
              <w:t>Oxaliplatin</w:t>
            </w:r>
          </w:p>
        </w:tc>
        <w:tc>
          <w:tcPr>
            <w:tcW w:w="2122" w:type="dxa"/>
            <w:tcBorders>
              <w:top w:val="nil"/>
              <w:left w:val="nil"/>
              <w:bottom w:val="nil"/>
              <w:right w:val="nil"/>
            </w:tcBorders>
            <w:shd w:val="clear" w:color="auto" w:fill="auto"/>
            <w:noWrap/>
            <w:vAlign w:val="center"/>
          </w:tcPr>
          <w:p w14:paraId="6B653CA8">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TargetMol </w:t>
            </w:r>
          </w:p>
        </w:tc>
        <w:tc>
          <w:tcPr>
            <w:tcW w:w="2122" w:type="dxa"/>
            <w:tcBorders>
              <w:top w:val="nil"/>
              <w:left w:val="nil"/>
              <w:bottom w:val="nil"/>
              <w:right w:val="nil"/>
            </w:tcBorders>
            <w:shd w:val="clear" w:color="auto" w:fill="auto"/>
            <w:noWrap/>
            <w:vAlign w:val="center"/>
          </w:tcPr>
          <w:p w14:paraId="33C73B0C">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rPr>
              <w:t>CAS 61825-94-3</w:t>
            </w:r>
          </w:p>
        </w:tc>
      </w:tr>
      <w:tr w14:paraId="0C7D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2BBCC398">
            <w:pPr>
              <w:widowControl/>
              <w:spacing w:line="360" w:lineRule="auto"/>
              <w:contextualSpacing/>
              <w:jc w:val="center"/>
              <w:rPr>
                <w:rFonts w:hint="eastAsia" w:ascii="Times New Roman" w:hAnsi="Times New Roman" w:eastAsia="宋体" w:cs="Times New Roman"/>
                <w:kern w:val="0"/>
                <w:sz w:val="20"/>
                <w:szCs w:val="20"/>
              </w:rPr>
            </w:pPr>
            <w:r>
              <w:rPr>
                <w:rFonts w:hint="eastAsia" w:ascii="Times New Roman" w:hAnsi="Times New Roman" w:eastAsia="宋体" w:cs="Times New Roman"/>
                <w:kern w:val="0"/>
                <w:sz w:val="20"/>
                <w:szCs w:val="20"/>
              </w:rPr>
              <w:t>Paclitaxel</w:t>
            </w:r>
          </w:p>
        </w:tc>
        <w:tc>
          <w:tcPr>
            <w:tcW w:w="2122" w:type="dxa"/>
            <w:tcBorders>
              <w:top w:val="nil"/>
              <w:left w:val="nil"/>
              <w:bottom w:val="nil"/>
              <w:right w:val="nil"/>
            </w:tcBorders>
            <w:shd w:val="clear" w:color="auto" w:fill="auto"/>
            <w:noWrap/>
            <w:vAlign w:val="center"/>
          </w:tcPr>
          <w:p w14:paraId="7EAEE761">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TargetMol </w:t>
            </w:r>
          </w:p>
        </w:tc>
        <w:tc>
          <w:tcPr>
            <w:tcW w:w="2122" w:type="dxa"/>
            <w:tcBorders>
              <w:top w:val="nil"/>
              <w:left w:val="nil"/>
              <w:bottom w:val="nil"/>
              <w:right w:val="nil"/>
            </w:tcBorders>
            <w:shd w:val="clear" w:color="auto" w:fill="auto"/>
            <w:noWrap/>
            <w:vAlign w:val="center"/>
          </w:tcPr>
          <w:p w14:paraId="304D9B43">
            <w:pPr>
              <w:widowControl/>
              <w:spacing w:line="360" w:lineRule="auto"/>
              <w:contextualSpacing/>
              <w:jc w:val="center"/>
              <w:rPr>
                <w:rFonts w:hint="eastAsia" w:ascii="Times New Roman" w:hAnsi="Times New Roman" w:eastAsia="宋体" w:cs="Times New Roman"/>
                <w:kern w:val="0"/>
                <w:sz w:val="20"/>
                <w:szCs w:val="20"/>
              </w:rPr>
            </w:pPr>
            <w:r>
              <w:rPr>
                <w:rFonts w:hint="eastAsia" w:ascii="Times New Roman" w:hAnsi="Times New Roman" w:eastAsia="宋体" w:cs="Times New Roman"/>
                <w:kern w:val="0"/>
                <w:sz w:val="20"/>
                <w:szCs w:val="20"/>
              </w:rPr>
              <w:t>CAS 33069-62-4</w:t>
            </w:r>
          </w:p>
        </w:tc>
      </w:tr>
      <w:tr w14:paraId="5F43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2D698479">
            <w:pPr>
              <w:widowControl/>
              <w:spacing w:line="360" w:lineRule="auto"/>
              <w:contextualSpacing/>
              <w:jc w:val="center"/>
              <w:rPr>
                <w:rFonts w:hint="eastAsia" w:ascii="Times New Roman" w:hAnsi="Times New Roman" w:eastAsia="宋体" w:cs="Times New Roman"/>
                <w:kern w:val="0"/>
                <w:sz w:val="20"/>
                <w:szCs w:val="20"/>
              </w:rPr>
            </w:pPr>
            <w:r>
              <w:rPr>
                <w:rFonts w:hint="eastAsia" w:ascii="Times New Roman" w:hAnsi="Times New Roman" w:eastAsia="宋体" w:cs="Times New Roman"/>
                <w:kern w:val="0"/>
                <w:sz w:val="20"/>
                <w:szCs w:val="20"/>
              </w:rPr>
              <w:t>Irinotecan</w:t>
            </w:r>
          </w:p>
        </w:tc>
        <w:tc>
          <w:tcPr>
            <w:tcW w:w="2122" w:type="dxa"/>
            <w:tcBorders>
              <w:top w:val="nil"/>
              <w:left w:val="nil"/>
              <w:bottom w:val="nil"/>
              <w:right w:val="nil"/>
            </w:tcBorders>
            <w:shd w:val="clear" w:color="auto" w:fill="auto"/>
            <w:noWrap/>
            <w:vAlign w:val="center"/>
          </w:tcPr>
          <w:p w14:paraId="1FDC8BC2">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Selleck </w:t>
            </w:r>
          </w:p>
        </w:tc>
        <w:tc>
          <w:tcPr>
            <w:tcW w:w="2122" w:type="dxa"/>
            <w:tcBorders>
              <w:top w:val="nil"/>
              <w:left w:val="nil"/>
              <w:bottom w:val="nil"/>
              <w:right w:val="nil"/>
            </w:tcBorders>
            <w:shd w:val="clear" w:color="auto" w:fill="auto"/>
            <w:noWrap/>
            <w:vAlign w:val="center"/>
          </w:tcPr>
          <w:p w14:paraId="4115D300">
            <w:pPr>
              <w:widowControl/>
              <w:spacing w:line="360" w:lineRule="auto"/>
              <w:contextualSpacing/>
              <w:jc w:val="center"/>
              <w:rPr>
                <w:rFonts w:hint="eastAsia" w:ascii="Times New Roman" w:hAnsi="Times New Roman" w:eastAsia="宋体" w:cs="Times New Roman"/>
                <w:kern w:val="0"/>
                <w:sz w:val="20"/>
                <w:szCs w:val="20"/>
              </w:rPr>
            </w:pPr>
            <w:r>
              <w:rPr>
                <w:rFonts w:hint="eastAsia" w:ascii="Times New Roman" w:hAnsi="Times New Roman" w:eastAsia="宋体" w:cs="Times New Roman"/>
                <w:kern w:val="0"/>
                <w:sz w:val="20"/>
                <w:szCs w:val="20"/>
              </w:rPr>
              <w:t>CAS</w:t>
            </w:r>
            <w:r>
              <w:rPr>
                <w:rFonts w:hint="eastAsia" w:ascii="Times New Roman" w:hAnsi="Times New Roman" w:eastAsia="宋体" w:cs="Times New Roman"/>
                <w:kern w:val="0"/>
                <w:sz w:val="20"/>
                <w:szCs w:val="20"/>
                <w:lang w:val="en-US" w:eastAsia="zh-CN"/>
              </w:rPr>
              <w:t xml:space="preserve"> </w:t>
            </w:r>
            <w:r>
              <w:rPr>
                <w:rFonts w:hint="eastAsia" w:ascii="Times New Roman" w:hAnsi="Times New Roman" w:eastAsia="宋体" w:cs="Times New Roman"/>
                <w:kern w:val="0"/>
                <w:sz w:val="20"/>
                <w:szCs w:val="20"/>
              </w:rPr>
              <w:t>97682-44-5</w:t>
            </w:r>
          </w:p>
        </w:tc>
      </w:tr>
      <w:tr w14:paraId="7267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4FE461D0">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rPr>
              <w:t>Gemcitabine</w:t>
            </w:r>
          </w:p>
        </w:tc>
        <w:tc>
          <w:tcPr>
            <w:tcW w:w="2122" w:type="dxa"/>
            <w:tcBorders>
              <w:top w:val="nil"/>
              <w:left w:val="nil"/>
              <w:bottom w:val="nil"/>
              <w:right w:val="nil"/>
            </w:tcBorders>
            <w:shd w:val="clear" w:color="auto" w:fill="auto"/>
            <w:noWrap/>
            <w:vAlign w:val="center"/>
          </w:tcPr>
          <w:p w14:paraId="374D9F5B">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TargetMol </w:t>
            </w:r>
          </w:p>
        </w:tc>
        <w:tc>
          <w:tcPr>
            <w:tcW w:w="2122" w:type="dxa"/>
            <w:tcBorders>
              <w:top w:val="nil"/>
              <w:left w:val="nil"/>
              <w:bottom w:val="nil"/>
              <w:right w:val="nil"/>
            </w:tcBorders>
            <w:shd w:val="clear" w:color="auto" w:fill="auto"/>
            <w:noWrap/>
            <w:vAlign w:val="center"/>
          </w:tcPr>
          <w:p w14:paraId="5716FAA2">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rPr>
              <w:t>CAS 95058-81-4</w:t>
            </w:r>
          </w:p>
        </w:tc>
      </w:tr>
      <w:tr w14:paraId="12D8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592CC0C7">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SHIN1</w:t>
            </w:r>
          </w:p>
        </w:tc>
        <w:tc>
          <w:tcPr>
            <w:tcW w:w="2122" w:type="dxa"/>
            <w:tcBorders>
              <w:top w:val="nil"/>
              <w:left w:val="nil"/>
              <w:bottom w:val="nil"/>
              <w:right w:val="nil"/>
            </w:tcBorders>
            <w:shd w:val="clear" w:color="auto" w:fill="auto"/>
            <w:noWrap/>
            <w:vAlign w:val="center"/>
          </w:tcPr>
          <w:p w14:paraId="432BBF00">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Macklin</w:t>
            </w:r>
          </w:p>
        </w:tc>
        <w:tc>
          <w:tcPr>
            <w:tcW w:w="2122" w:type="dxa"/>
            <w:tcBorders>
              <w:top w:val="nil"/>
              <w:left w:val="nil"/>
              <w:bottom w:val="nil"/>
              <w:right w:val="nil"/>
            </w:tcBorders>
            <w:shd w:val="clear" w:color="auto" w:fill="auto"/>
            <w:noWrap/>
            <w:vAlign w:val="center"/>
          </w:tcPr>
          <w:p w14:paraId="0A989C9F">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S880436</w:t>
            </w:r>
          </w:p>
        </w:tc>
      </w:tr>
      <w:tr w14:paraId="155E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5265D1B1">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rPr>
              <w:t>SA</w:t>
            </w:r>
            <w:r>
              <w:rPr>
                <w:rFonts w:hint="default" w:ascii="Times New Roman" w:hAnsi="Times New Roman" w:eastAsia="宋体" w:cs="Times New Roman"/>
                <w:kern w:val="0"/>
                <w:sz w:val="20"/>
                <w:szCs w:val="20"/>
              </w:rPr>
              <w:noBreakHyphen/>
            </w:r>
            <w:r>
              <w:rPr>
                <w:rFonts w:hint="default" w:ascii="Times New Roman" w:hAnsi="Times New Roman" w:eastAsia="宋体" w:cs="Times New Roman"/>
                <w:kern w:val="0"/>
                <w:sz w:val="20"/>
                <w:szCs w:val="20"/>
              </w:rPr>
              <w:t>β</w:t>
            </w:r>
            <w:r>
              <w:rPr>
                <w:rFonts w:hint="default" w:ascii="Times New Roman" w:hAnsi="Times New Roman" w:eastAsia="宋体" w:cs="Times New Roman"/>
                <w:kern w:val="0"/>
                <w:sz w:val="20"/>
                <w:szCs w:val="20"/>
              </w:rPr>
              <w:noBreakHyphen/>
            </w:r>
            <w:r>
              <w:rPr>
                <w:rFonts w:hint="default" w:ascii="Times New Roman" w:hAnsi="Times New Roman" w:eastAsia="宋体" w:cs="Times New Roman"/>
                <w:kern w:val="0"/>
                <w:sz w:val="20"/>
                <w:szCs w:val="20"/>
              </w:rPr>
              <w:t>gal</w:t>
            </w:r>
          </w:p>
        </w:tc>
        <w:tc>
          <w:tcPr>
            <w:tcW w:w="2122" w:type="dxa"/>
            <w:tcBorders>
              <w:top w:val="nil"/>
              <w:left w:val="nil"/>
              <w:bottom w:val="nil"/>
              <w:right w:val="nil"/>
            </w:tcBorders>
            <w:shd w:val="clear" w:color="auto" w:fill="auto"/>
            <w:noWrap/>
            <w:vAlign w:val="center"/>
          </w:tcPr>
          <w:p w14:paraId="18335F63">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Beyotime</w:t>
            </w:r>
          </w:p>
        </w:tc>
        <w:tc>
          <w:tcPr>
            <w:tcW w:w="2122" w:type="dxa"/>
            <w:tcBorders>
              <w:top w:val="nil"/>
              <w:left w:val="nil"/>
              <w:bottom w:val="nil"/>
              <w:right w:val="nil"/>
            </w:tcBorders>
            <w:shd w:val="clear" w:color="auto" w:fill="auto"/>
            <w:noWrap/>
            <w:vAlign w:val="center"/>
          </w:tcPr>
          <w:p w14:paraId="08C08CD7">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rPr>
              <w:t>C0602</w:t>
            </w:r>
          </w:p>
        </w:tc>
      </w:tr>
      <w:tr w14:paraId="4FEC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782596BD">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SHIN2</w:t>
            </w:r>
          </w:p>
        </w:tc>
        <w:tc>
          <w:tcPr>
            <w:tcW w:w="2122" w:type="dxa"/>
            <w:tcBorders>
              <w:top w:val="nil"/>
              <w:left w:val="nil"/>
              <w:bottom w:val="nil"/>
              <w:right w:val="nil"/>
            </w:tcBorders>
            <w:shd w:val="clear" w:color="auto" w:fill="auto"/>
            <w:noWrap/>
            <w:vAlign w:val="center"/>
          </w:tcPr>
          <w:p w14:paraId="6AA866CB">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TargetMol</w:t>
            </w:r>
          </w:p>
        </w:tc>
        <w:tc>
          <w:tcPr>
            <w:tcW w:w="2122" w:type="dxa"/>
            <w:tcBorders>
              <w:top w:val="nil"/>
              <w:left w:val="nil"/>
              <w:bottom w:val="nil"/>
              <w:right w:val="nil"/>
            </w:tcBorders>
            <w:shd w:val="clear" w:color="auto" w:fill="auto"/>
            <w:noWrap/>
            <w:vAlign w:val="center"/>
          </w:tcPr>
          <w:p w14:paraId="6E930811">
            <w:pPr>
              <w:widowControl/>
              <w:spacing w:line="360" w:lineRule="auto"/>
              <w:contextualSpacing/>
              <w:jc w:val="center"/>
              <w:rPr>
                <w:rFonts w:hint="eastAsia" w:ascii="Times New Roman" w:hAnsi="Times New Roman" w:eastAsia="宋体" w:cs="Times New Roman"/>
                <w:kern w:val="0"/>
                <w:sz w:val="20"/>
                <w:szCs w:val="20"/>
              </w:rPr>
            </w:pPr>
            <w:r>
              <w:rPr>
                <w:rFonts w:hint="eastAsia" w:ascii="Times New Roman" w:hAnsi="Times New Roman" w:eastAsia="宋体" w:cs="Times New Roman"/>
                <w:kern w:val="0"/>
                <w:sz w:val="20"/>
                <w:szCs w:val="20"/>
                <w:lang w:val="en-US" w:eastAsia="zh-CN"/>
              </w:rPr>
              <w:t xml:space="preserve">CAS </w:t>
            </w:r>
            <w:r>
              <w:rPr>
                <w:rFonts w:hint="eastAsia" w:ascii="Times New Roman" w:hAnsi="Times New Roman" w:eastAsia="宋体" w:cs="Times New Roman"/>
                <w:kern w:val="0"/>
                <w:sz w:val="20"/>
                <w:szCs w:val="20"/>
              </w:rPr>
              <w:t>2204289-53-0</w:t>
            </w:r>
          </w:p>
        </w:tc>
      </w:tr>
      <w:tr w14:paraId="7AF3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0C090CC5">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AGF347</w:t>
            </w:r>
          </w:p>
        </w:tc>
        <w:tc>
          <w:tcPr>
            <w:tcW w:w="2122" w:type="dxa"/>
            <w:tcBorders>
              <w:top w:val="nil"/>
              <w:left w:val="nil"/>
              <w:bottom w:val="nil"/>
              <w:right w:val="nil"/>
            </w:tcBorders>
            <w:shd w:val="clear" w:color="auto" w:fill="auto"/>
            <w:noWrap/>
            <w:vAlign w:val="center"/>
          </w:tcPr>
          <w:p w14:paraId="1968D6E2">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Sigma-Aldrich</w:t>
            </w:r>
          </w:p>
        </w:tc>
        <w:tc>
          <w:tcPr>
            <w:tcW w:w="2122" w:type="dxa"/>
            <w:tcBorders>
              <w:top w:val="nil"/>
              <w:left w:val="nil"/>
              <w:bottom w:val="nil"/>
              <w:right w:val="nil"/>
            </w:tcBorders>
            <w:shd w:val="clear" w:color="auto" w:fill="auto"/>
            <w:noWrap/>
            <w:vAlign w:val="center"/>
          </w:tcPr>
          <w:p w14:paraId="38F5E6A1">
            <w:pPr>
              <w:widowControl/>
              <w:spacing w:line="360" w:lineRule="auto"/>
              <w:contextualSpacing/>
              <w:jc w:val="center"/>
              <w:rPr>
                <w:rFonts w:hint="eastAsia" w:ascii="Times New Roman" w:hAnsi="Times New Roman" w:eastAsia="宋体" w:cs="Times New Roman"/>
                <w:kern w:val="0"/>
                <w:sz w:val="20"/>
                <w:szCs w:val="20"/>
              </w:rPr>
            </w:pPr>
            <w:r>
              <w:rPr>
                <w:rFonts w:hint="eastAsia" w:ascii="Times New Roman" w:hAnsi="Times New Roman" w:eastAsia="宋体" w:cs="Times New Roman"/>
                <w:kern w:val="0"/>
                <w:sz w:val="20"/>
                <w:szCs w:val="20"/>
                <w:lang w:val="en-US" w:eastAsia="zh-CN"/>
              </w:rPr>
              <w:t xml:space="preserve">CAS </w:t>
            </w:r>
            <w:r>
              <w:rPr>
                <w:rFonts w:hint="eastAsia" w:ascii="Times New Roman" w:hAnsi="Times New Roman" w:eastAsia="宋体" w:cs="Times New Roman"/>
                <w:kern w:val="0"/>
                <w:sz w:val="20"/>
                <w:szCs w:val="20"/>
              </w:rPr>
              <w:t>2294820-23-6</w:t>
            </w:r>
          </w:p>
        </w:tc>
      </w:tr>
      <w:tr w14:paraId="400F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single" w:color="auto" w:sz="4" w:space="0"/>
              <w:right w:val="nil"/>
            </w:tcBorders>
            <w:shd w:val="clear" w:color="auto" w:fill="auto"/>
            <w:noWrap/>
            <w:vAlign w:val="center"/>
          </w:tcPr>
          <w:p w14:paraId="1D87612A">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PFT-α</w:t>
            </w:r>
          </w:p>
        </w:tc>
        <w:tc>
          <w:tcPr>
            <w:tcW w:w="2122" w:type="dxa"/>
            <w:tcBorders>
              <w:top w:val="nil"/>
              <w:left w:val="nil"/>
              <w:bottom w:val="single" w:color="auto" w:sz="4" w:space="0"/>
              <w:right w:val="nil"/>
            </w:tcBorders>
            <w:shd w:val="clear" w:color="auto" w:fill="auto"/>
            <w:noWrap/>
            <w:vAlign w:val="center"/>
          </w:tcPr>
          <w:p w14:paraId="67BA4D8B">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MCE</w:t>
            </w:r>
          </w:p>
        </w:tc>
        <w:tc>
          <w:tcPr>
            <w:tcW w:w="2122" w:type="dxa"/>
            <w:tcBorders>
              <w:top w:val="nil"/>
              <w:left w:val="nil"/>
              <w:bottom w:val="single" w:color="auto" w:sz="4" w:space="0"/>
              <w:right w:val="nil"/>
            </w:tcBorders>
            <w:shd w:val="clear" w:color="auto" w:fill="auto"/>
            <w:noWrap/>
            <w:vAlign w:val="center"/>
          </w:tcPr>
          <w:p w14:paraId="32671600">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CAS </w:t>
            </w:r>
            <w:r>
              <w:rPr>
                <w:rFonts w:hint="eastAsia" w:ascii="Times New Roman" w:hAnsi="Times New Roman" w:eastAsia="宋体" w:cs="Times New Roman"/>
                <w:kern w:val="0"/>
                <w:sz w:val="20"/>
                <w:szCs w:val="20"/>
                <w:lang w:val="en-US" w:eastAsia="zh-CN"/>
              </w:rPr>
              <w:fldChar w:fldCharType="begin"/>
            </w:r>
            <w:r>
              <w:rPr>
                <w:rFonts w:hint="eastAsia" w:ascii="Times New Roman" w:hAnsi="Times New Roman" w:eastAsia="宋体" w:cs="Times New Roman"/>
                <w:kern w:val="0"/>
                <w:sz w:val="20"/>
                <w:szCs w:val="20"/>
                <w:lang w:val="en-US" w:eastAsia="zh-CN"/>
              </w:rPr>
              <w:instrText xml:space="preserve"> HYPERLINK "https://www.medchemexpress.cn/cas/63208-82-2.html" </w:instrText>
            </w:r>
            <w:r>
              <w:rPr>
                <w:rFonts w:hint="eastAsia" w:ascii="Times New Roman" w:hAnsi="Times New Roman" w:eastAsia="宋体" w:cs="Times New Roman"/>
                <w:kern w:val="0"/>
                <w:sz w:val="20"/>
                <w:szCs w:val="20"/>
                <w:lang w:val="en-US" w:eastAsia="zh-CN"/>
              </w:rPr>
              <w:fldChar w:fldCharType="separate"/>
            </w:r>
            <w:r>
              <w:rPr>
                <w:rFonts w:hint="eastAsia" w:ascii="Times New Roman" w:hAnsi="Times New Roman" w:eastAsia="宋体" w:cs="Times New Roman"/>
                <w:kern w:val="0"/>
                <w:sz w:val="20"/>
                <w:szCs w:val="20"/>
                <w:lang w:val="en-US" w:eastAsia="zh-CN"/>
              </w:rPr>
              <w:t xml:space="preserve">63208-82-2 </w:t>
            </w:r>
            <w:r>
              <w:rPr>
                <w:rFonts w:hint="eastAsia" w:ascii="Times New Roman" w:hAnsi="Times New Roman" w:eastAsia="宋体" w:cs="Times New Roman"/>
                <w:kern w:val="0"/>
                <w:sz w:val="20"/>
                <w:szCs w:val="20"/>
                <w:lang w:val="en-US" w:eastAsia="zh-CN"/>
              </w:rPr>
              <w:fldChar w:fldCharType="end"/>
            </w:r>
          </w:p>
        </w:tc>
      </w:tr>
      <w:bookmarkEnd w:id="2"/>
    </w:tbl>
    <w:p w14:paraId="733F5AA6">
      <w:pPr>
        <w:spacing w:line="360" w:lineRule="auto"/>
        <w:contextualSpacing/>
        <w:rPr>
          <w:rFonts w:ascii="Times New Roman" w:hAnsi="Times New Roman" w:cs="Times New Roman"/>
          <w:sz w:val="20"/>
          <w:szCs w:val="20"/>
        </w:rPr>
      </w:pPr>
    </w:p>
    <w:p w14:paraId="0B542425">
      <w:pPr>
        <w:spacing w:line="360" w:lineRule="auto"/>
        <w:contextualSpacing/>
        <w:rPr>
          <w:rFonts w:ascii="Times New Roman" w:hAnsi="Times New Roman" w:cs="Times New Roman"/>
          <w:sz w:val="20"/>
          <w:szCs w:val="20"/>
        </w:rPr>
      </w:pPr>
    </w:p>
    <w:p w14:paraId="177A88AE">
      <w:pPr>
        <w:spacing w:line="360" w:lineRule="auto"/>
        <w:contextualSpacing/>
        <w:rPr>
          <w:rFonts w:ascii="Times New Roman" w:hAnsi="Times New Roman" w:cs="Times New Roman"/>
          <w:sz w:val="20"/>
          <w:szCs w:val="20"/>
        </w:rPr>
      </w:pPr>
    </w:p>
    <w:tbl>
      <w:tblPr>
        <w:tblStyle w:val="6"/>
        <w:tblpPr w:leftFromText="180" w:rightFromText="180" w:vertAnchor="text" w:horzAnchor="page" w:tblpX="1904" w:tblpY="4878"/>
        <w:tblOverlap w:val="never"/>
        <w:tblW w:w="66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2122"/>
        <w:gridCol w:w="2429"/>
      </w:tblGrid>
      <w:tr w14:paraId="7230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673" w:type="dxa"/>
            <w:gridSpan w:val="3"/>
            <w:tcBorders>
              <w:top w:val="nil"/>
              <w:left w:val="nil"/>
              <w:bottom w:val="single" w:color="auto" w:sz="4" w:space="0"/>
              <w:right w:val="nil"/>
            </w:tcBorders>
            <w:shd w:val="clear" w:color="auto" w:fill="auto"/>
            <w:noWrap/>
          </w:tcPr>
          <w:p w14:paraId="47F0F255">
            <w:pPr>
              <w:widowControl/>
              <w:spacing w:line="360" w:lineRule="auto"/>
              <w:contextualSpacing/>
              <w:jc w:val="left"/>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b w:val="0"/>
                <w:bCs w:val="0"/>
                <w:kern w:val="0"/>
                <w:sz w:val="20"/>
                <w:szCs w:val="20"/>
                <w:lang w:val="en-US" w:eastAsia="zh-CN"/>
              </w:rPr>
              <w:t>Supplementary Table4</w:t>
            </w:r>
            <w:r>
              <w:rPr>
                <w:rFonts w:ascii="Times New Roman" w:hAnsi="Times New Roman" w:eastAsia="宋体" w:cs="Times New Roman"/>
                <w:kern w:val="0"/>
                <w:sz w:val="20"/>
                <w:szCs w:val="20"/>
              </w:rPr>
              <w:t xml:space="preserve">. The </w:t>
            </w:r>
            <w:r>
              <w:rPr>
                <w:rFonts w:hint="eastAsia" w:ascii="Times New Roman" w:hAnsi="Times New Roman" w:eastAsia="宋体" w:cs="Times New Roman"/>
                <w:kern w:val="0"/>
                <w:sz w:val="20"/>
                <w:szCs w:val="20"/>
                <w:lang w:val="en-US" w:eastAsia="zh-CN"/>
              </w:rPr>
              <w:t>antibodies used in the stud</w:t>
            </w:r>
            <w:r>
              <w:rPr>
                <w:rFonts w:ascii="Times New Roman" w:hAnsi="Times New Roman" w:eastAsia="宋体" w:cs="Times New Roman"/>
                <w:kern w:val="0"/>
                <w:sz w:val="20"/>
                <w:szCs w:val="20"/>
              </w:rPr>
              <w:t>y.</w:t>
            </w:r>
          </w:p>
        </w:tc>
      </w:tr>
      <w:tr w14:paraId="79F0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single" w:color="auto" w:sz="4" w:space="0"/>
              <w:left w:val="nil"/>
              <w:bottom w:val="nil"/>
              <w:right w:val="nil"/>
            </w:tcBorders>
            <w:shd w:val="clear" w:color="auto" w:fill="auto"/>
            <w:noWrap/>
          </w:tcPr>
          <w:p w14:paraId="1A923DD5">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Antibody</w:t>
            </w:r>
          </w:p>
        </w:tc>
        <w:tc>
          <w:tcPr>
            <w:tcW w:w="2122" w:type="dxa"/>
            <w:tcBorders>
              <w:top w:val="single" w:color="auto" w:sz="4" w:space="0"/>
              <w:left w:val="nil"/>
              <w:bottom w:val="nil"/>
              <w:right w:val="nil"/>
            </w:tcBorders>
            <w:shd w:val="clear" w:color="auto" w:fill="auto"/>
            <w:noWrap/>
          </w:tcPr>
          <w:p w14:paraId="4EA89581">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Manufacture</w:t>
            </w:r>
          </w:p>
        </w:tc>
        <w:tc>
          <w:tcPr>
            <w:tcW w:w="2429" w:type="dxa"/>
            <w:tcBorders>
              <w:top w:val="single" w:color="auto" w:sz="4" w:space="0"/>
              <w:left w:val="nil"/>
              <w:bottom w:val="nil"/>
              <w:right w:val="nil"/>
            </w:tcBorders>
            <w:shd w:val="clear" w:color="auto" w:fill="auto"/>
            <w:noWrap/>
            <w:vAlign w:val="top"/>
          </w:tcPr>
          <w:p w14:paraId="3AEF4249">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Catalog number</w:t>
            </w:r>
          </w:p>
        </w:tc>
      </w:tr>
      <w:tr w14:paraId="3F55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top"/>
          </w:tcPr>
          <w:p w14:paraId="7B930CC2">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SHMT1</w:t>
            </w:r>
          </w:p>
        </w:tc>
        <w:tc>
          <w:tcPr>
            <w:tcW w:w="2122" w:type="dxa"/>
            <w:tcBorders>
              <w:top w:val="nil"/>
              <w:left w:val="nil"/>
              <w:bottom w:val="nil"/>
              <w:right w:val="nil"/>
            </w:tcBorders>
            <w:shd w:val="clear" w:color="auto" w:fill="auto"/>
            <w:noWrap/>
            <w:vAlign w:val="top"/>
          </w:tcPr>
          <w:p w14:paraId="1CB2CB15">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Abcam</w:t>
            </w:r>
          </w:p>
        </w:tc>
        <w:tc>
          <w:tcPr>
            <w:tcW w:w="2429" w:type="dxa"/>
            <w:tcBorders>
              <w:top w:val="nil"/>
              <w:left w:val="nil"/>
              <w:bottom w:val="nil"/>
              <w:right w:val="nil"/>
            </w:tcBorders>
            <w:shd w:val="clear" w:color="auto" w:fill="auto"/>
            <w:noWrap/>
            <w:vAlign w:val="top"/>
          </w:tcPr>
          <w:p w14:paraId="0118EF67">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ab186130</w:t>
            </w:r>
          </w:p>
        </w:tc>
      </w:tr>
      <w:tr w14:paraId="5B0E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6117B365">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SHMT2</w:t>
            </w:r>
          </w:p>
        </w:tc>
        <w:tc>
          <w:tcPr>
            <w:tcW w:w="2122" w:type="dxa"/>
            <w:tcBorders>
              <w:top w:val="nil"/>
              <w:left w:val="nil"/>
              <w:bottom w:val="nil"/>
              <w:right w:val="nil"/>
            </w:tcBorders>
            <w:shd w:val="clear" w:color="auto" w:fill="auto"/>
            <w:noWrap/>
            <w:vAlign w:val="center"/>
          </w:tcPr>
          <w:p w14:paraId="0B7EE964">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Abcam </w:t>
            </w:r>
          </w:p>
        </w:tc>
        <w:tc>
          <w:tcPr>
            <w:tcW w:w="2429" w:type="dxa"/>
            <w:tcBorders>
              <w:top w:val="nil"/>
              <w:left w:val="nil"/>
              <w:bottom w:val="nil"/>
              <w:right w:val="nil"/>
            </w:tcBorders>
            <w:shd w:val="clear" w:color="auto" w:fill="auto"/>
            <w:noWrap/>
            <w:vAlign w:val="center"/>
          </w:tcPr>
          <w:p w14:paraId="264139E2">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ab224427</w:t>
            </w:r>
          </w:p>
        </w:tc>
      </w:tr>
      <w:tr w14:paraId="0530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223B9276">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P21</w:t>
            </w:r>
          </w:p>
        </w:tc>
        <w:tc>
          <w:tcPr>
            <w:tcW w:w="2122" w:type="dxa"/>
            <w:tcBorders>
              <w:top w:val="nil"/>
              <w:left w:val="nil"/>
              <w:bottom w:val="nil"/>
              <w:right w:val="nil"/>
            </w:tcBorders>
            <w:shd w:val="clear" w:color="auto" w:fill="auto"/>
            <w:noWrap/>
            <w:vAlign w:val="center"/>
          </w:tcPr>
          <w:p w14:paraId="7ABA84AD">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Proteintech </w:t>
            </w:r>
          </w:p>
        </w:tc>
        <w:tc>
          <w:tcPr>
            <w:tcW w:w="2429" w:type="dxa"/>
            <w:tcBorders>
              <w:top w:val="nil"/>
              <w:left w:val="nil"/>
              <w:bottom w:val="nil"/>
              <w:right w:val="nil"/>
            </w:tcBorders>
            <w:shd w:val="clear" w:color="auto" w:fill="auto"/>
            <w:noWrap/>
            <w:vAlign w:val="center"/>
          </w:tcPr>
          <w:p w14:paraId="40B83E46">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rPr>
              <w:t>10355-1-AP</w:t>
            </w:r>
          </w:p>
        </w:tc>
      </w:tr>
      <w:tr w14:paraId="41FB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364F72F1">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GADD45A</w:t>
            </w:r>
          </w:p>
        </w:tc>
        <w:tc>
          <w:tcPr>
            <w:tcW w:w="2122" w:type="dxa"/>
            <w:tcBorders>
              <w:top w:val="nil"/>
              <w:left w:val="nil"/>
              <w:bottom w:val="nil"/>
              <w:right w:val="nil"/>
            </w:tcBorders>
            <w:shd w:val="clear" w:color="auto" w:fill="auto"/>
            <w:noWrap/>
            <w:vAlign w:val="center"/>
          </w:tcPr>
          <w:p w14:paraId="7D60FE61">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Invitrogen</w:t>
            </w:r>
          </w:p>
        </w:tc>
        <w:tc>
          <w:tcPr>
            <w:tcW w:w="2429" w:type="dxa"/>
            <w:tcBorders>
              <w:top w:val="nil"/>
              <w:left w:val="nil"/>
              <w:bottom w:val="nil"/>
              <w:right w:val="nil"/>
            </w:tcBorders>
            <w:shd w:val="clear" w:color="auto" w:fill="auto"/>
            <w:noWrap/>
            <w:vAlign w:val="center"/>
          </w:tcPr>
          <w:p w14:paraId="3495805F">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PA5-88248</w:t>
            </w:r>
          </w:p>
        </w:tc>
      </w:tr>
      <w:tr w14:paraId="1EAF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7AC0B991">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CDK4</w:t>
            </w:r>
          </w:p>
        </w:tc>
        <w:tc>
          <w:tcPr>
            <w:tcW w:w="2122" w:type="dxa"/>
            <w:tcBorders>
              <w:top w:val="nil"/>
              <w:left w:val="nil"/>
              <w:bottom w:val="nil"/>
              <w:right w:val="nil"/>
            </w:tcBorders>
            <w:shd w:val="clear" w:color="auto" w:fill="auto"/>
            <w:noWrap/>
            <w:vAlign w:val="center"/>
          </w:tcPr>
          <w:p w14:paraId="35DBC915">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 xml:space="preserve">Immunoway </w:t>
            </w:r>
          </w:p>
        </w:tc>
        <w:tc>
          <w:tcPr>
            <w:tcW w:w="2429" w:type="dxa"/>
            <w:tcBorders>
              <w:top w:val="nil"/>
              <w:left w:val="nil"/>
              <w:bottom w:val="nil"/>
              <w:right w:val="nil"/>
            </w:tcBorders>
            <w:shd w:val="clear" w:color="auto" w:fill="auto"/>
            <w:noWrap/>
            <w:vAlign w:val="center"/>
          </w:tcPr>
          <w:p w14:paraId="117AD4AB">
            <w:pPr>
              <w:widowControl/>
              <w:spacing w:line="360" w:lineRule="auto"/>
              <w:contextualSpacing/>
              <w:jc w:val="center"/>
              <w:rPr>
                <w:rFonts w:hint="eastAsia" w:ascii="Times New Roman" w:hAnsi="Times New Roman" w:eastAsia="宋体" w:cs="Times New Roman"/>
                <w:kern w:val="0"/>
                <w:sz w:val="20"/>
                <w:szCs w:val="20"/>
                <w:lang w:val="en-US" w:eastAsia="zh-CN"/>
              </w:rPr>
            </w:pPr>
            <w:bookmarkStart w:id="3" w:name="OLE_LINK4"/>
            <w:r>
              <w:rPr>
                <w:rFonts w:hint="eastAsia" w:ascii="Times New Roman" w:hAnsi="Times New Roman" w:eastAsia="宋体" w:cs="Times New Roman"/>
                <w:kern w:val="0"/>
                <w:sz w:val="20"/>
                <w:szCs w:val="20"/>
                <w:lang w:val="en-US" w:eastAsia="zh-CN"/>
              </w:rPr>
              <w:t>YT5198</w:t>
            </w:r>
            <w:bookmarkEnd w:id="3"/>
          </w:p>
        </w:tc>
      </w:tr>
      <w:tr w14:paraId="4AF8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6837EEEA">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CDK6</w:t>
            </w:r>
          </w:p>
        </w:tc>
        <w:tc>
          <w:tcPr>
            <w:tcW w:w="2122" w:type="dxa"/>
            <w:tcBorders>
              <w:top w:val="nil"/>
              <w:left w:val="nil"/>
              <w:bottom w:val="nil"/>
              <w:right w:val="nil"/>
            </w:tcBorders>
            <w:shd w:val="clear" w:color="auto" w:fill="auto"/>
            <w:noWrap/>
            <w:vAlign w:val="center"/>
          </w:tcPr>
          <w:p w14:paraId="1475A6C7">
            <w:pPr>
              <w:widowControl/>
              <w:spacing w:line="360" w:lineRule="auto"/>
              <w:contextualSpacing/>
              <w:jc w:val="center"/>
              <w:rPr>
                <w:rFonts w:hint="eastAsia" w:ascii="Times New Roman" w:hAnsi="Times New Roman" w:eastAsia="宋体" w:cs="Times New Roman"/>
                <w:kern w:val="0"/>
                <w:sz w:val="20"/>
                <w:szCs w:val="20"/>
                <w:lang w:val="en-US" w:eastAsia="zh-CN"/>
              </w:rPr>
            </w:pPr>
            <w:bookmarkStart w:id="4" w:name="OLE_LINK5"/>
            <w:r>
              <w:rPr>
                <w:rFonts w:hint="eastAsia" w:ascii="Times New Roman" w:hAnsi="Times New Roman" w:eastAsia="宋体" w:cs="Times New Roman"/>
                <w:kern w:val="0"/>
                <w:sz w:val="20"/>
                <w:szCs w:val="20"/>
                <w:lang w:val="en-US" w:eastAsia="zh-CN"/>
              </w:rPr>
              <w:t>Immunoway</w:t>
            </w:r>
            <w:bookmarkEnd w:id="4"/>
            <w:r>
              <w:rPr>
                <w:rFonts w:hint="eastAsia" w:ascii="Times New Roman" w:hAnsi="Times New Roman" w:eastAsia="宋体" w:cs="Times New Roman"/>
                <w:kern w:val="0"/>
                <w:sz w:val="20"/>
                <w:szCs w:val="20"/>
                <w:lang w:val="en-US" w:eastAsia="zh-CN"/>
              </w:rPr>
              <w:t xml:space="preserve"> </w:t>
            </w:r>
          </w:p>
        </w:tc>
        <w:tc>
          <w:tcPr>
            <w:tcW w:w="2429" w:type="dxa"/>
            <w:tcBorders>
              <w:top w:val="nil"/>
              <w:left w:val="nil"/>
              <w:bottom w:val="nil"/>
              <w:right w:val="nil"/>
            </w:tcBorders>
            <w:shd w:val="clear" w:color="auto" w:fill="auto"/>
            <w:noWrap/>
            <w:vAlign w:val="center"/>
          </w:tcPr>
          <w:p w14:paraId="1DCB3BEB">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YT5884</w:t>
            </w:r>
          </w:p>
        </w:tc>
      </w:tr>
      <w:tr w14:paraId="07C3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35690736">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GAPDH</w:t>
            </w:r>
          </w:p>
        </w:tc>
        <w:tc>
          <w:tcPr>
            <w:tcW w:w="2122" w:type="dxa"/>
            <w:tcBorders>
              <w:top w:val="nil"/>
              <w:left w:val="nil"/>
              <w:bottom w:val="nil"/>
              <w:right w:val="nil"/>
            </w:tcBorders>
            <w:shd w:val="clear" w:color="auto" w:fill="auto"/>
            <w:noWrap/>
            <w:vAlign w:val="center"/>
          </w:tcPr>
          <w:p w14:paraId="0E982754">
            <w:pPr>
              <w:widowControl/>
              <w:spacing w:line="360" w:lineRule="auto"/>
              <w:contextualSpacing/>
              <w:jc w:val="center"/>
              <w:rPr>
                <w:rFonts w:hint="default" w:ascii="Times New Roman" w:hAnsi="Times New Roman" w:eastAsia="宋体" w:cs="Times New Roman"/>
                <w:kern w:val="0"/>
                <w:sz w:val="20"/>
                <w:szCs w:val="20"/>
                <w:lang w:val="en-US" w:eastAsia="zh-CN" w:bidi="ar-SA"/>
              </w:rPr>
            </w:pPr>
            <w:r>
              <w:rPr>
                <w:rFonts w:hint="eastAsia" w:ascii="Times New Roman" w:hAnsi="Times New Roman" w:eastAsia="宋体" w:cs="Times New Roman"/>
                <w:kern w:val="0"/>
                <w:sz w:val="20"/>
                <w:szCs w:val="20"/>
                <w:lang w:val="en-US" w:eastAsia="zh-CN"/>
              </w:rPr>
              <w:t xml:space="preserve">Immunoway </w:t>
            </w:r>
          </w:p>
        </w:tc>
        <w:tc>
          <w:tcPr>
            <w:tcW w:w="2429" w:type="dxa"/>
            <w:tcBorders>
              <w:top w:val="nil"/>
              <w:left w:val="nil"/>
              <w:bottom w:val="nil"/>
              <w:right w:val="nil"/>
            </w:tcBorders>
            <w:shd w:val="clear" w:color="auto" w:fill="auto"/>
            <w:noWrap/>
            <w:vAlign w:val="center"/>
          </w:tcPr>
          <w:p w14:paraId="3718C6A1">
            <w:pPr>
              <w:widowControl/>
              <w:spacing w:line="360" w:lineRule="auto"/>
              <w:contextualSpacing/>
              <w:jc w:val="center"/>
              <w:rPr>
                <w:rFonts w:hint="default" w:ascii="Times New Roman" w:hAnsi="Times New Roman" w:eastAsia="宋体" w:cs="Times New Roman"/>
                <w:kern w:val="0"/>
                <w:sz w:val="20"/>
                <w:szCs w:val="20"/>
                <w:lang w:val="en-US" w:eastAsia="zh-CN"/>
              </w:rPr>
            </w:pPr>
            <w:bookmarkStart w:id="5" w:name="OLE_LINK6"/>
            <w:r>
              <w:rPr>
                <w:rFonts w:hint="eastAsia" w:ascii="Times New Roman" w:hAnsi="Times New Roman" w:eastAsia="宋体" w:cs="Times New Roman"/>
                <w:kern w:val="0"/>
                <w:sz w:val="20"/>
                <w:szCs w:val="20"/>
                <w:lang w:val="en-US" w:eastAsia="zh-CN"/>
              </w:rPr>
              <w:t>YM3029</w:t>
            </w:r>
            <w:bookmarkEnd w:id="5"/>
          </w:p>
        </w:tc>
      </w:tr>
      <w:tr w14:paraId="6AB4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586522B3">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α-t</w:t>
            </w:r>
            <w:r>
              <w:rPr>
                <w:rFonts w:hint="eastAsia" w:ascii="Times New Roman" w:hAnsi="Times New Roman" w:eastAsia="宋体" w:cs="Times New Roman"/>
                <w:kern w:val="0"/>
                <w:sz w:val="20"/>
                <w:szCs w:val="20"/>
                <w:lang w:val="en-US" w:eastAsia="zh-CN"/>
              </w:rPr>
              <w:t>ubulin</w:t>
            </w:r>
          </w:p>
        </w:tc>
        <w:tc>
          <w:tcPr>
            <w:tcW w:w="2122" w:type="dxa"/>
            <w:tcBorders>
              <w:top w:val="nil"/>
              <w:left w:val="nil"/>
              <w:bottom w:val="nil"/>
              <w:right w:val="nil"/>
            </w:tcBorders>
            <w:shd w:val="clear" w:color="auto" w:fill="auto"/>
            <w:noWrap/>
            <w:vAlign w:val="center"/>
          </w:tcPr>
          <w:p w14:paraId="28796657">
            <w:pPr>
              <w:widowControl/>
              <w:spacing w:line="360" w:lineRule="auto"/>
              <w:contextualSpacing/>
              <w:jc w:val="center"/>
              <w:rPr>
                <w:rFonts w:hint="eastAsia" w:ascii="Times New Roman" w:hAnsi="Times New Roman" w:eastAsia="宋体" w:cs="Times New Roman"/>
                <w:kern w:val="0"/>
                <w:sz w:val="20"/>
                <w:szCs w:val="20"/>
                <w:lang w:val="en-US" w:eastAsia="zh-CN" w:bidi="ar-SA"/>
              </w:rPr>
            </w:pPr>
            <w:bookmarkStart w:id="6" w:name="OLE_LINK7"/>
            <w:r>
              <w:rPr>
                <w:rFonts w:hint="eastAsia" w:ascii="Times New Roman" w:hAnsi="Times New Roman" w:eastAsia="宋体" w:cs="Times New Roman"/>
                <w:kern w:val="0"/>
                <w:sz w:val="20"/>
                <w:szCs w:val="20"/>
                <w:lang w:val="en-US" w:eastAsia="zh-CN"/>
              </w:rPr>
              <w:t>Immunoway</w:t>
            </w:r>
            <w:bookmarkEnd w:id="6"/>
          </w:p>
        </w:tc>
        <w:tc>
          <w:tcPr>
            <w:tcW w:w="2429" w:type="dxa"/>
            <w:tcBorders>
              <w:top w:val="nil"/>
              <w:left w:val="nil"/>
              <w:bottom w:val="nil"/>
              <w:right w:val="nil"/>
            </w:tcBorders>
            <w:shd w:val="clear" w:color="auto" w:fill="auto"/>
            <w:noWrap/>
            <w:vAlign w:val="center"/>
          </w:tcPr>
          <w:p w14:paraId="15372073">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YM3035</w:t>
            </w:r>
          </w:p>
        </w:tc>
      </w:tr>
      <w:tr w14:paraId="4BC4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nil"/>
              <w:right w:val="nil"/>
            </w:tcBorders>
            <w:shd w:val="clear" w:color="auto" w:fill="auto"/>
            <w:noWrap/>
            <w:vAlign w:val="center"/>
          </w:tcPr>
          <w:p w14:paraId="0F3FAC1F">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default" w:ascii="Times New Roman" w:hAnsi="Times New Roman" w:cs="Times New Roman"/>
                <w:sz w:val="20"/>
                <w:szCs w:val="20"/>
              </w:rPr>
              <w:t>γ-H2AX</w:t>
            </w:r>
          </w:p>
        </w:tc>
        <w:tc>
          <w:tcPr>
            <w:tcW w:w="2122" w:type="dxa"/>
            <w:tcBorders>
              <w:top w:val="nil"/>
              <w:left w:val="nil"/>
              <w:bottom w:val="nil"/>
              <w:right w:val="nil"/>
            </w:tcBorders>
            <w:shd w:val="clear" w:color="auto" w:fill="auto"/>
            <w:noWrap/>
            <w:vAlign w:val="center"/>
          </w:tcPr>
          <w:p w14:paraId="25ADA2B3">
            <w:pPr>
              <w:widowControl/>
              <w:spacing w:line="360" w:lineRule="auto"/>
              <w:contextualSpacing/>
              <w:jc w:val="center"/>
              <w:rPr>
                <w:rFonts w:hint="eastAsia"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Immunoway</w:t>
            </w:r>
          </w:p>
        </w:tc>
        <w:tc>
          <w:tcPr>
            <w:tcW w:w="2429" w:type="dxa"/>
            <w:tcBorders>
              <w:top w:val="nil"/>
              <w:left w:val="nil"/>
              <w:bottom w:val="nil"/>
              <w:right w:val="nil"/>
            </w:tcBorders>
            <w:shd w:val="clear" w:color="auto" w:fill="auto"/>
            <w:noWrap/>
            <w:vAlign w:val="center"/>
          </w:tcPr>
          <w:p w14:paraId="2BAF0BFE">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YM1429</w:t>
            </w:r>
          </w:p>
        </w:tc>
      </w:tr>
      <w:tr w14:paraId="793C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22" w:type="dxa"/>
            <w:tcBorders>
              <w:top w:val="nil"/>
              <w:left w:val="nil"/>
              <w:bottom w:val="single" w:color="auto" w:sz="4" w:space="0"/>
              <w:right w:val="nil"/>
            </w:tcBorders>
            <w:shd w:val="clear" w:color="auto" w:fill="auto"/>
            <w:noWrap/>
            <w:vAlign w:val="center"/>
          </w:tcPr>
          <w:p w14:paraId="6E85A52B">
            <w:pPr>
              <w:widowControl/>
              <w:spacing w:line="360" w:lineRule="auto"/>
              <w:contextualSpacing/>
              <w:jc w:val="center"/>
              <w:rPr>
                <w:rFonts w:hint="default" w:ascii="Times New Roman" w:hAnsi="Times New Roman" w:cs="Times New Roman" w:eastAsiaTheme="minorEastAsia"/>
                <w:sz w:val="20"/>
                <w:szCs w:val="20"/>
                <w:lang w:val="en-US" w:eastAsia="zh-CN"/>
              </w:rPr>
            </w:pPr>
            <w:r>
              <w:rPr>
                <w:rFonts w:hint="eastAsia" w:ascii="Times New Roman" w:hAnsi="Times New Roman" w:cs="Times New Roman"/>
                <w:sz w:val="20"/>
                <w:szCs w:val="20"/>
                <w:lang w:val="en-US" w:eastAsia="zh-CN"/>
              </w:rPr>
              <w:t>P53</w:t>
            </w:r>
          </w:p>
        </w:tc>
        <w:tc>
          <w:tcPr>
            <w:tcW w:w="2122" w:type="dxa"/>
            <w:tcBorders>
              <w:top w:val="nil"/>
              <w:left w:val="nil"/>
              <w:bottom w:val="single" w:color="auto" w:sz="4" w:space="0"/>
              <w:right w:val="nil"/>
            </w:tcBorders>
            <w:shd w:val="clear" w:color="auto" w:fill="auto"/>
            <w:noWrap/>
            <w:vAlign w:val="center"/>
          </w:tcPr>
          <w:p w14:paraId="488E7239">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Abcam</w:t>
            </w:r>
          </w:p>
        </w:tc>
        <w:tc>
          <w:tcPr>
            <w:tcW w:w="2429" w:type="dxa"/>
            <w:tcBorders>
              <w:top w:val="nil"/>
              <w:left w:val="nil"/>
              <w:bottom w:val="single" w:color="auto" w:sz="4" w:space="0"/>
              <w:right w:val="nil"/>
            </w:tcBorders>
            <w:shd w:val="clear" w:color="auto" w:fill="auto"/>
            <w:noWrap/>
            <w:vAlign w:val="center"/>
          </w:tcPr>
          <w:p w14:paraId="5AF4EF4C">
            <w:pPr>
              <w:widowControl/>
              <w:spacing w:line="360" w:lineRule="auto"/>
              <w:contextualSpacing/>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3</w:t>
            </w:r>
          </w:p>
        </w:tc>
      </w:tr>
    </w:tbl>
    <w:p w14:paraId="12B6BF93">
      <w:pPr>
        <w:spacing w:line="360" w:lineRule="auto"/>
        <w:contextualSpacing/>
        <w:rPr>
          <w:rFonts w:ascii="Times New Roman" w:hAnsi="Times New Roman" w:cs="Times New Roman"/>
          <w:sz w:val="20"/>
          <w:szCs w:val="20"/>
        </w:rPr>
      </w:pPr>
    </w:p>
    <w:p w14:paraId="5B23D4EC">
      <w:pPr>
        <w:spacing w:line="360" w:lineRule="auto"/>
        <w:contextualSpacing/>
        <w:rPr>
          <w:rFonts w:ascii="Times New Roman" w:hAnsi="Times New Roman" w:cs="Times New Roman"/>
          <w:sz w:val="20"/>
          <w:szCs w:val="20"/>
        </w:rPr>
      </w:pPr>
    </w:p>
    <w:p w14:paraId="7CB0F4D1">
      <w:pPr>
        <w:spacing w:line="360" w:lineRule="auto"/>
        <w:contextualSpacing/>
        <w:rPr>
          <w:rFonts w:ascii="Times New Roman" w:hAnsi="Times New Roman" w:cs="Times New Roman"/>
          <w:sz w:val="20"/>
          <w:szCs w:val="20"/>
        </w:rPr>
      </w:pPr>
    </w:p>
    <w:p w14:paraId="25F57C13">
      <w:pPr>
        <w:spacing w:line="360" w:lineRule="auto"/>
        <w:contextualSpacing/>
        <w:rPr>
          <w:rFonts w:ascii="Times New Roman" w:hAnsi="Times New Roman" w:cs="Times New Roman"/>
          <w:sz w:val="20"/>
          <w:szCs w:val="20"/>
        </w:rPr>
      </w:pPr>
    </w:p>
    <w:p w14:paraId="32149B17">
      <w:pPr>
        <w:spacing w:line="360" w:lineRule="auto"/>
        <w:contextualSpacing/>
        <w:rPr>
          <w:rFonts w:ascii="Times New Roman" w:hAnsi="Times New Roman" w:cs="Times New Roman"/>
          <w:sz w:val="20"/>
          <w:szCs w:val="20"/>
        </w:rPr>
      </w:pPr>
    </w:p>
    <w:p w14:paraId="18CB1702">
      <w:pPr>
        <w:spacing w:line="360" w:lineRule="auto"/>
        <w:contextualSpacing/>
        <w:rPr>
          <w:rFonts w:ascii="Times New Roman" w:hAnsi="Times New Roman" w:cs="Times New Roman"/>
          <w:sz w:val="20"/>
          <w:szCs w:val="20"/>
        </w:rPr>
      </w:pPr>
    </w:p>
    <w:p w14:paraId="41B61E2A">
      <w:pPr>
        <w:spacing w:line="360" w:lineRule="auto"/>
        <w:contextualSpacing/>
        <w:rPr>
          <w:rFonts w:ascii="Times New Roman" w:hAnsi="Times New Roman" w:cs="Times New Roman"/>
          <w:sz w:val="20"/>
          <w:szCs w:val="20"/>
        </w:rPr>
      </w:pPr>
    </w:p>
    <w:p w14:paraId="78FF30BB">
      <w:pPr>
        <w:spacing w:line="360" w:lineRule="auto"/>
        <w:contextualSpacing/>
        <w:rPr>
          <w:rFonts w:ascii="Times New Roman" w:hAnsi="Times New Roman" w:cs="Times New Roman"/>
          <w:sz w:val="20"/>
          <w:szCs w:val="20"/>
        </w:rPr>
      </w:pPr>
    </w:p>
    <w:p w14:paraId="0AFEAF54">
      <w:pPr>
        <w:spacing w:line="360" w:lineRule="auto"/>
        <w:contextualSpacing/>
        <w:rPr>
          <w:rFonts w:ascii="Times New Roman" w:hAnsi="Times New Roman" w:cs="Times New Roman"/>
          <w:sz w:val="20"/>
          <w:szCs w:val="20"/>
        </w:rPr>
      </w:pPr>
    </w:p>
    <w:p w14:paraId="515DF8DC">
      <w:pPr>
        <w:spacing w:line="360" w:lineRule="auto"/>
        <w:contextualSpacing/>
        <w:rPr>
          <w:rFonts w:ascii="Times New Roman" w:hAnsi="Times New Roman" w:cs="Times New Roman"/>
          <w:sz w:val="20"/>
          <w:szCs w:val="20"/>
        </w:rPr>
      </w:pPr>
    </w:p>
    <w:p w14:paraId="2395270F">
      <w:pPr>
        <w:spacing w:line="360" w:lineRule="auto"/>
        <w:contextualSpacing/>
        <w:rPr>
          <w:rFonts w:ascii="Times New Roman" w:hAnsi="Times New Roman" w:cs="Times New Roman"/>
          <w:sz w:val="20"/>
          <w:szCs w:val="20"/>
        </w:rPr>
      </w:pPr>
    </w:p>
    <w:p w14:paraId="509B229D">
      <w:pPr>
        <w:spacing w:line="360" w:lineRule="auto"/>
        <w:contextualSpacing/>
        <w:rPr>
          <w:rFonts w:ascii="Times New Roman" w:hAnsi="Times New Roman" w:cs="Times New Roman"/>
          <w:sz w:val="20"/>
          <w:szCs w:val="20"/>
        </w:rPr>
      </w:pPr>
    </w:p>
    <w:p w14:paraId="7F6086B6">
      <w:pPr>
        <w:spacing w:line="360" w:lineRule="auto"/>
        <w:contextualSpacing/>
        <w:rPr>
          <w:rFonts w:ascii="Times New Roman" w:hAnsi="Times New Roman" w:cs="Times New Roman"/>
          <w:sz w:val="20"/>
          <w:szCs w:val="20"/>
        </w:rPr>
      </w:pPr>
    </w:p>
    <w:p w14:paraId="214913CB">
      <w:pPr>
        <w:spacing w:line="360" w:lineRule="auto"/>
        <w:contextualSpacing/>
        <w:rPr>
          <w:rFonts w:ascii="Times New Roman" w:hAnsi="Times New Roman" w:cs="Times New Roman"/>
          <w:sz w:val="20"/>
          <w:szCs w:val="20"/>
        </w:rPr>
      </w:pPr>
    </w:p>
    <w:p w14:paraId="1DFC4A08">
      <w:pPr>
        <w:spacing w:line="360" w:lineRule="auto"/>
        <w:contextualSpacing/>
        <w:rPr>
          <w:rFonts w:ascii="Times New Roman" w:hAnsi="Times New Roman" w:cs="Times New Roman"/>
          <w:sz w:val="20"/>
          <w:szCs w:val="20"/>
        </w:rPr>
      </w:pPr>
    </w:p>
    <w:p w14:paraId="0D5E56FD">
      <w:pPr>
        <w:spacing w:line="360" w:lineRule="auto"/>
        <w:contextualSpacing/>
        <w:rPr>
          <w:rFonts w:ascii="Times New Roman" w:hAnsi="Times New Roman" w:cs="Times New Roman"/>
          <w:sz w:val="20"/>
          <w:szCs w:val="20"/>
        </w:rPr>
      </w:pPr>
    </w:p>
    <w:p w14:paraId="76434BCC">
      <w:pPr>
        <w:spacing w:line="360" w:lineRule="auto"/>
        <w:contextualSpacing/>
        <w:rPr>
          <w:rFonts w:ascii="Times New Roman" w:hAnsi="Times New Roman" w:cs="Times New Roman"/>
          <w:sz w:val="20"/>
          <w:szCs w:val="20"/>
        </w:rPr>
      </w:pPr>
    </w:p>
    <w:p w14:paraId="69398E16">
      <w:pPr>
        <w:spacing w:line="360" w:lineRule="auto"/>
        <w:contextualSpacing/>
        <w:rPr>
          <w:rFonts w:ascii="Times New Roman" w:hAnsi="Times New Roman" w:cs="Times New Roman"/>
          <w:sz w:val="20"/>
          <w:szCs w:val="20"/>
        </w:rPr>
      </w:pPr>
    </w:p>
    <w:p w14:paraId="36637C93">
      <w:pPr>
        <w:spacing w:line="360" w:lineRule="auto"/>
        <w:contextualSpacing/>
        <w:rPr>
          <w:rFonts w:ascii="Times New Roman" w:hAnsi="Times New Roman" w:cs="Times New Roman"/>
          <w:sz w:val="20"/>
          <w:szCs w:val="20"/>
        </w:rPr>
      </w:pPr>
    </w:p>
    <w:p w14:paraId="16FD59A6">
      <w:pPr>
        <w:spacing w:line="360" w:lineRule="auto"/>
        <w:contextualSpacing/>
        <w:rPr>
          <w:rFonts w:ascii="Times New Roman" w:hAnsi="Times New Roman" w:cs="Times New Roman"/>
          <w:sz w:val="20"/>
          <w:szCs w:val="20"/>
        </w:rPr>
      </w:pPr>
    </w:p>
    <w:p w14:paraId="7AF40F59">
      <w:pPr>
        <w:spacing w:line="360" w:lineRule="auto"/>
        <w:contextualSpacing/>
        <w:rPr>
          <w:rFonts w:ascii="Times New Roman" w:hAnsi="Times New Roman" w:cs="Times New Roman"/>
          <w:sz w:val="20"/>
          <w:szCs w:val="20"/>
        </w:rPr>
      </w:pPr>
    </w:p>
    <w:p w14:paraId="654E1CD5">
      <w:pPr>
        <w:spacing w:line="360" w:lineRule="auto"/>
        <w:contextualSpacing/>
        <w:rPr>
          <w:rFonts w:ascii="Times New Roman" w:hAnsi="Times New Roman" w:cs="Times New Roman"/>
          <w:sz w:val="20"/>
          <w:szCs w:val="20"/>
        </w:rPr>
      </w:pPr>
    </w:p>
    <w:p w14:paraId="12062479">
      <w:pPr>
        <w:spacing w:line="360" w:lineRule="auto"/>
        <w:contextualSpacing/>
        <w:rPr>
          <w:rFonts w:ascii="Times New Roman" w:hAnsi="Times New Roman" w:cs="Times New Roman"/>
          <w:sz w:val="20"/>
          <w:szCs w:val="20"/>
        </w:rPr>
      </w:pPr>
    </w:p>
    <w:p w14:paraId="73E32AC0">
      <w:pPr>
        <w:spacing w:line="360" w:lineRule="auto"/>
        <w:contextualSpacing/>
        <w:rPr>
          <w:rFonts w:ascii="Times New Roman" w:hAnsi="Times New Roman" w:cs="Times New Roman"/>
          <w:sz w:val="20"/>
          <w:szCs w:val="20"/>
        </w:rPr>
      </w:pPr>
    </w:p>
    <w:p w14:paraId="39373802">
      <w:pPr>
        <w:rPr>
          <w:rFonts w:ascii="Times New Roman" w:hAnsi="Times New Roman" w:cs="Times New Roman"/>
          <w:sz w:val="20"/>
          <w:szCs w:val="20"/>
        </w:rPr>
      </w:pPr>
      <w:r>
        <w:rPr>
          <w:rFonts w:ascii="Times New Roman" w:hAnsi="Times New Roman" w:cs="Times New Roman"/>
          <w:sz w:val="20"/>
          <w:szCs w:val="20"/>
        </w:rPr>
        <w:br w:type="page"/>
      </w:r>
    </w:p>
    <w:p w14:paraId="4FA1A203">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b/>
          <w:bCs/>
          <w:sz w:val="20"/>
          <w:szCs w:val="20"/>
          <w:u w:val="none"/>
          <w:lang w:val="en-US" w:eastAsia="zh-CN"/>
        </w:rPr>
      </w:pPr>
      <w:r>
        <w:rPr>
          <w:rFonts w:ascii="Times New Roman" w:hAnsi="Times New Roman" w:cs="Times New Roman"/>
          <w:b/>
          <w:bCs/>
          <w:sz w:val="20"/>
          <w:szCs w:val="20"/>
          <w:u w:val="none"/>
          <w:lang w:val="en-US"/>
        </w:rPr>
        <w:t xml:space="preserve">Supplementary </w:t>
      </w:r>
      <w:r>
        <w:rPr>
          <w:rFonts w:ascii="Times New Roman" w:hAnsi="Times New Roman" w:cs="Times New Roman"/>
          <w:b/>
          <w:bCs/>
          <w:sz w:val="20"/>
          <w:szCs w:val="20"/>
          <w:u w:val="none"/>
        </w:rPr>
        <w:t>Fig</w:t>
      </w:r>
      <w:r>
        <w:rPr>
          <w:rFonts w:ascii="Times New Roman" w:hAnsi="Times New Roman" w:cs="Times New Roman"/>
          <w:b/>
          <w:bCs/>
          <w:sz w:val="20"/>
          <w:szCs w:val="20"/>
          <w:u w:val="none"/>
          <w:lang w:val="en-US"/>
        </w:rPr>
        <w:t>ure</w:t>
      </w:r>
      <w:r>
        <w:rPr>
          <w:rFonts w:hint="eastAsia" w:ascii="Times New Roman" w:hAnsi="Times New Roman" w:cs="Times New Roman"/>
          <w:b/>
          <w:bCs/>
          <w:sz w:val="20"/>
          <w:szCs w:val="20"/>
          <w:u w:val="none"/>
          <w:lang w:val="en-US" w:eastAsia="zh-CN"/>
        </w:rPr>
        <w:t>s</w:t>
      </w:r>
    </w:p>
    <w:p w14:paraId="20C95491">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b/>
          <w:bCs/>
          <w:color w:val="000000" w:themeColor="text1"/>
          <w:sz w:val="20"/>
          <w:szCs w:val="20"/>
          <w:u w:val="none"/>
          <w:lang w:val="en-US"/>
          <w14:textFill>
            <w14:solidFill>
              <w14:schemeClr w14:val="tx1"/>
            </w14:solidFill>
          </w14:textFill>
        </w:rPr>
      </w:pPr>
      <w:r>
        <w:rPr>
          <w:rFonts w:hint="eastAsia" w:ascii="Times New Roman" w:hAnsi="Times New Roman" w:cs="Times New Roman"/>
          <w:b/>
          <w:bCs/>
          <w:color w:val="000000" w:themeColor="text1"/>
          <w:sz w:val="20"/>
          <w:szCs w:val="20"/>
          <w:u w:val="none"/>
          <w:lang w:val="en-US"/>
          <w14:textFill>
            <w14:solidFill>
              <w14:schemeClr w14:val="tx1"/>
            </w14:solidFill>
          </w14:textFill>
        </w:rPr>
        <w:t>Supplementary Figure 1</w:t>
      </w:r>
    </w:p>
    <w:p w14:paraId="3245A3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b/>
          <w:bCs/>
          <w:color w:val="000000" w:themeColor="text1"/>
          <w:sz w:val="20"/>
          <w:szCs w:val="20"/>
          <w:u w:val="none"/>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u w:val="none"/>
          <w:lang w:val="en-US" w:eastAsia="zh-CN"/>
          <w14:textFill>
            <w14:solidFill>
              <w14:schemeClr w14:val="tx1"/>
            </w14:solidFill>
          </w14:textFill>
        </w:rPr>
        <w:drawing>
          <wp:inline distT="0" distB="0" distL="114300" distR="114300">
            <wp:extent cx="5273040" cy="6478905"/>
            <wp:effectExtent l="0" t="0" r="0" b="13335"/>
            <wp:docPr id="1" name="图片 1"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1"/>
                    <pic:cNvPicPr>
                      <a:picLocks noChangeAspect="1"/>
                    </pic:cNvPicPr>
                  </pic:nvPicPr>
                  <pic:blipFill>
                    <a:blip r:embed="rId4"/>
                    <a:stretch>
                      <a:fillRect/>
                    </a:stretch>
                  </pic:blipFill>
                  <pic:spPr>
                    <a:xfrm>
                      <a:off x="0" y="0"/>
                      <a:ext cx="5273040" cy="6478905"/>
                    </a:xfrm>
                    <a:prstGeom prst="rect">
                      <a:avLst/>
                    </a:prstGeom>
                  </pic:spPr>
                </pic:pic>
              </a:graphicData>
            </a:graphic>
          </wp:inline>
        </w:drawing>
      </w:r>
    </w:p>
    <w:p w14:paraId="6D5D3F8C">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0"/>
          <w:szCs w:val="20"/>
          <w:u w:val="none"/>
          <w:lang w:val="en-US"/>
        </w:rPr>
      </w:pPr>
      <w:r>
        <w:rPr>
          <w:rFonts w:hint="eastAsia" w:ascii="Times New Roman" w:hAnsi="Times New Roman" w:cs="Times New Roman"/>
          <w:b/>
          <w:bCs/>
          <w:color w:val="000000" w:themeColor="text1"/>
          <w:sz w:val="20"/>
          <w:szCs w:val="20"/>
          <w:u w:val="none"/>
          <w:lang w:val="en-US"/>
          <w14:textFill>
            <w14:solidFill>
              <w14:schemeClr w14:val="tx1"/>
            </w14:solidFill>
          </w14:textFill>
        </w:rPr>
        <w:t>Supplementary Figure 1</w:t>
      </w:r>
      <w:r>
        <w:rPr>
          <w:rFonts w:hint="eastAsia" w:ascii="Times New Roman" w:hAnsi="Times New Roman" w:cs="Times New Roman"/>
          <w:color w:val="000000" w:themeColor="text1"/>
          <w:sz w:val="20"/>
          <w:szCs w:val="20"/>
          <w:u w:val="none"/>
          <w:lang w:val="en-US"/>
          <w14:textFill>
            <w14:solidFill>
              <w14:schemeClr w14:val="tx1"/>
            </w14:solidFill>
          </w14:textFill>
        </w:rPr>
        <w:t xml:space="preserve">. </w:t>
      </w:r>
      <w:r>
        <w:rPr>
          <w:rFonts w:hint="eastAsia" w:ascii="Times New Roman" w:hAnsi="Times New Roman" w:cs="Times New Roman"/>
          <w:sz w:val="20"/>
          <w:szCs w:val="20"/>
          <w:u w:val="none"/>
          <w:lang w:val="en-US"/>
        </w:rPr>
        <w:t xml:space="preserve">Survival analysis and gene expression correlation associated with SHMT1 and SHMT2 in GC patients. (A) Disease-free survival (DFS) stratified by SHMT1 expression. (B) DFS stratified by SHMT2 expression. (C) Progression-free survival (PFS) stratified by SHMT1 expression. (D) PFS stratified by SHMT2 expression. (E) Correlation between SHMT1 and SHMT2 expression. (F) Correlation between SHMT2 expression and score of immune infiltration. (G) Correlation between SHMT1 expression and score of immune infiltration. (H) Correlation between VEGFA and SHMT2 expression. (I) Correlation between VEGFA and SHMT1 expression. (J) Correlation between Ki67 and SHMT1 expression. (K) Correlation between MKi67 and SHMT2 expression. (L) Correlation between ERBB2 (HER-2) and SHMT1 expression. (M) Correlation between ERBB2 (HER-2) and SHMT2 expression. Survival data derived from </w:t>
      </w:r>
      <w:r>
        <w:rPr>
          <w:u w:val="none"/>
        </w:rPr>
        <w:fldChar w:fldCharType="begin"/>
      </w:r>
      <w:r>
        <w:rPr>
          <w:u w:val="none"/>
        </w:rPr>
        <w:instrText xml:space="preserve"> HYPERLINK "https://kmplot.com/analysis/index.php?p=home" </w:instrText>
      </w:r>
      <w:r>
        <w:rPr>
          <w:u w:val="none"/>
        </w:rPr>
        <w:fldChar w:fldCharType="separate"/>
      </w:r>
      <w:r>
        <w:rPr>
          <w:u w:val="none"/>
        </w:rPr>
        <w:fldChar w:fldCharType="end"/>
      </w:r>
      <w:r>
        <w:rPr>
          <w:u w:val="none"/>
        </w:rPr>
        <w:fldChar w:fldCharType="begin"/>
      </w:r>
      <w:r>
        <w:rPr>
          <w:u w:val="none"/>
        </w:rPr>
        <w:instrText xml:space="preserve"> HYPERLINK "https://kmplot.com/analysis/index.php?p=home" </w:instrText>
      </w:r>
      <w:r>
        <w:rPr>
          <w:u w:val="none"/>
        </w:rPr>
        <w:fldChar w:fldCharType="separate"/>
      </w:r>
      <w:r>
        <w:rPr>
          <w:rFonts w:hint="eastAsia" w:ascii="Times New Roman" w:hAnsi="Times New Roman" w:cs="Times New Roman"/>
          <w:sz w:val="20"/>
          <w:szCs w:val="20"/>
          <w:u w:val="none"/>
          <w:lang w:val="en-US"/>
        </w:rPr>
        <w:t>Kaplan-Meier Plotter</w:t>
      </w:r>
      <w:r>
        <w:rPr>
          <w:rFonts w:hint="eastAsia" w:ascii="Times New Roman" w:hAnsi="Times New Roman" w:cs="Times New Roman"/>
          <w:sz w:val="20"/>
          <w:szCs w:val="20"/>
          <w:u w:val="none"/>
          <w:lang w:val="en-US"/>
        </w:rPr>
        <w:fldChar w:fldCharType="end"/>
      </w:r>
      <w:r>
        <w:rPr>
          <w:rFonts w:hint="eastAsia" w:ascii="Times New Roman" w:hAnsi="Times New Roman" w:cs="Times New Roman"/>
          <w:sz w:val="20"/>
          <w:szCs w:val="20"/>
          <w:u w:val="none"/>
          <w:lang w:val="en-US"/>
        </w:rPr>
        <w:t xml:space="preserve"> database; gene expression correlations analyzed using TCGA database. </w:t>
      </w:r>
    </w:p>
    <w:p w14:paraId="50D52BEA">
      <w:pPr>
        <w:rPr>
          <w:rFonts w:hint="eastAsia" w:ascii="Times New Roman" w:hAnsi="Times New Roman" w:cs="Times New Roman"/>
          <w:sz w:val="20"/>
          <w:szCs w:val="20"/>
          <w:u w:val="none"/>
          <w:lang w:val="en-US"/>
        </w:rPr>
      </w:pPr>
      <w:r>
        <w:rPr>
          <w:rFonts w:hint="eastAsia" w:ascii="Times New Roman" w:hAnsi="Times New Roman" w:cs="Times New Roman"/>
          <w:sz w:val="20"/>
          <w:szCs w:val="20"/>
          <w:u w:val="none"/>
          <w:lang w:val="en-US"/>
        </w:rPr>
        <w:br w:type="page"/>
      </w:r>
    </w:p>
    <w:p w14:paraId="20D3F413">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b/>
          <w:bCs/>
          <w:color w:val="000000" w:themeColor="text1"/>
          <w:sz w:val="20"/>
          <w:szCs w:val="20"/>
          <w:u w:val="none"/>
          <w:lang w:val="en-US" w:eastAsia="zh-CN"/>
          <w14:textFill>
            <w14:solidFill>
              <w14:schemeClr w14:val="tx1"/>
            </w14:solidFill>
          </w14:textFill>
        </w:rPr>
      </w:pPr>
      <w:r>
        <w:rPr>
          <w:rFonts w:hint="eastAsia" w:ascii="Times New Roman" w:hAnsi="Times New Roman" w:cs="Times New Roman"/>
          <w:b/>
          <w:bCs/>
          <w:color w:val="000000" w:themeColor="text1"/>
          <w:sz w:val="20"/>
          <w:szCs w:val="20"/>
          <w:u w:val="none"/>
          <w:lang w:val="en-US"/>
          <w14:textFill>
            <w14:solidFill>
              <w14:schemeClr w14:val="tx1"/>
            </w14:solidFill>
          </w14:textFill>
        </w:rPr>
        <w:t xml:space="preserve">Supplementary Figure </w:t>
      </w:r>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t>2</w:t>
      </w:r>
    </w:p>
    <w:p w14:paraId="70CF651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b/>
          <w:bCs/>
          <w:color w:val="000000" w:themeColor="text1"/>
          <w:sz w:val="20"/>
          <w:szCs w:val="20"/>
          <w:u w:val="none"/>
          <w:lang w:val="en-US" w:eastAsia="zh-CN"/>
          <w14:textFill>
            <w14:solidFill>
              <w14:schemeClr w14:val="tx1"/>
            </w14:solidFill>
          </w14:textFill>
        </w:rPr>
      </w:pPr>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drawing>
          <wp:inline distT="0" distB="0" distL="114300" distR="114300">
            <wp:extent cx="5258435" cy="4744085"/>
            <wp:effectExtent l="0" t="0" r="14605" b="10795"/>
            <wp:docPr id="2" name="图片 2"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2"/>
                    <pic:cNvPicPr>
                      <a:picLocks noChangeAspect="1"/>
                    </pic:cNvPicPr>
                  </pic:nvPicPr>
                  <pic:blipFill>
                    <a:blip r:embed="rId5"/>
                    <a:stretch>
                      <a:fillRect/>
                    </a:stretch>
                  </pic:blipFill>
                  <pic:spPr>
                    <a:xfrm>
                      <a:off x="0" y="0"/>
                      <a:ext cx="5258435" cy="4744085"/>
                    </a:xfrm>
                    <a:prstGeom prst="rect">
                      <a:avLst/>
                    </a:prstGeom>
                  </pic:spPr>
                </pic:pic>
              </a:graphicData>
            </a:graphic>
          </wp:inline>
        </w:drawing>
      </w:r>
    </w:p>
    <w:p w14:paraId="556BF956">
      <w:pPr>
        <w:keepNext w:val="0"/>
        <w:keepLines w:val="0"/>
        <w:pageBreakBefore w:val="0"/>
        <w:kinsoku/>
        <w:wordWrap/>
        <w:overflowPunct/>
        <w:topLinePunct w:val="0"/>
        <w:autoSpaceDE/>
        <w:autoSpaceDN/>
        <w:bidi w:val="0"/>
        <w:adjustRightInd/>
        <w:snapToGrid/>
        <w:spacing w:line="360" w:lineRule="auto"/>
        <w:textAlignment w:val="auto"/>
        <w:rPr>
          <w:rFonts w:ascii="Times New Roman" w:hAnsi="Times New Roman" w:cs="Times New Roman"/>
          <w:sz w:val="20"/>
          <w:szCs w:val="20"/>
          <w:u w:val="none"/>
          <w:lang w:val="en-US"/>
        </w:rPr>
      </w:pPr>
      <w:r>
        <w:rPr>
          <w:rFonts w:hint="eastAsia" w:ascii="Times New Roman" w:hAnsi="Times New Roman" w:cs="Times New Roman"/>
          <w:b/>
          <w:bCs/>
          <w:color w:val="000000" w:themeColor="text1"/>
          <w:sz w:val="20"/>
          <w:szCs w:val="20"/>
          <w:u w:val="none"/>
          <w:lang w:val="en-US"/>
          <w14:textFill>
            <w14:solidFill>
              <w14:schemeClr w14:val="tx1"/>
            </w14:solidFill>
          </w14:textFill>
        </w:rPr>
        <w:t xml:space="preserve">Supplementary Figure </w:t>
      </w:r>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t>2</w:t>
      </w:r>
      <w:r>
        <w:rPr>
          <w:rFonts w:ascii="Times New Roman" w:hAnsi="Times New Roman" w:cs="Times New Roman"/>
          <w:color w:val="000000" w:themeColor="text1"/>
          <w:sz w:val="20"/>
          <w:szCs w:val="20"/>
          <w:u w:val="none"/>
          <w14:textFill>
            <w14:solidFill>
              <w14:schemeClr w14:val="tx1"/>
            </w14:solidFill>
          </w14:textFill>
        </w:rPr>
        <w:t>.</w:t>
      </w:r>
      <w:r>
        <w:rPr>
          <w:rFonts w:ascii="Times New Roman" w:hAnsi="Times New Roman" w:cs="Times New Roman"/>
          <w:sz w:val="20"/>
          <w:szCs w:val="20"/>
          <w:u w:val="none"/>
        </w:rPr>
        <w:t xml:space="preserve"> </w:t>
      </w:r>
      <w:r>
        <w:rPr>
          <w:rFonts w:ascii="Times New Roman" w:hAnsi="Times New Roman" w:cs="Times New Roman"/>
          <w:sz w:val="20"/>
          <w:szCs w:val="20"/>
          <w:u w:val="none"/>
          <w:lang w:val="en-US"/>
        </w:rPr>
        <w:t>D</w:t>
      </w:r>
      <w:r>
        <w:rPr>
          <w:rFonts w:ascii="Times New Roman" w:hAnsi="Times New Roman" w:cs="Times New Roman"/>
          <w:sz w:val="20"/>
          <w:szCs w:val="20"/>
          <w:u w:val="none"/>
        </w:rPr>
        <w:t>rug screening</w:t>
      </w:r>
      <w:r>
        <w:rPr>
          <w:rFonts w:ascii="Times New Roman" w:hAnsi="Times New Roman" w:cs="Times New Roman"/>
          <w:sz w:val="20"/>
          <w:szCs w:val="20"/>
          <w:u w:val="none"/>
          <w:lang w:val="en-US"/>
        </w:rPr>
        <w:t xml:space="preserve"> and synergistic analysis in the cell lines</w:t>
      </w:r>
      <w:r>
        <w:rPr>
          <w:rFonts w:ascii="Times New Roman" w:hAnsi="Times New Roman" w:cs="Times New Roman"/>
          <w:sz w:val="20"/>
          <w:szCs w:val="20"/>
          <w:u w:val="none"/>
        </w:rPr>
        <w:t>. (</w:t>
      </w:r>
      <w:r>
        <w:rPr>
          <w:rFonts w:hint="eastAsia" w:ascii="Times New Roman" w:hAnsi="Times New Roman" w:cs="Times New Roman"/>
          <w:sz w:val="20"/>
          <w:szCs w:val="20"/>
          <w:u w:val="none"/>
          <w:lang w:val="en-US"/>
        </w:rPr>
        <w:t>A-C</w:t>
      </w:r>
      <w:r>
        <w:rPr>
          <w:rFonts w:ascii="Times New Roman" w:hAnsi="Times New Roman" w:cs="Times New Roman"/>
          <w:sz w:val="20"/>
          <w:szCs w:val="20"/>
          <w:u w:val="none"/>
        </w:rPr>
        <w:t>)</w:t>
      </w:r>
      <w:r>
        <w:rPr>
          <w:rFonts w:ascii="Times New Roman" w:hAnsi="Times New Roman" w:cs="Times New Roman"/>
          <w:sz w:val="20"/>
          <w:szCs w:val="20"/>
          <w:u w:val="none"/>
          <w:lang w:val="en-US"/>
        </w:rPr>
        <w:t xml:space="preserve"> </w:t>
      </w:r>
      <w:r>
        <w:rPr>
          <w:u w:val="none"/>
        </w:rPr>
        <w:fldChar w:fldCharType="begin"/>
      </w:r>
      <w:r>
        <w:rPr>
          <w:u w:val="none"/>
        </w:rPr>
        <w:instrText xml:space="preserve"> HYPERLINK "https://fanyi.baidu.com/" \l "##" </w:instrText>
      </w:r>
      <w:r>
        <w:rPr>
          <w:u w:val="none"/>
        </w:rPr>
        <w:fldChar w:fldCharType="separate"/>
      </w:r>
      <w:r>
        <w:rPr>
          <w:u w:val="none"/>
        </w:rPr>
        <w:fldChar w:fldCharType="end"/>
      </w:r>
      <w:r>
        <w:rPr>
          <w:rFonts w:ascii="Times New Roman" w:hAnsi="Times New Roman" w:cs="Times New Roman"/>
          <w:sz w:val="20"/>
          <w:szCs w:val="20"/>
          <w:u w:val="none"/>
        </w:rPr>
        <w:t>The IC</w:t>
      </w:r>
      <w:r>
        <w:rPr>
          <w:rFonts w:ascii="Times New Roman" w:hAnsi="Times New Roman" w:cs="Times New Roman"/>
          <w:sz w:val="20"/>
          <w:szCs w:val="20"/>
          <w:u w:val="none"/>
          <w:vertAlign w:val="subscript"/>
        </w:rPr>
        <w:t>50</w:t>
      </w:r>
      <w:r>
        <w:rPr>
          <w:rFonts w:ascii="Times New Roman" w:hAnsi="Times New Roman" w:cs="Times New Roman"/>
          <w:sz w:val="20"/>
          <w:szCs w:val="20"/>
          <w:u w:val="none"/>
        </w:rPr>
        <w:t xml:space="preserve"> values generated from dose‒response assays for </w:t>
      </w:r>
      <w:r>
        <w:rPr>
          <w:rFonts w:hint="eastAsia" w:ascii="Times New Roman" w:hAnsi="Times New Roman" w:cs="Times New Roman"/>
          <w:sz w:val="20"/>
          <w:szCs w:val="20"/>
          <w:u w:val="none"/>
          <w:lang w:val="en-US"/>
        </w:rPr>
        <w:t xml:space="preserve">5-Fu, </w:t>
      </w:r>
      <w:r>
        <w:rPr>
          <w:rFonts w:ascii="Times New Roman" w:hAnsi="Times New Roman" w:cs="Times New Roman"/>
          <w:sz w:val="20"/>
          <w:szCs w:val="20"/>
          <w:u w:val="none"/>
        </w:rPr>
        <w:t>SHIN</w:t>
      </w:r>
      <w:r>
        <w:rPr>
          <w:rFonts w:ascii="Times New Roman" w:hAnsi="Times New Roman" w:cs="Times New Roman"/>
          <w:sz w:val="20"/>
          <w:szCs w:val="20"/>
          <w:u w:val="none"/>
          <w:lang w:val="en-US"/>
        </w:rPr>
        <w:t>2 and AGF247 in HGC-27 cells</w:t>
      </w:r>
      <w:r>
        <w:rPr>
          <w:rFonts w:ascii="Times New Roman" w:hAnsi="Times New Roman" w:cs="Times New Roman"/>
          <w:sz w:val="20"/>
          <w:szCs w:val="20"/>
          <w:u w:val="none"/>
        </w:rPr>
        <w:t>.</w:t>
      </w:r>
      <w:r>
        <w:rPr>
          <w:rFonts w:hint="eastAsia" w:ascii="Times New Roman" w:hAnsi="Times New Roman" w:cs="Times New Roman"/>
          <w:sz w:val="20"/>
          <w:szCs w:val="20"/>
          <w:u w:val="none"/>
          <w:lang w:val="en-US"/>
        </w:rPr>
        <w:t xml:space="preserve"> </w:t>
      </w:r>
      <w:bookmarkStart w:id="7" w:name="OLE_LINK206"/>
      <w:r>
        <w:rPr>
          <w:rFonts w:ascii="Times New Roman" w:hAnsi="Times New Roman" w:cs="Times New Roman"/>
          <w:sz w:val="20"/>
          <w:szCs w:val="20"/>
          <w:u w:val="none"/>
        </w:rPr>
        <w:t>(</w:t>
      </w:r>
      <w:r>
        <w:rPr>
          <w:rFonts w:hint="eastAsia" w:ascii="Times New Roman" w:hAnsi="Times New Roman" w:cs="Times New Roman"/>
          <w:sz w:val="20"/>
          <w:szCs w:val="20"/>
          <w:u w:val="none"/>
          <w:lang w:val="en-US"/>
        </w:rPr>
        <w:t>D</w:t>
      </w:r>
      <w:r>
        <w:rPr>
          <w:rFonts w:ascii="Times New Roman" w:hAnsi="Times New Roman" w:cs="Times New Roman"/>
          <w:sz w:val="20"/>
          <w:szCs w:val="20"/>
          <w:u w:val="none"/>
        </w:rPr>
        <w:t>)</w:t>
      </w:r>
      <w:bookmarkEnd w:id="7"/>
      <w:r>
        <w:rPr>
          <w:rFonts w:ascii="Times New Roman" w:hAnsi="Times New Roman" w:cs="Times New Roman"/>
          <w:sz w:val="20"/>
          <w:szCs w:val="20"/>
          <w:u w:val="none"/>
          <w:lang w:val="en-US"/>
        </w:rPr>
        <w:t xml:space="preserve"> </w:t>
      </w:r>
      <w:r>
        <w:rPr>
          <w:rFonts w:ascii="Times New Roman" w:hAnsi="Times New Roman" w:cs="Times New Roman"/>
          <w:sz w:val="20"/>
          <w:szCs w:val="20"/>
          <w:u w:val="none"/>
        </w:rPr>
        <w:t>CCK-8 assay</w:t>
      </w:r>
      <w:r>
        <w:rPr>
          <w:rFonts w:ascii="Times New Roman" w:hAnsi="Times New Roman" w:cs="Times New Roman"/>
          <w:sz w:val="20"/>
          <w:szCs w:val="20"/>
          <w:u w:val="none"/>
          <w:lang w:val="en-US"/>
        </w:rPr>
        <w:t>s</w:t>
      </w:r>
      <w:r>
        <w:rPr>
          <w:rFonts w:ascii="Times New Roman" w:hAnsi="Times New Roman" w:cs="Times New Roman"/>
          <w:sz w:val="20"/>
          <w:szCs w:val="20"/>
          <w:u w:val="none"/>
        </w:rPr>
        <w:t xml:space="preserve"> w</w:t>
      </w:r>
      <w:r>
        <w:rPr>
          <w:rFonts w:ascii="Times New Roman" w:hAnsi="Times New Roman" w:cs="Times New Roman"/>
          <w:sz w:val="20"/>
          <w:szCs w:val="20"/>
          <w:u w:val="none"/>
          <w:lang w:val="en-US"/>
        </w:rPr>
        <w:t>ere</w:t>
      </w:r>
      <w:r>
        <w:rPr>
          <w:rFonts w:ascii="Times New Roman" w:hAnsi="Times New Roman" w:cs="Times New Roman"/>
          <w:sz w:val="20"/>
          <w:szCs w:val="20"/>
          <w:u w:val="none"/>
        </w:rPr>
        <w:t xml:space="preserve"> used to detect the inhibitory effects of different doses of SHIN</w:t>
      </w:r>
      <w:r>
        <w:rPr>
          <w:rFonts w:ascii="Times New Roman" w:hAnsi="Times New Roman" w:cs="Times New Roman"/>
          <w:sz w:val="20"/>
          <w:szCs w:val="20"/>
          <w:u w:val="none"/>
          <w:lang w:val="en-US"/>
        </w:rPr>
        <w:t>2</w:t>
      </w:r>
      <w:r>
        <w:rPr>
          <w:rFonts w:ascii="Times New Roman" w:hAnsi="Times New Roman" w:cs="Times New Roman"/>
          <w:sz w:val="20"/>
          <w:szCs w:val="20"/>
          <w:u w:val="none"/>
        </w:rPr>
        <w:t xml:space="preserve"> on the growth of </w:t>
      </w:r>
      <w:r>
        <w:rPr>
          <w:rFonts w:ascii="Times New Roman" w:hAnsi="Times New Roman" w:cs="Times New Roman"/>
          <w:sz w:val="20"/>
          <w:szCs w:val="20"/>
          <w:u w:val="none"/>
          <w:lang w:val="en-US"/>
        </w:rPr>
        <w:t>HGC-27</w:t>
      </w:r>
      <w:r>
        <w:rPr>
          <w:rFonts w:ascii="Times New Roman" w:hAnsi="Times New Roman" w:cs="Times New Roman"/>
          <w:sz w:val="20"/>
          <w:szCs w:val="20"/>
          <w:u w:val="none"/>
        </w:rPr>
        <w:t xml:space="preserve"> cells. (</w:t>
      </w:r>
      <w:r>
        <w:rPr>
          <w:rFonts w:hint="eastAsia" w:ascii="Times New Roman" w:hAnsi="Times New Roman" w:cs="Times New Roman"/>
          <w:sz w:val="20"/>
          <w:szCs w:val="20"/>
          <w:u w:val="none"/>
          <w:lang w:val="en-US"/>
        </w:rPr>
        <w:t>E</w:t>
      </w:r>
      <w:r>
        <w:rPr>
          <w:rFonts w:ascii="Times New Roman" w:hAnsi="Times New Roman" w:cs="Times New Roman"/>
          <w:sz w:val="20"/>
          <w:szCs w:val="20"/>
          <w:u w:val="none"/>
        </w:rPr>
        <w:t>)</w:t>
      </w:r>
      <w:r>
        <w:rPr>
          <w:rFonts w:ascii="Times New Roman" w:hAnsi="Times New Roman" w:cs="Times New Roman"/>
          <w:sz w:val="20"/>
          <w:szCs w:val="20"/>
          <w:u w:val="none"/>
          <w:lang w:val="en-US"/>
        </w:rPr>
        <w:t xml:space="preserve"> </w:t>
      </w:r>
      <w:r>
        <w:rPr>
          <w:rFonts w:ascii="Times New Roman" w:hAnsi="Times New Roman" w:cs="Times New Roman"/>
          <w:sz w:val="20"/>
          <w:szCs w:val="20"/>
          <w:u w:val="none"/>
        </w:rPr>
        <w:t>CCK-8 assay</w:t>
      </w:r>
      <w:r>
        <w:rPr>
          <w:rFonts w:ascii="Times New Roman" w:hAnsi="Times New Roman" w:cs="Times New Roman"/>
          <w:sz w:val="20"/>
          <w:szCs w:val="20"/>
          <w:u w:val="none"/>
          <w:lang w:val="en-US"/>
        </w:rPr>
        <w:t>s</w:t>
      </w:r>
      <w:r>
        <w:rPr>
          <w:rFonts w:ascii="Times New Roman" w:hAnsi="Times New Roman" w:cs="Times New Roman"/>
          <w:sz w:val="20"/>
          <w:szCs w:val="20"/>
          <w:u w:val="none"/>
        </w:rPr>
        <w:t xml:space="preserve"> w</w:t>
      </w:r>
      <w:r>
        <w:rPr>
          <w:rFonts w:ascii="Times New Roman" w:hAnsi="Times New Roman" w:cs="Times New Roman"/>
          <w:sz w:val="20"/>
          <w:szCs w:val="20"/>
          <w:u w:val="none"/>
          <w:lang w:val="en-US"/>
        </w:rPr>
        <w:t>ere</w:t>
      </w:r>
      <w:r>
        <w:rPr>
          <w:rFonts w:ascii="Times New Roman" w:hAnsi="Times New Roman" w:cs="Times New Roman"/>
          <w:sz w:val="20"/>
          <w:szCs w:val="20"/>
          <w:u w:val="none"/>
        </w:rPr>
        <w:t xml:space="preserve"> used to detect the inhibitory effects of different doses of </w:t>
      </w:r>
      <w:r>
        <w:rPr>
          <w:rFonts w:ascii="Times New Roman" w:hAnsi="Times New Roman" w:cs="Times New Roman"/>
          <w:sz w:val="20"/>
          <w:szCs w:val="20"/>
          <w:u w:val="none"/>
          <w:lang w:val="en-US"/>
        </w:rPr>
        <w:t>AGF347</w:t>
      </w:r>
      <w:r>
        <w:rPr>
          <w:rFonts w:ascii="Times New Roman" w:hAnsi="Times New Roman" w:cs="Times New Roman"/>
          <w:sz w:val="20"/>
          <w:szCs w:val="20"/>
          <w:u w:val="none"/>
        </w:rPr>
        <w:t xml:space="preserve"> on the growth of </w:t>
      </w:r>
      <w:r>
        <w:rPr>
          <w:rFonts w:ascii="Times New Roman" w:hAnsi="Times New Roman" w:cs="Times New Roman"/>
          <w:sz w:val="20"/>
          <w:szCs w:val="20"/>
          <w:u w:val="none"/>
          <w:lang w:val="en-US"/>
        </w:rPr>
        <w:t>HGC-27</w:t>
      </w:r>
      <w:r>
        <w:rPr>
          <w:rFonts w:ascii="Times New Roman" w:hAnsi="Times New Roman" w:cs="Times New Roman"/>
          <w:sz w:val="20"/>
          <w:szCs w:val="20"/>
          <w:u w:val="none"/>
        </w:rPr>
        <w:t xml:space="preserve"> cells. (</w:t>
      </w:r>
      <w:r>
        <w:rPr>
          <w:rFonts w:hint="eastAsia" w:ascii="Times New Roman" w:hAnsi="Times New Roman" w:cs="Times New Roman"/>
          <w:sz w:val="20"/>
          <w:szCs w:val="20"/>
          <w:u w:val="none"/>
          <w:lang w:val="en-US"/>
        </w:rPr>
        <w:t>F</w:t>
      </w:r>
      <w:r>
        <w:rPr>
          <w:rFonts w:ascii="Times New Roman" w:hAnsi="Times New Roman" w:cs="Times New Roman"/>
          <w:sz w:val="20"/>
          <w:szCs w:val="20"/>
          <w:u w:val="none"/>
        </w:rPr>
        <w:t>)</w:t>
      </w:r>
      <w:r>
        <w:rPr>
          <w:rFonts w:hint="eastAsia" w:ascii="Times New Roman" w:hAnsi="Times New Roman" w:cs="Times New Roman"/>
          <w:sz w:val="20"/>
          <w:szCs w:val="20"/>
          <w:u w:val="none"/>
          <w:lang w:val="en-US"/>
        </w:rPr>
        <w:t xml:space="preserve"> </w:t>
      </w:r>
      <w:r>
        <w:rPr>
          <w:rFonts w:ascii="Times New Roman" w:hAnsi="Times New Roman" w:cs="Times New Roman"/>
          <w:sz w:val="20"/>
          <w:szCs w:val="20"/>
          <w:u w:val="none"/>
        </w:rPr>
        <w:t>CCK-8 assay w</w:t>
      </w:r>
      <w:r>
        <w:rPr>
          <w:rFonts w:ascii="Times New Roman" w:hAnsi="Times New Roman" w:cs="Times New Roman"/>
          <w:sz w:val="20"/>
          <w:szCs w:val="20"/>
          <w:u w:val="none"/>
          <w:lang w:val="en-US"/>
        </w:rPr>
        <w:t xml:space="preserve">as </w:t>
      </w:r>
      <w:r>
        <w:rPr>
          <w:rFonts w:ascii="Times New Roman" w:hAnsi="Times New Roman" w:cs="Times New Roman"/>
          <w:sz w:val="20"/>
          <w:szCs w:val="20"/>
          <w:u w:val="none"/>
        </w:rPr>
        <w:t xml:space="preserve">used to detect the inhibitory effects of different doses of SHIN1 on the growth of </w:t>
      </w:r>
      <w:r>
        <w:rPr>
          <w:rFonts w:ascii="Times New Roman" w:hAnsi="Times New Roman" w:cs="Times New Roman"/>
          <w:sz w:val="20"/>
          <w:szCs w:val="20"/>
          <w:u w:val="none"/>
          <w:lang w:val="en-US"/>
        </w:rPr>
        <w:t>GES-1</w:t>
      </w:r>
      <w:r>
        <w:rPr>
          <w:rFonts w:ascii="Times New Roman" w:hAnsi="Times New Roman" w:cs="Times New Roman"/>
          <w:sz w:val="20"/>
          <w:szCs w:val="20"/>
          <w:u w:val="none"/>
        </w:rPr>
        <w:t xml:space="preserve"> cells.</w:t>
      </w:r>
      <w:r>
        <w:rPr>
          <w:rFonts w:hint="eastAsia" w:ascii="Times New Roman" w:hAnsi="Times New Roman" w:cs="Times New Roman"/>
          <w:sz w:val="20"/>
          <w:szCs w:val="20"/>
          <w:u w:val="none"/>
          <w:lang w:val="en-US"/>
        </w:rPr>
        <w:t xml:space="preserve"> </w:t>
      </w:r>
      <w:r>
        <w:rPr>
          <w:rFonts w:ascii="Times New Roman" w:hAnsi="Times New Roman" w:cs="Times New Roman"/>
          <w:sz w:val="20"/>
          <w:szCs w:val="20"/>
          <w:u w:val="none"/>
        </w:rPr>
        <w:t>(G)</w:t>
      </w:r>
      <w:r>
        <w:rPr>
          <w:rFonts w:hint="eastAsia" w:ascii="Times New Roman" w:hAnsi="Times New Roman" w:cs="Times New Roman"/>
          <w:sz w:val="20"/>
          <w:szCs w:val="20"/>
          <w:u w:val="none"/>
          <w:lang w:val="en-US"/>
        </w:rPr>
        <w:t xml:space="preserve"> Growth inhibition of AGS cells treated with 10</w:t>
      </w:r>
      <w:r>
        <w:rPr>
          <w:rFonts w:ascii="Times New Roman" w:hAnsi="Times New Roman" w:cs="Times New Roman"/>
          <w:sz w:val="20"/>
          <w:szCs w:val="20"/>
          <w:u w:val="none"/>
          <w:lang w:val="en-US"/>
        </w:rPr>
        <w:t xml:space="preserve"> μM</w:t>
      </w:r>
      <w:r>
        <w:rPr>
          <w:rFonts w:hint="eastAsia" w:ascii="Times New Roman" w:hAnsi="Times New Roman" w:cs="Times New Roman"/>
          <w:sz w:val="20"/>
          <w:szCs w:val="20"/>
          <w:u w:val="none"/>
          <w:lang w:val="en-US"/>
        </w:rPr>
        <w:t xml:space="preserve"> SHIN1 ± 400 </w:t>
      </w:r>
      <w:r>
        <w:rPr>
          <w:rFonts w:ascii="Times New Roman" w:hAnsi="Times New Roman" w:cs="Times New Roman"/>
          <w:sz w:val="20"/>
          <w:szCs w:val="20"/>
          <w:u w:val="none"/>
          <w:lang w:val="en-US"/>
        </w:rPr>
        <w:t>μM</w:t>
      </w:r>
      <w:r>
        <w:rPr>
          <w:rFonts w:hint="eastAsia" w:ascii="Times New Roman" w:hAnsi="Times New Roman" w:cs="Times New Roman"/>
          <w:sz w:val="20"/>
          <w:szCs w:val="20"/>
          <w:u w:val="none"/>
          <w:lang w:val="en-US"/>
        </w:rPr>
        <w:t xml:space="preserve"> Formate/1 mM Glycine (normalized to SHIN1 alone). </w:t>
      </w:r>
      <w:r>
        <w:rPr>
          <w:rFonts w:ascii="Times New Roman" w:hAnsi="Times New Roman" w:cs="Times New Roman"/>
          <w:sz w:val="20"/>
          <w:szCs w:val="20"/>
          <w:u w:val="none"/>
        </w:rPr>
        <w:t>(</w:t>
      </w:r>
      <w:r>
        <w:rPr>
          <w:rFonts w:hint="eastAsia" w:ascii="Times New Roman" w:hAnsi="Times New Roman" w:cs="Times New Roman"/>
          <w:sz w:val="20"/>
          <w:szCs w:val="20"/>
          <w:u w:val="none"/>
          <w:lang w:val="en-US"/>
        </w:rPr>
        <w:t>H</w:t>
      </w:r>
      <w:r>
        <w:rPr>
          <w:rFonts w:ascii="Times New Roman" w:hAnsi="Times New Roman" w:cs="Times New Roman"/>
          <w:sz w:val="20"/>
          <w:szCs w:val="20"/>
          <w:u w:val="none"/>
        </w:rPr>
        <w:t>)</w:t>
      </w:r>
      <w:r>
        <w:rPr>
          <w:rFonts w:hint="eastAsia" w:ascii="Times New Roman" w:hAnsi="Times New Roman" w:cs="Times New Roman"/>
          <w:sz w:val="20"/>
          <w:szCs w:val="20"/>
          <w:u w:val="none"/>
          <w:lang w:val="en-US"/>
        </w:rPr>
        <w:t xml:space="preserve"> Growth inhibition of AGS cells treated with 10 </w:t>
      </w:r>
      <w:r>
        <w:rPr>
          <w:rFonts w:ascii="Times New Roman" w:hAnsi="Times New Roman" w:cs="Times New Roman"/>
          <w:sz w:val="20"/>
          <w:szCs w:val="20"/>
          <w:u w:val="none"/>
          <w:lang w:val="en-US"/>
        </w:rPr>
        <w:t>μM</w:t>
      </w:r>
      <w:r>
        <w:rPr>
          <w:rFonts w:hint="eastAsia" w:ascii="Times New Roman" w:hAnsi="Times New Roman" w:cs="Times New Roman"/>
          <w:sz w:val="20"/>
          <w:szCs w:val="20"/>
          <w:u w:val="none"/>
          <w:lang w:val="en-US"/>
        </w:rPr>
        <w:t xml:space="preserve"> SHIN1 ± 400 </w:t>
      </w:r>
      <w:r>
        <w:rPr>
          <w:rFonts w:ascii="Times New Roman" w:hAnsi="Times New Roman" w:cs="Times New Roman"/>
          <w:sz w:val="20"/>
          <w:szCs w:val="20"/>
          <w:u w:val="none"/>
          <w:lang w:val="en-US"/>
        </w:rPr>
        <w:t>μM</w:t>
      </w:r>
      <w:r>
        <w:rPr>
          <w:rFonts w:hint="eastAsia" w:ascii="Times New Roman" w:hAnsi="Times New Roman" w:cs="Times New Roman"/>
          <w:sz w:val="20"/>
          <w:szCs w:val="20"/>
          <w:u w:val="none"/>
          <w:lang w:val="en-US"/>
        </w:rPr>
        <w:t xml:space="preserve"> Formate/1 mM Glycine (normalized to SHIN1 alone)</w:t>
      </w:r>
      <w:r>
        <w:rPr>
          <w:rFonts w:ascii="Times New Roman" w:hAnsi="Times New Roman" w:cs="Times New Roman"/>
          <w:sz w:val="20"/>
          <w:szCs w:val="20"/>
          <w:u w:val="none"/>
        </w:rPr>
        <w:t>.</w:t>
      </w:r>
      <w:r>
        <w:rPr>
          <w:rFonts w:hint="eastAsia" w:ascii="Times New Roman" w:hAnsi="Times New Roman" w:cs="Times New Roman"/>
          <w:sz w:val="20"/>
          <w:szCs w:val="20"/>
          <w:u w:val="none"/>
          <w:lang w:val="en-US"/>
        </w:rPr>
        <w:t xml:space="preserve"> </w:t>
      </w:r>
      <w:r>
        <w:rPr>
          <w:rFonts w:ascii="Times New Roman" w:hAnsi="Times New Roman" w:cs="Times New Roman"/>
          <w:sz w:val="20"/>
          <w:szCs w:val="20"/>
          <w:u w:val="none"/>
        </w:rPr>
        <w:t>(</w:t>
      </w:r>
      <w:r>
        <w:rPr>
          <w:rFonts w:hint="eastAsia" w:ascii="Times New Roman" w:hAnsi="Times New Roman" w:cs="Times New Roman"/>
          <w:sz w:val="20"/>
          <w:szCs w:val="20"/>
          <w:u w:val="none"/>
          <w:lang w:val="en-US"/>
        </w:rPr>
        <w:t>I</w:t>
      </w:r>
      <w:r>
        <w:rPr>
          <w:rFonts w:ascii="Times New Roman" w:hAnsi="Times New Roman" w:cs="Times New Roman"/>
          <w:sz w:val="20"/>
          <w:szCs w:val="20"/>
          <w:u w:val="none"/>
        </w:rPr>
        <w:t>) A drug screening assay</w:t>
      </w:r>
      <w:r>
        <w:rPr>
          <w:rFonts w:ascii="Times New Roman" w:hAnsi="Times New Roman" w:cs="Times New Roman"/>
          <w:sz w:val="20"/>
          <w:szCs w:val="20"/>
          <w:u w:val="none"/>
          <w:lang w:val="en-US"/>
        </w:rPr>
        <w:t>s</w:t>
      </w:r>
      <w:r>
        <w:rPr>
          <w:rFonts w:ascii="Times New Roman" w:hAnsi="Times New Roman" w:cs="Times New Roman"/>
          <w:sz w:val="20"/>
          <w:szCs w:val="20"/>
          <w:u w:val="none"/>
        </w:rPr>
        <w:t xml:space="preserve"> w</w:t>
      </w:r>
      <w:r>
        <w:rPr>
          <w:rFonts w:ascii="Times New Roman" w:hAnsi="Times New Roman" w:cs="Times New Roman"/>
          <w:sz w:val="20"/>
          <w:szCs w:val="20"/>
          <w:u w:val="none"/>
          <w:lang w:val="en-US"/>
        </w:rPr>
        <w:t>ere</w:t>
      </w:r>
      <w:r>
        <w:rPr>
          <w:rFonts w:ascii="Times New Roman" w:hAnsi="Times New Roman" w:cs="Times New Roman"/>
          <w:sz w:val="20"/>
          <w:szCs w:val="20"/>
          <w:u w:val="none"/>
        </w:rPr>
        <w:t xml:space="preserve"> used to determine the synergistic effect of SHIN1 with</w:t>
      </w:r>
      <w:r>
        <w:rPr>
          <w:rFonts w:hint="eastAsia" w:ascii="Times New Roman" w:hAnsi="Times New Roman" w:cs="Times New Roman"/>
          <w:sz w:val="20"/>
          <w:szCs w:val="20"/>
          <w:u w:val="none"/>
          <w:lang w:val="en-US"/>
        </w:rPr>
        <w:t xml:space="preserve"> common</w:t>
      </w:r>
      <w:r>
        <w:rPr>
          <w:rFonts w:ascii="Times New Roman" w:hAnsi="Times New Roman" w:cs="Times New Roman"/>
          <w:sz w:val="20"/>
          <w:szCs w:val="20"/>
          <w:u w:val="none"/>
        </w:rPr>
        <w:t xml:space="preserve"> chemotherapy drugs for GC</w:t>
      </w:r>
      <w:r>
        <w:rPr>
          <w:rFonts w:ascii="Times New Roman" w:hAnsi="Times New Roman" w:cs="Times New Roman"/>
          <w:sz w:val="20"/>
          <w:szCs w:val="20"/>
          <w:u w:val="none"/>
          <w:lang w:val="en-US"/>
        </w:rPr>
        <w:t xml:space="preserve"> in AGS cells</w:t>
      </w:r>
      <w:r>
        <w:rPr>
          <w:rFonts w:ascii="Times New Roman" w:hAnsi="Times New Roman" w:cs="Times New Roman"/>
          <w:sz w:val="20"/>
          <w:szCs w:val="20"/>
          <w:u w:val="none"/>
        </w:rPr>
        <w:t>.The SynergyFinder platform with the ZIP model was used to compute synergistic ZIP scores. (</w:t>
      </w:r>
      <w:r>
        <w:rPr>
          <w:rFonts w:hint="eastAsia" w:ascii="Times New Roman" w:hAnsi="Times New Roman" w:cs="Times New Roman"/>
          <w:sz w:val="20"/>
          <w:szCs w:val="20"/>
          <w:u w:val="none"/>
          <w:lang w:val="en-US"/>
        </w:rPr>
        <w:t>J</w:t>
      </w:r>
      <w:r>
        <w:rPr>
          <w:rFonts w:ascii="Times New Roman" w:hAnsi="Times New Roman" w:cs="Times New Roman"/>
          <w:sz w:val="20"/>
          <w:szCs w:val="20"/>
          <w:u w:val="none"/>
        </w:rPr>
        <w:t xml:space="preserve">) The histogram showing the synergistic scores in </w:t>
      </w:r>
      <w:r>
        <w:rPr>
          <w:rFonts w:ascii="Times New Roman" w:hAnsi="Times New Roman" w:cs="Times New Roman"/>
          <w:sz w:val="20"/>
          <w:szCs w:val="20"/>
          <w:u w:val="none"/>
          <w:lang w:val="en-US"/>
        </w:rPr>
        <w:t>(</w:t>
      </w:r>
      <w:r>
        <w:rPr>
          <w:rFonts w:hint="eastAsia" w:ascii="Times New Roman" w:hAnsi="Times New Roman" w:cs="Times New Roman"/>
          <w:sz w:val="20"/>
          <w:szCs w:val="20"/>
          <w:u w:val="none"/>
          <w:lang w:val="en-US"/>
        </w:rPr>
        <w:t>I</w:t>
      </w:r>
      <w:r>
        <w:rPr>
          <w:rFonts w:ascii="Times New Roman" w:hAnsi="Times New Roman" w:cs="Times New Roman"/>
          <w:sz w:val="20"/>
          <w:szCs w:val="20"/>
          <w:u w:val="none"/>
          <w:lang w:val="en-US"/>
        </w:rPr>
        <w:t>)</w:t>
      </w:r>
      <w:r>
        <w:rPr>
          <w:rFonts w:ascii="Times New Roman" w:hAnsi="Times New Roman" w:cs="Times New Roman"/>
          <w:sz w:val="20"/>
          <w:szCs w:val="20"/>
          <w:u w:val="none"/>
        </w:rPr>
        <w:t>. (</w:t>
      </w:r>
      <w:r>
        <w:rPr>
          <w:rFonts w:hint="eastAsia" w:ascii="Times New Roman" w:hAnsi="Times New Roman" w:cs="Times New Roman"/>
          <w:sz w:val="20"/>
          <w:szCs w:val="20"/>
          <w:u w:val="none"/>
          <w:lang w:val="en-US"/>
        </w:rPr>
        <w:t>K</w:t>
      </w:r>
      <w:r>
        <w:rPr>
          <w:rFonts w:ascii="Times New Roman" w:hAnsi="Times New Roman" w:cs="Times New Roman"/>
          <w:sz w:val="20"/>
          <w:szCs w:val="20"/>
          <w:u w:val="none"/>
        </w:rPr>
        <w:t>) The</w:t>
      </w:r>
      <w:r>
        <w:rPr>
          <w:rFonts w:ascii="Times New Roman" w:hAnsi="Times New Roman" w:cs="Times New Roman"/>
          <w:sz w:val="20"/>
          <w:szCs w:val="20"/>
          <w:u w:val="none"/>
          <w:lang w:val="en-US"/>
        </w:rPr>
        <w:t xml:space="preserve"> compusyn analysis to</w:t>
      </w:r>
      <w:r>
        <w:rPr>
          <w:rFonts w:ascii="Times New Roman" w:hAnsi="Times New Roman" w:cs="Times New Roman"/>
          <w:sz w:val="20"/>
          <w:szCs w:val="20"/>
          <w:u w:val="none"/>
        </w:rPr>
        <w:t xml:space="preserve"> show the synerg</w:t>
      </w:r>
      <w:r>
        <w:rPr>
          <w:rFonts w:ascii="Times New Roman" w:hAnsi="Times New Roman" w:cs="Times New Roman"/>
          <w:sz w:val="20"/>
          <w:szCs w:val="20"/>
          <w:u w:val="none"/>
          <w:lang w:val="en-US"/>
        </w:rPr>
        <w:t>istic</w:t>
      </w:r>
      <w:r>
        <w:rPr>
          <w:rFonts w:ascii="Times New Roman" w:hAnsi="Times New Roman" w:cs="Times New Roman"/>
          <w:sz w:val="20"/>
          <w:szCs w:val="20"/>
          <w:u w:val="none"/>
        </w:rPr>
        <w:t xml:space="preserve"> </w:t>
      </w:r>
      <w:r>
        <w:rPr>
          <w:rFonts w:ascii="Times New Roman" w:hAnsi="Times New Roman" w:cs="Times New Roman"/>
          <w:sz w:val="20"/>
          <w:szCs w:val="20"/>
          <w:u w:val="none"/>
          <w:lang w:val="en-US"/>
        </w:rPr>
        <w:t xml:space="preserve">effect of SHIN1 </w:t>
      </w:r>
      <w:r>
        <w:rPr>
          <w:rFonts w:hint="eastAsia" w:ascii="Times New Roman" w:hAnsi="Times New Roman" w:cs="Times New Roman"/>
          <w:sz w:val="20"/>
          <w:szCs w:val="20"/>
          <w:u w:val="none"/>
          <w:lang w:val="en-US"/>
        </w:rPr>
        <w:t>with</w:t>
      </w:r>
      <w:r>
        <w:rPr>
          <w:rFonts w:ascii="Times New Roman" w:hAnsi="Times New Roman" w:cs="Times New Roman"/>
          <w:sz w:val="20"/>
          <w:szCs w:val="20"/>
          <w:u w:val="none"/>
          <w:lang w:val="en-US"/>
        </w:rPr>
        <w:t xml:space="preserve"> 5-Fu.</w:t>
      </w:r>
      <w:r>
        <w:rPr>
          <w:rFonts w:ascii="Times New Roman" w:hAnsi="Times New Roman" w:cs="Times New Roman"/>
          <w:sz w:val="20"/>
          <w:szCs w:val="20"/>
          <w:u w:val="none"/>
        </w:rPr>
        <w:t xml:space="preserve"> </w:t>
      </w:r>
      <w:r>
        <w:rPr>
          <w:rFonts w:ascii="Times New Roman" w:hAnsi="Times New Roman" w:cs="Times New Roman"/>
          <w:sz w:val="20"/>
          <w:szCs w:val="20"/>
          <w:u w:val="none"/>
          <w:lang w:val="en-US"/>
        </w:rPr>
        <w:t>n.s: non-significant</w:t>
      </w:r>
      <w:r>
        <w:rPr>
          <w:rFonts w:hint="eastAsia" w:ascii="Times New Roman" w:hAnsi="Times New Roman" w:cs="Times New Roman"/>
          <w:sz w:val="20"/>
          <w:szCs w:val="20"/>
          <w:u w:val="none"/>
          <w:lang w:val="en-US"/>
        </w:rPr>
        <w:t>.</w:t>
      </w:r>
      <w:r>
        <w:rPr>
          <w:rFonts w:ascii="Times New Roman" w:hAnsi="Times New Roman" w:cs="Times New Roman"/>
          <w:sz w:val="20"/>
          <w:szCs w:val="20"/>
          <w:u w:val="none"/>
        </w:rPr>
        <w:t xml:space="preserve"> *P&lt;0.05, **P&lt;0.01, ***P&lt;0.001</w:t>
      </w:r>
      <w:r>
        <w:rPr>
          <w:rFonts w:ascii="Times New Roman" w:hAnsi="Times New Roman" w:cs="Times New Roman"/>
          <w:sz w:val="20"/>
          <w:szCs w:val="20"/>
          <w:u w:val="none"/>
          <w:lang w:val="en-US"/>
        </w:rPr>
        <w:t>.</w:t>
      </w:r>
    </w:p>
    <w:p w14:paraId="7AE692E6">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000000" w:themeColor="text1"/>
          <w:sz w:val="20"/>
          <w:szCs w:val="20"/>
          <w:u w:val="none"/>
          <w:lang w:val="en-US"/>
          <w14:textFill>
            <w14:solidFill>
              <w14:schemeClr w14:val="tx1"/>
            </w14:solidFill>
          </w14:textFill>
        </w:rPr>
      </w:pPr>
      <w:r>
        <w:rPr>
          <w:rFonts w:hint="eastAsia" w:ascii="Times New Roman" w:hAnsi="Times New Roman" w:cs="Times New Roman"/>
          <w:b/>
          <w:bCs/>
          <w:color w:val="000000" w:themeColor="text1"/>
          <w:sz w:val="20"/>
          <w:szCs w:val="20"/>
          <w:u w:val="none"/>
          <w:lang w:val="en-US"/>
          <w14:textFill>
            <w14:solidFill>
              <w14:schemeClr w14:val="tx1"/>
            </w14:solidFill>
          </w14:textFill>
        </w:rPr>
        <w:t xml:space="preserve">Supplementary Figure </w:t>
      </w:r>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t>3</w:t>
      </w:r>
      <w:r>
        <w:rPr>
          <w:rFonts w:hint="eastAsia" w:ascii="Times New Roman" w:hAnsi="Times New Roman" w:cs="Times New Roman"/>
          <w:color w:val="000000" w:themeColor="text1"/>
          <w:sz w:val="20"/>
          <w:szCs w:val="20"/>
          <w:u w:val="none"/>
          <w:lang w:val="en-US"/>
          <w14:textFill>
            <w14:solidFill>
              <w14:schemeClr w14:val="tx1"/>
            </w14:solidFill>
          </w14:textFill>
        </w:rPr>
        <w:t xml:space="preserve">. </w:t>
      </w:r>
    </w:p>
    <w:p w14:paraId="00A5AC31">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000000" w:themeColor="text1"/>
          <w:sz w:val="20"/>
          <w:szCs w:val="20"/>
          <w:u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0"/>
          <w:szCs w:val="20"/>
          <w:u w:val="none"/>
          <w:lang w:val="en-US" w:eastAsia="zh-CN"/>
          <w14:textFill>
            <w14:solidFill>
              <w14:schemeClr w14:val="tx1"/>
            </w14:solidFill>
          </w14:textFill>
        </w:rPr>
        <w:drawing>
          <wp:inline distT="0" distB="0" distL="114300" distR="114300">
            <wp:extent cx="5249545" cy="2328545"/>
            <wp:effectExtent l="0" t="0" r="8255" b="3175"/>
            <wp:docPr id="3" name="图片 3"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3"/>
                    <pic:cNvPicPr>
                      <a:picLocks noChangeAspect="1"/>
                    </pic:cNvPicPr>
                  </pic:nvPicPr>
                  <pic:blipFill>
                    <a:blip r:embed="rId6"/>
                    <a:stretch>
                      <a:fillRect/>
                    </a:stretch>
                  </pic:blipFill>
                  <pic:spPr>
                    <a:xfrm>
                      <a:off x="0" y="0"/>
                      <a:ext cx="5249545" cy="2328545"/>
                    </a:xfrm>
                    <a:prstGeom prst="rect">
                      <a:avLst/>
                    </a:prstGeom>
                  </pic:spPr>
                </pic:pic>
              </a:graphicData>
            </a:graphic>
          </wp:inline>
        </w:drawing>
      </w:r>
    </w:p>
    <w:p w14:paraId="4477CD19">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0"/>
          <w:szCs w:val="20"/>
          <w:u w:val="none"/>
          <w:lang w:val="en-US"/>
        </w:rPr>
      </w:pPr>
      <w:r>
        <w:rPr>
          <w:rFonts w:hint="eastAsia" w:ascii="Times New Roman" w:hAnsi="Times New Roman" w:cs="Times New Roman"/>
          <w:b/>
          <w:bCs/>
          <w:color w:val="000000" w:themeColor="text1"/>
          <w:sz w:val="20"/>
          <w:szCs w:val="20"/>
          <w:u w:val="none"/>
          <w:lang w:val="en-US"/>
          <w14:textFill>
            <w14:solidFill>
              <w14:schemeClr w14:val="tx1"/>
            </w14:solidFill>
          </w14:textFill>
        </w:rPr>
        <w:t xml:space="preserve">Supplementary Figure </w:t>
      </w:r>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t>3</w:t>
      </w:r>
      <w:r>
        <w:rPr>
          <w:rFonts w:hint="eastAsia" w:ascii="Times New Roman" w:hAnsi="Times New Roman" w:cs="Times New Roman"/>
          <w:color w:val="000000" w:themeColor="text1"/>
          <w:sz w:val="20"/>
          <w:szCs w:val="20"/>
          <w:u w:val="none"/>
          <w:lang w:val="en-US"/>
          <w14:textFill>
            <w14:solidFill>
              <w14:schemeClr w14:val="tx1"/>
            </w14:solidFill>
          </w14:textFill>
        </w:rPr>
        <w:t>.</w:t>
      </w:r>
      <w:r>
        <w:rPr>
          <w:rFonts w:hint="eastAsia" w:ascii="Times New Roman" w:hAnsi="Times New Roman" w:cs="Times New Roman"/>
          <w:color w:val="000000" w:themeColor="text1"/>
          <w:sz w:val="20"/>
          <w:szCs w:val="20"/>
          <w:u w:val="none"/>
          <w:lang w:val="en-US" w:eastAsia="zh-CN"/>
          <w14:textFill>
            <w14:solidFill>
              <w14:schemeClr w14:val="tx1"/>
            </w14:solidFill>
          </w14:textFill>
        </w:rPr>
        <w:t xml:space="preserve"> </w:t>
      </w:r>
      <w:r>
        <w:rPr>
          <w:rFonts w:hint="eastAsia" w:ascii="Times New Roman" w:hAnsi="Times New Roman" w:cs="Times New Roman"/>
          <w:sz w:val="20"/>
          <w:szCs w:val="20"/>
          <w:u w:val="none"/>
          <w:lang w:val="en-US"/>
        </w:rPr>
        <w:t>Gene expression correlations associated with SHMT1/SHMT2 in GC patients. (A) Correlation between SHMT1 and TP53 expression. (B) Correlation between SHMT2 and TP53 expression. (C) Correlation between SHMT1 and CDK6 expression. (D) Correlation between SHMT2 and CDK6 expression. (E) Correlation between SHMT2 and CDK4 expression. (F) Correlation between SHMT1 and CDK4 expression. (G) Correlation between SHMT1 and GADD45A expression. (H) Correlation between SHMT2 and CDKN1A expression. (I) Correlation between SHMT2 and GADD45A (P21) expression. (J) Correlation between SHMT1 and CDKN1A (P21) expression. Gene expression correlations analyzed using TCGA database.</w:t>
      </w:r>
    </w:p>
    <w:p w14:paraId="62F3FAA0">
      <w:pPr>
        <w:rPr>
          <w:rFonts w:hint="eastAsia" w:ascii="Times New Roman" w:hAnsi="Times New Roman" w:cs="Times New Roman"/>
          <w:sz w:val="20"/>
          <w:szCs w:val="20"/>
          <w:u w:val="none"/>
          <w:lang w:val="en-US"/>
        </w:rPr>
      </w:pPr>
      <w:r>
        <w:rPr>
          <w:rFonts w:hint="eastAsia" w:ascii="Times New Roman" w:hAnsi="Times New Roman" w:cs="Times New Roman"/>
          <w:sz w:val="20"/>
          <w:szCs w:val="20"/>
          <w:u w:val="none"/>
          <w:lang w:val="en-US"/>
        </w:rPr>
        <w:br w:type="page"/>
      </w:r>
    </w:p>
    <w:p w14:paraId="7EE627B8">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b/>
          <w:bCs/>
          <w:color w:val="000000" w:themeColor="text1"/>
          <w:sz w:val="20"/>
          <w:szCs w:val="20"/>
          <w:u w:val="none"/>
          <w:lang w:val="en-US" w:eastAsia="zh-CN"/>
          <w14:textFill>
            <w14:solidFill>
              <w14:schemeClr w14:val="tx1"/>
            </w14:solidFill>
          </w14:textFill>
        </w:rPr>
      </w:pPr>
      <w:r>
        <w:rPr>
          <w:rFonts w:hint="eastAsia" w:ascii="Times New Roman" w:hAnsi="Times New Roman" w:cs="Times New Roman"/>
          <w:b/>
          <w:bCs/>
          <w:color w:val="000000" w:themeColor="text1"/>
          <w:sz w:val="20"/>
          <w:szCs w:val="20"/>
          <w:u w:val="none"/>
          <w:lang w:val="en-US"/>
          <w14:textFill>
            <w14:solidFill>
              <w14:schemeClr w14:val="tx1"/>
            </w14:solidFill>
          </w14:textFill>
        </w:rPr>
        <w:t xml:space="preserve">Supplementary Figure </w:t>
      </w:r>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t>4</w:t>
      </w:r>
    </w:p>
    <w:p w14:paraId="108119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b/>
          <w:bCs/>
          <w:color w:val="000000" w:themeColor="text1"/>
          <w:sz w:val="20"/>
          <w:szCs w:val="20"/>
          <w:u w:val="none"/>
          <w:lang w:val="en-US" w:eastAsia="zh-CN"/>
          <w14:textFill>
            <w14:solidFill>
              <w14:schemeClr w14:val="tx1"/>
            </w14:solidFill>
          </w14:textFill>
        </w:rPr>
      </w:pPr>
      <w:bookmarkStart w:id="9" w:name="_GoBack"/>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drawing>
          <wp:inline distT="0" distB="0" distL="114300" distR="114300">
            <wp:extent cx="5263515" cy="6844030"/>
            <wp:effectExtent l="0" t="0" r="9525" b="13970"/>
            <wp:docPr id="4" name="图片 4"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4"/>
                    <pic:cNvPicPr>
                      <a:picLocks noChangeAspect="1"/>
                    </pic:cNvPicPr>
                  </pic:nvPicPr>
                  <pic:blipFill>
                    <a:blip r:embed="rId7"/>
                    <a:stretch>
                      <a:fillRect/>
                    </a:stretch>
                  </pic:blipFill>
                  <pic:spPr>
                    <a:xfrm>
                      <a:off x="0" y="0"/>
                      <a:ext cx="5263515" cy="6844030"/>
                    </a:xfrm>
                    <a:prstGeom prst="rect">
                      <a:avLst/>
                    </a:prstGeom>
                  </pic:spPr>
                </pic:pic>
              </a:graphicData>
            </a:graphic>
          </wp:inline>
        </w:drawing>
      </w:r>
      <w:bookmarkEnd w:id="9"/>
    </w:p>
    <w:p w14:paraId="3858F060">
      <w:pPr>
        <w:spacing w:line="360" w:lineRule="auto"/>
        <w:contextualSpacing/>
        <w:rPr>
          <w:rFonts w:ascii="Times New Roman" w:hAnsi="Times New Roman" w:cs="Times New Roman"/>
          <w:sz w:val="20"/>
          <w:szCs w:val="20"/>
        </w:rPr>
      </w:pPr>
      <w:bookmarkStart w:id="8" w:name="OLE_LINK165"/>
      <w:r>
        <w:rPr>
          <w:rFonts w:hint="eastAsia" w:ascii="Times New Roman" w:hAnsi="Times New Roman" w:cs="Times New Roman"/>
          <w:b/>
          <w:bCs/>
          <w:color w:val="000000" w:themeColor="text1"/>
          <w:sz w:val="20"/>
          <w:szCs w:val="20"/>
          <w:u w:val="none"/>
          <w:lang w:val="en-US"/>
          <w14:textFill>
            <w14:solidFill>
              <w14:schemeClr w14:val="tx1"/>
            </w14:solidFill>
          </w14:textFill>
        </w:rPr>
        <w:t xml:space="preserve">Supplementary Figure </w:t>
      </w:r>
      <w:r>
        <w:rPr>
          <w:rFonts w:hint="eastAsia" w:ascii="Times New Roman" w:hAnsi="Times New Roman" w:cs="Times New Roman"/>
          <w:b/>
          <w:bCs/>
          <w:color w:val="000000" w:themeColor="text1"/>
          <w:sz w:val="20"/>
          <w:szCs w:val="20"/>
          <w:u w:val="none"/>
          <w:lang w:val="en-US" w:eastAsia="zh-CN"/>
          <w14:textFill>
            <w14:solidFill>
              <w14:schemeClr w14:val="tx1"/>
            </w14:solidFill>
          </w14:textFill>
        </w:rPr>
        <w:t>4</w:t>
      </w:r>
      <w:r>
        <w:rPr>
          <w:rFonts w:hint="eastAsia" w:ascii="Times New Roman" w:hAnsi="Times New Roman" w:cs="Times New Roman"/>
          <w:color w:val="000000" w:themeColor="text1"/>
          <w:sz w:val="20"/>
          <w:szCs w:val="20"/>
          <w:u w:val="none"/>
          <w:lang w:val="en-US"/>
          <w14:textFill>
            <w14:solidFill>
              <w14:schemeClr w14:val="tx1"/>
            </w14:solidFill>
          </w14:textFill>
        </w:rPr>
        <w:t>.</w:t>
      </w:r>
      <w:r>
        <w:rPr>
          <w:rFonts w:hint="default" w:ascii="Times New Roman" w:hAnsi="Times New Roman" w:cs="Times New Roman"/>
          <w:color w:val="000000" w:themeColor="text1"/>
          <w:sz w:val="20"/>
          <w:szCs w:val="20"/>
          <w:u w:val="none"/>
          <w14:textFill>
            <w14:solidFill>
              <w14:schemeClr w14:val="tx1"/>
            </w14:solidFill>
          </w14:textFill>
        </w:rPr>
        <w:t xml:space="preserve"> </w:t>
      </w:r>
      <w:r>
        <w:rPr>
          <w:rFonts w:hint="default" w:ascii="Times New Roman" w:hAnsi="Times New Roman" w:cs="Times New Roman"/>
          <w:color w:val="000000" w:themeColor="text1"/>
          <w:sz w:val="20"/>
          <w:szCs w:val="20"/>
          <w:u w:val="none"/>
          <w:lang w:val="en-US"/>
          <w14:textFill>
            <w14:solidFill>
              <w14:schemeClr w14:val="tx1"/>
            </w14:solidFill>
          </w14:textFill>
        </w:rPr>
        <w:t>P</w:t>
      </w:r>
      <w:r>
        <w:rPr>
          <w:rFonts w:hint="default" w:ascii="Times New Roman" w:hAnsi="Times New Roman" w:cs="Times New Roman"/>
          <w:sz w:val="20"/>
          <w:szCs w:val="20"/>
          <w:u w:val="none"/>
          <w:lang w:val="en-US"/>
        </w:rPr>
        <w:t xml:space="preserve">53 signaling pathway was activated in the combinative therapy groups. </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A</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 xml:space="preserve"> </w:t>
      </w:r>
      <w:r>
        <w:rPr>
          <w:rFonts w:hint="default" w:ascii="Times New Roman" w:hAnsi="Times New Roman" w:cs="Times New Roman"/>
          <w:sz w:val="20"/>
          <w:szCs w:val="20"/>
          <w:u w:val="none"/>
        </w:rPr>
        <w:t>Immunofluorescence staining</w:t>
      </w:r>
      <w:r>
        <w:rPr>
          <w:rFonts w:hint="default" w:ascii="Times New Roman" w:hAnsi="Times New Roman" w:cs="Times New Roman"/>
          <w:sz w:val="20"/>
          <w:szCs w:val="20"/>
          <w:u w:val="none"/>
          <w:lang w:val="en-US"/>
        </w:rPr>
        <w:t xml:space="preserve"> for P53 protein in HGC-27 cells. </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B</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 xml:space="preserve"> </w:t>
      </w:r>
      <w:r>
        <w:rPr>
          <w:rFonts w:hint="default" w:ascii="Times New Roman" w:hAnsi="Times New Roman" w:cs="Times New Roman"/>
          <w:sz w:val="20"/>
          <w:szCs w:val="20"/>
          <w:u w:val="none"/>
        </w:rPr>
        <w:t>Immunofluorescence staining</w:t>
      </w:r>
      <w:r>
        <w:rPr>
          <w:rFonts w:hint="default" w:ascii="Times New Roman" w:hAnsi="Times New Roman" w:cs="Times New Roman"/>
          <w:sz w:val="20"/>
          <w:szCs w:val="20"/>
          <w:u w:val="none"/>
          <w:lang w:val="en-US"/>
        </w:rPr>
        <w:t xml:space="preserve"> for P53 protein in AGS cells. </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C and D</w:t>
      </w:r>
      <w:r>
        <w:rPr>
          <w:rFonts w:hint="default" w:ascii="Times New Roman" w:hAnsi="Times New Roman" w:cs="Times New Roman"/>
          <w:sz w:val="20"/>
          <w:szCs w:val="20"/>
          <w:u w:val="none"/>
        </w:rPr>
        <w:t xml:space="preserve">) The histogram showing the </w:t>
      </w:r>
      <w:r>
        <w:rPr>
          <w:rFonts w:hint="default" w:ascii="Times New Roman" w:hAnsi="Times New Roman" w:cs="Times New Roman"/>
          <w:sz w:val="20"/>
          <w:szCs w:val="20"/>
          <w:u w:val="none"/>
          <w:lang w:val="en-US"/>
        </w:rPr>
        <w:t>mean mean fluorescence intensity</w:t>
      </w:r>
      <w:r>
        <w:rPr>
          <w:rFonts w:hint="default" w:ascii="Times New Roman" w:hAnsi="Times New Roman" w:cs="Times New Roman"/>
          <w:sz w:val="20"/>
          <w:szCs w:val="20"/>
          <w:u w:val="none"/>
        </w:rPr>
        <w:t xml:space="preserve"> in </w:t>
      </w:r>
      <w:r>
        <w:rPr>
          <w:rFonts w:hint="default" w:ascii="Times New Roman" w:hAnsi="Times New Roman" w:cs="Times New Roman"/>
          <w:sz w:val="20"/>
          <w:szCs w:val="20"/>
          <w:u w:val="none"/>
          <w:lang w:val="en-US"/>
        </w:rPr>
        <w:t xml:space="preserve">(A and B). </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E</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 xml:space="preserve"> The relative P53 expression level of mRNA after adding P53 inhibitors (PFT-α) in various HGC-27 experimental groups. </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F</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 xml:space="preserve"> The relative P21 expression level of mRNA after adding P53 inhibitors (PFT-α) in various HGC-27 experimental groups. (G) The relative GADD45A expression level of mRNA after adding P53 inhibitors (PFT-α) in various HGC-27 experimental groups. (H) The relative CDK6 expression level of mRNA after adding P53 inhibitors (PFT-α) in various HGC-27 experimental groups. (I) The relative CDK4 expression level of mRNA after adding P53 inhibitors (PFT-α) in various HGC-27 experimental groups. (J) The relative P53 expression level of mRNA after adding P53 inhibitors (PFT-α) in various AGS experimental groups. (K) The relative P21 expression level of mRNA after adding P53 inhibitors (PFT-α) in various AGS experimental groups. (L) The relative GADD45A expression level of mRNA after adding P53 inhibitors (PFT-α) in various AGS experimental groups. (M) The relative CDK6 expression level of mRNA after adding P53 inhibitors (PFT-α) in various AGS experimental groups. </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N</w:t>
      </w:r>
      <w:r>
        <w:rPr>
          <w:rFonts w:hint="default" w:ascii="Times New Roman" w:hAnsi="Times New Roman" w:cs="Times New Roman"/>
          <w:sz w:val="20"/>
          <w:szCs w:val="20"/>
          <w:u w:val="none"/>
        </w:rPr>
        <w:t>)</w:t>
      </w:r>
      <w:r>
        <w:rPr>
          <w:rFonts w:hint="default" w:ascii="Times New Roman" w:hAnsi="Times New Roman" w:cs="Times New Roman"/>
          <w:sz w:val="20"/>
          <w:szCs w:val="20"/>
          <w:u w:val="none"/>
          <w:lang w:val="en-US"/>
        </w:rPr>
        <w:t xml:space="preserve"> The relative CDK4 expression level of mRNA after adding P53 inhibitors (PFT-α) in various AGS experimental groups. n.s: non-significant; </w:t>
      </w:r>
      <w:r>
        <w:rPr>
          <w:rFonts w:hint="default" w:ascii="Times New Roman" w:hAnsi="Times New Roman" w:cs="Times New Roman"/>
          <w:sz w:val="20"/>
          <w:szCs w:val="20"/>
          <w:u w:val="none"/>
        </w:rPr>
        <w:t>*P&lt;0.05, **P&lt;0.01, ***P&lt;0.001.</w:t>
      </w:r>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jMTQ1YTNhMTcwOGNiYTNlZjhiNDIzMzhkMDc2ZjgifQ=="/>
  </w:docVars>
  <w:rsids>
    <w:rsidRoot w:val="00CE6617"/>
    <w:rsid w:val="000147E5"/>
    <w:rsid w:val="00040DC4"/>
    <w:rsid w:val="00085638"/>
    <w:rsid w:val="001238DB"/>
    <w:rsid w:val="0014560E"/>
    <w:rsid w:val="002F269B"/>
    <w:rsid w:val="002F6B16"/>
    <w:rsid w:val="0033472E"/>
    <w:rsid w:val="003B5216"/>
    <w:rsid w:val="003C4B20"/>
    <w:rsid w:val="004B6E7C"/>
    <w:rsid w:val="005242EA"/>
    <w:rsid w:val="0055192C"/>
    <w:rsid w:val="005F2588"/>
    <w:rsid w:val="00621043"/>
    <w:rsid w:val="00690E70"/>
    <w:rsid w:val="007407B5"/>
    <w:rsid w:val="007C4BED"/>
    <w:rsid w:val="0085092C"/>
    <w:rsid w:val="008C07C2"/>
    <w:rsid w:val="009B1BF9"/>
    <w:rsid w:val="00B1163D"/>
    <w:rsid w:val="00B5214F"/>
    <w:rsid w:val="00C053E7"/>
    <w:rsid w:val="00CB65D0"/>
    <w:rsid w:val="00CB7D20"/>
    <w:rsid w:val="00CE6617"/>
    <w:rsid w:val="00D43CF0"/>
    <w:rsid w:val="00DB3147"/>
    <w:rsid w:val="00DB427A"/>
    <w:rsid w:val="00E27758"/>
    <w:rsid w:val="00F12F8A"/>
    <w:rsid w:val="00FE0B45"/>
    <w:rsid w:val="04A230D9"/>
    <w:rsid w:val="08064DBA"/>
    <w:rsid w:val="126613A3"/>
    <w:rsid w:val="14AA5A9E"/>
    <w:rsid w:val="155C4569"/>
    <w:rsid w:val="163C29C8"/>
    <w:rsid w:val="180371B2"/>
    <w:rsid w:val="1A2E1092"/>
    <w:rsid w:val="1DFF3BAE"/>
    <w:rsid w:val="25F87BEB"/>
    <w:rsid w:val="2AC6427B"/>
    <w:rsid w:val="2E044709"/>
    <w:rsid w:val="2FF616FD"/>
    <w:rsid w:val="36363350"/>
    <w:rsid w:val="3B2D253C"/>
    <w:rsid w:val="3F4F69F8"/>
    <w:rsid w:val="414150F2"/>
    <w:rsid w:val="42795447"/>
    <w:rsid w:val="42FB73CC"/>
    <w:rsid w:val="43A22ACA"/>
    <w:rsid w:val="44173A03"/>
    <w:rsid w:val="499C7517"/>
    <w:rsid w:val="4D1B3ED6"/>
    <w:rsid w:val="4DB911F4"/>
    <w:rsid w:val="4F546432"/>
    <w:rsid w:val="4FB93369"/>
    <w:rsid w:val="5126535E"/>
    <w:rsid w:val="56E5488D"/>
    <w:rsid w:val="598A3F29"/>
    <w:rsid w:val="5A8A7247"/>
    <w:rsid w:val="5B92127B"/>
    <w:rsid w:val="5DB467FF"/>
    <w:rsid w:val="61C07EFE"/>
    <w:rsid w:val="64F424C1"/>
    <w:rsid w:val="69326EA1"/>
    <w:rsid w:val="6A086704"/>
    <w:rsid w:val="6E8120BB"/>
    <w:rsid w:val="6FFD1219"/>
    <w:rsid w:val="70D11B64"/>
    <w:rsid w:val="73172910"/>
    <w:rsid w:val="78941235"/>
    <w:rsid w:val="79766669"/>
    <w:rsid w:val="7A931348"/>
    <w:rsid w:val="7CD71C7A"/>
    <w:rsid w:val="7EB44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1"/>
      <w:lang w:val="en-US" w:eastAsia="zh-CN" w:bidi="ar-SA"/>
    </w:rPr>
  </w:style>
  <w:style w:type="paragraph" w:styleId="2">
    <w:name w:val="heading 1"/>
    <w:basedOn w:val="1"/>
    <w:next w:val="1"/>
    <w:autoRedefine/>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link w:val="14"/>
    <w:autoRedefine/>
    <w:unhideWhenUsed/>
    <w:qFormat/>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22"/>
    <w:rPr>
      <w:b/>
    </w:rPr>
  </w:style>
  <w:style w:type="character" w:styleId="10">
    <w:name w:val="Emphasis"/>
    <w:basedOn w:val="8"/>
    <w:autoRedefine/>
    <w:qFormat/>
    <w:uiPriority w:val="20"/>
    <w:rPr>
      <w:i/>
    </w:rPr>
  </w:style>
  <w:style w:type="character" w:styleId="11">
    <w:name w:val="line number"/>
    <w:basedOn w:val="8"/>
    <w:autoRedefine/>
    <w:unhideWhenUsed/>
    <w:qFormat/>
    <w:uiPriority w:val="99"/>
    <w:rPr>
      <w:rFonts w:eastAsia="Times New Roman"/>
    </w:rPr>
  </w:style>
  <w:style w:type="character" w:styleId="12">
    <w:name w:val="Hyperlink"/>
    <w:basedOn w:val="8"/>
    <w:semiHidden/>
    <w:unhideWhenUsed/>
    <w:qFormat/>
    <w:uiPriority w:val="99"/>
    <w:rPr>
      <w:color w:val="0000FF"/>
      <w:u w:val="single"/>
    </w:rPr>
  </w:style>
  <w:style w:type="character" w:customStyle="1" w:styleId="13">
    <w:name w:val="页眉 字符"/>
    <w:basedOn w:val="8"/>
    <w:link w:val="5"/>
    <w:autoRedefine/>
    <w:qFormat/>
    <w:uiPriority w:val="99"/>
    <w:rPr>
      <w:sz w:val="18"/>
      <w:szCs w:val="18"/>
    </w:rPr>
  </w:style>
  <w:style w:type="character" w:customStyle="1" w:styleId="14">
    <w:name w:val="页脚 字符"/>
    <w:basedOn w:val="8"/>
    <w:link w:val="4"/>
    <w:autoRedefine/>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159</Words>
  <Characters>1176</Characters>
  <Lines>11</Lines>
  <Paragraphs>3</Paragraphs>
  <TotalTime>1</TotalTime>
  <ScaleCrop>false</ScaleCrop>
  <LinksUpToDate>false</LinksUpToDate>
  <CharactersWithSpaces>1250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2022-01-05T07:33:00Z</dcterms:created>
  <dc:creator>曹 博</dc:creator>
  <cp:lastModifiedBy>WPS_1669910002</cp:lastModifiedBy>
  <dcterms:modified xsi:type="dcterms:W3CDTF">2025-03-16T04:54:04Z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0581E92B7C9C42529E109447FEEF428E_12</vt:lpwstr>
  </property>
  <property fmtid="{D5CDD505-2E9C-101B-9397-08002B2CF9AE}" pid="4" name="KSOTemplateDocerSaveRecord">
    <vt:lpwstr>eyJoZGlkIjoiM2RjMTQ1YTNhMTcwOGNiYTNlZjhiNDIzMzhkMDc2ZjgiLCJ1c2VySWQiOiIxNDQ4Mzg3NzMyIn0=</vt:lpwstr>
  </property>
</Properties>
</file>