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A8664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32"/>
          <w:szCs w:val="32"/>
        </w:rPr>
        <w:t>From Predictive Model to Clinical Application: Interpretable Prediction of Metachronous Liver Metastasis in Colorectal Cancer</w:t>
      </w:r>
      <w:bookmarkStart w:id="0" w:name="_GoBack"/>
      <w:bookmarkEnd w:id="0"/>
    </w:p>
    <w:p w14:paraId="56FF0C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rPr>
          <w:rFonts w:ascii="Times New Roman" w:hAnsi="Times New Roman" w:cs="Times New Roman"/>
          <w:color w:val="auto"/>
          <w:sz w:val="24"/>
          <w:highlight w:val="none"/>
        </w:rPr>
      </w:pPr>
    </w:p>
    <w:p w14:paraId="4DCDAF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</w:rPr>
        <w:t>Liuyang Yang</w:t>
      </w:r>
      <w:r>
        <w:rPr>
          <w:rFonts w:hint="default" w:ascii="Times New Roman" w:hAnsi="Times New Roman" w:cs="Times New Roman"/>
          <w:color w:val="auto"/>
          <w:sz w:val="24"/>
          <w:vertAlign w:val="superscript"/>
        </w:rPr>
        <w:t>1,2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superscript"/>
        </w:rPr>
        <w:t>*</w:t>
      </w:r>
      <w:r>
        <w:rPr>
          <w:rFonts w:hint="default" w:ascii="Times New Roman" w:hAnsi="Times New Roman" w:cs="Times New Roman"/>
          <w:color w:val="auto"/>
          <w:sz w:val="24"/>
        </w:rPr>
        <w:t>, Liyu Shan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superscript"/>
        </w:rPr>
        <w:t>*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Peiyi Xie</w:t>
      </w: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,6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superscript"/>
        </w:rPr>
        <w:t>*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, Tong Tong</w:t>
      </w: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US" w:eastAsia="zh-CN"/>
        </w:rPr>
        <w:t>7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,8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vertAlign w:val="superscript"/>
        </w:rPr>
        <w:t>*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Changlong Yang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</w:rPr>
        <w:t>Lizhu Liu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color w:val="auto"/>
          <w:sz w:val="24"/>
        </w:rPr>
        <w:t xml:space="preserve">, 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>Rongxiang Fang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1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Mingxiong Zhang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</w:rPr>
        <w:t>Zhihui Shi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</w:rPr>
        <w:t>Yibo Gong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,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 Youguo Dai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Xiao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y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>an Zhang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9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#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</w:rPr>
        <w:t>Zhenhui Li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1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#</w:t>
      </w:r>
      <w:r>
        <w:rPr>
          <w:rFonts w:hint="eastAsia" w:ascii="Times New Roman" w:hAnsi="Times New Roman" w:cs="Times New Roman"/>
          <w:color w:val="auto"/>
          <w:sz w:val="24"/>
        </w:rPr>
        <w:t>, Wenliang Li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US"/>
        </w:rPr>
        <w:t>,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4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#</w:t>
      </w:r>
    </w:p>
    <w:p w14:paraId="467935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</w:pPr>
    </w:p>
    <w:p w14:paraId="415887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</w:pPr>
    </w:p>
    <w:p w14:paraId="73C5AC7B">
      <w:pPr>
        <w:ind w:right="420" w:rightChars="200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color w:val="auto"/>
          <w:sz w:val="24"/>
        </w:rPr>
        <w:t>Department of Radiology,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The Third Affiliated Hospital of Kunming Medical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University, Yunnan Cancer Hospital, Peking University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Cancer Hospital Yunnan, Yunnan, China</w:t>
      </w:r>
    </w:p>
    <w:p w14:paraId="0176D41D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  <w:vertAlign w:val="superscript"/>
        </w:rPr>
        <w:t>2</w:t>
      </w:r>
      <w:r>
        <w:rPr>
          <w:rFonts w:hint="eastAsia" w:ascii="Times New Roman" w:hAnsi="Times New Roman" w:cs="Times New Roman"/>
          <w:sz w:val="24"/>
          <w:lang w:val="en-US" w:eastAsia="zh-CN"/>
        </w:rPr>
        <w:t>The first people</w:t>
      </w:r>
      <w:r>
        <w:rPr>
          <w:rFonts w:hint="default" w:ascii="Times New Roman" w:hAnsi="Times New Roman" w:cs="Times New Roman"/>
          <w:sz w:val="24"/>
          <w:lang w:val="en-US" w:eastAsia="zh-CN"/>
        </w:rPr>
        <w:t>’</w:t>
      </w:r>
      <w:r>
        <w:rPr>
          <w:rFonts w:hint="eastAsia" w:ascii="Times New Roman" w:hAnsi="Times New Roman" w:cs="Times New Roman"/>
          <w:sz w:val="24"/>
          <w:lang w:val="en-US" w:eastAsia="zh-CN"/>
        </w:rPr>
        <w:t>s hospital of Yunnan Province, Yunnan</w:t>
      </w:r>
      <w:r>
        <w:rPr>
          <w:rFonts w:hint="eastAsia" w:ascii="Times New Roman" w:hAnsi="Times New Roman" w:cs="Times New Roman"/>
          <w:sz w:val="24"/>
        </w:rPr>
        <w:t>, China</w:t>
      </w:r>
    </w:p>
    <w:p w14:paraId="2E9EC41B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3</w:t>
      </w:r>
      <w:r>
        <w:rPr>
          <w:rFonts w:hint="eastAsia" w:ascii="Times New Roman" w:hAnsi="Times New Roman" w:cs="Times New Roman"/>
          <w:color w:val="auto"/>
          <w:sz w:val="24"/>
        </w:rPr>
        <w:t>Department of Gastrointestinal Surgery,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The Third Affiliated Hospital of Kunming Medical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University, Yunnan Cancer Hospital, Peking University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Cancer Hospital Yunnan, Yunnan, China</w:t>
      </w:r>
    </w:p>
    <w:p w14:paraId="5250FBEE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4</w:t>
      </w:r>
      <w:r>
        <w:rPr>
          <w:rFonts w:hint="eastAsia" w:ascii="Times New Roman" w:hAnsi="Times New Roman" w:cs="Times New Roman"/>
          <w:color w:val="auto"/>
          <w:sz w:val="24"/>
        </w:rPr>
        <w:t xml:space="preserve">The 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>Second</w:t>
      </w:r>
      <w:r>
        <w:rPr>
          <w:rFonts w:hint="eastAsia" w:ascii="Times New Roman" w:hAnsi="Times New Roman" w:cs="Times New Roman"/>
          <w:color w:val="auto"/>
          <w:sz w:val="24"/>
        </w:rPr>
        <w:t xml:space="preserve"> Affiliated Hospital of Kunming Medical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University, Yunnan, China</w:t>
      </w:r>
    </w:p>
    <w:p w14:paraId="27F68D4B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</w:rPr>
        <w:t xml:space="preserve">Department of Radiology, Guangdong Provincial Key Laboratory of Colorectal and Pelvic Floor Diseases, The Sixth Affiliated Hospital, Sun Yat-sen University, 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 xml:space="preserve">Guangdong, China </w:t>
      </w:r>
    </w:p>
    <w:p w14:paraId="11CE1ED8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6</w:t>
      </w:r>
      <w:r>
        <w:rPr>
          <w:rFonts w:hint="eastAsia" w:ascii="Times New Roman" w:hAnsi="Times New Roman" w:cs="Times New Roman"/>
          <w:color w:val="auto"/>
          <w:sz w:val="24"/>
        </w:rPr>
        <w:t>Biomedical Innovation Center, The Sixth Affiliated Hospital, Sun Yat-sen University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>,</w:t>
      </w:r>
      <w:r>
        <w:rPr>
          <w:rFonts w:hint="eastAsia" w:ascii="Times New Roman" w:hAnsi="Times New Roman" w:cs="Times New Roman"/>
          <w:color w:val="auto"/>
          <w:sz w:val="24"/>
        </w:rPr>
        <w:t xml:space="preserve"> Guangzhou, Guangdong, 510655, China </w:t>
      </w:r>
    </w:p>
    <w:p w14:paraId="4BC16433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7</w:t>
      </w:r>
      <w:r>
        <w:rPr>
          <w:rFonts w:hint="eastAsia" w:ascii="Times New Roman" w:hAnsi="Times New Roman" w:cs="Times New Roman"/>
          <w:color w:val="auto"/>
          <w:sz w:val="24"/>
        </w:rPr>
        <w:t>Department of Radiology, Fudan University Shanghai Cancer Center, Shanghai, China</w:t>
      </w:r>
    </w:p>
    <w:p w14:paraId="1281E2C9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8</w:t>
      </w:r>
      <w:r>
        <w:rPr>
          <w:rFonts w:hint="eastAsia" w:ascii="Times New Roman" w:hAnsi="Times New Roman" w:cs="Times New Roman"/>
          <w:color w:val="auto"/>
          <w:sz w:val="24"/>
        </w:rPr>
        <w:t>Department of Oncology, Shanghai Medical College, Fudan University, Shanghai, China</w:t>
      </w:r>
    </w:p>
    <w:p w14:paraId="72BC586B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9</w:t>
      </w:r>
      <w:r>
        <w:rPr>
          <w:rFonts w:hint="eastAsia" w:ascii="Times New Roman" w:hAnsi="Times New Roman" w:cs="Times New Roman"/>
          <w:color w:val="auto"/>
          <w:sz w:val="24"/>
        </w:rPr>
        <w:t>Key laboratory of Carcinogenesis and Translational Research (Ministry of Education/Beijing), Department of Radiology, Peking University Cancer Hospital &amp; Institute,</w:t>
      </w:r>
      <w:r>
        <w:rPr>
          <w:rFonts w:hint="default" w:ascii="Times New Roman" w:hAnsi="Times New Roman" w:cs="Times New Roman"/>
          <w:color w:val="auto"/>
          <w:sz w:val="24"/>
          <w:lang w:val="en-US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Beijing, China</w:t>
      </w:r>
    </w:p>
    <w:p w14:paraId="65B7B083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</w:p>
    <w:p w14:paraId="38B39A2C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</w:p>
    <w:p w14:paraId="138879CC">
      <w:pPr>
        <w:ind w:right="420" w:rightChars="200"/>
        <w:rPr>
          <w:rFonts w:hint="eastAsia" w:ascii="Times New Roman" w:hAnsi="Times New Roman" w:cs="Times New Roman"/>
          <w:color w:val="auto"/>
          <w:sz w:val="24"/>
        </w:rPr>
      </w:pPr>
    </w:p>
    <w:p w14:paraId="05C161C0">
      <w:pPr>
        <w:ind w:right="420" w:rightChars="200"/>
        <w:rPr>
          <w:rFonts w:ascii="Times New Roman" w:hAnsi="Times New Roman" w:cs="Times New Roman"/>
          <w:color w:val="auto"/>
          <w:sz w:val="24"/>
        </w:rPr>
      </w:pPr>
      <w:r>
        <w:rPr>
          <w:rFonts w:cs="Times New Roman"/>
          <w:b/>
          <w:bCs/>
          <w:color w:val="auto"/>
          <w:sz w:val="28"/>
          <w:szCs w:val="28"/>
          <w:vertAlign w:val="superscript"/>
        </w:rPr>
        <w:t>*</w:t>
      </w:r>
      <w:r>
        <w:rPr>
          <w:rFonts w:hint="eastAsia" w:ascii="Times New Roman" w:hAnsi="Times New Roman" w:cs="Times New Roman"/>
          <w:color w:val="auto"/>
          <w:sz w:val="24"/>
        </w:rPr>
        <w:t xml:space="preserve">These authors contributed </w:t>
      </w:r>
      <w:r>
        <w:rPr>
          <w:rFonts w:hint="eastAsia" w:ascii="Times New Roman" w:hAnsi="Times New Roman" w:cs="Times New Roman"/>
          <w:color w:val="auto"/>
          <w:sz w:val="24"/>
        </w:rPr>
        <w:t>equally</w:t>
      </w:r>
      <w:r>
        <w:rPr>
          <w:rFonts w:hint="eastAsia" w:ascii="Times New Roman" w:hAnsi="Times New Roman" w:cs="Times New Roman"/>
          <w:color w:val="auto"/>
          <w:sz w:val="24"/>
        </w:rPr>
        <w:t>.</w:t>
      </w:r>
    </w:p>
    <w:p w14:paraId="66CFC343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  <w:vertAlign w:val="superscript"/>
        </w:rPr>
        <w:t>#</w:t>
      </w:r>
      <w:r>
        <w:rPr>
          <w:rFonts w:ascii="Times New Roman" w:hAnsi="Times New Roman" w:cs="Times New Roman"/>
          <w:color w:val="auto"/>
          <w:sz w:val="24"/>
        </w:rPr>
        <w:t>Corresponding author</w:t>
      </w:r>
    </w:p>
    <w:p w14:paraId="0396ABDA">
      <w:pPr>
        <w:rPr>
          <w:rFonts w:ascii="Times New Roman" w:hAnsi="Times New Roman" w:cs="Times New Roman"/>
          <w:color w:val="auto"/>
          <w:sz w:val="24"/>
        </w:rPr>
      </w:pPr>
    </w:p>
    <w:p w14:paraId="4F4A927E">
      <w:pPr>
        <w:rPr>
          <w:rFonts w:ascii="Times New Roman" w:hAnsi="Times New Roman" w:cs="Times New Roman"/>
          <w:color w:val="auto"/>
          <w:sz w:val="24"/>
        </w:rPr>
      </w:pPr>
    </w:p>
    <w:p w14:paraId="57055AE1">
      <w:pPr>
        <w:rPr>
          <w:rFonts w:ascii="Times New Roman" w:hAnsi="Times New Roman" w:cs="Times New Roman"/>
          <w:color w:val="auto"/>
          <w:sz w:val="24"/>
        </w:rPr>
      </w:pPr>
    </w:p>
    <w:p w14:paraId="4003F683">
      <w:pPr>
        <w:jc w:val="center"/>
        <w:rPr>
          <w:rFonts w:hint="default" w:ascii="Times New Roman" w:hAnsi="Times New Roman" w:cs="Times New Roman" w:eastAsiaTheme="minorEastAsia"/>
          <w:color w:val="auto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44"/>
          <w:szCs w:val="44"/>
          <w:highlight w:val="none"/>
          <w:lang w:val="en-US" w:eastAsia="zh-CN"/>
        </w:rPr>
        <w:t>Supplementary</w:t>
      </w:r>
    </w:p>
    <w:p w14:paraId="0C7208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Supplementary Figures</w:t>
      </w:r>
    </w:p>
    <w:p w14:paraId="4743353E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Fig. S1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2"/>
          <w:szCs w:val="22"/>
          <w:highlight w:val="none"/>
          <w:lang w:val="en-US" w:eastAsia="zh-CN"/>
        </w:rPr>
        <w:t xml:space="preserve">Comparation of Dice index between MA-YOLO segmentation model and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highlight w:val="none"/>
          <w:lang w:val="en-US" w:eastAsia="zh-CN"/>
        </w:rPr>
        <w:t>senior radiologists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</w:rPr>
        <w:t xml:space="preserve">. </w:t>
      </w:r>
    </w:p>
    <w:p w14:paraId="2E29D54D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Fig. S2. Radar plot-based performance comparison of models across validation cohorts.</w:t>
      </w:r>
    </w:p>
    <w:p w14:paraId="480803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Supplementary Tables</w:t>
      </w:r>
    </w:p>
    <w:p w14:paraId="669EF090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color w:val="auto"/>
          <w:sz w:val="24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/>
        </w:rPr>
        <w:t>Table S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/>
        </w:rPr>
        <w:t xml:space="preserve">.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>Baseline patient characteristics by data source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eastAsia="zh-CN"/>
        </w:rPr>
        <w:t xml:space="preserve"> </w:t>
      </w:r>
    </w:p>
    <w:p w14:paraId="60754105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zh-CN"/>
        </w:rPr>
        <w:t>Table S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>Baseline patient characteristics by data source</w:t>
      </w:r>
    </w:p>
    <w:p w14:paraId="2A514848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</w:rPr>
        <w:t>Table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 xml:space="preserve"> S3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</w:rPr>
        <w:t xml:space="preserve">. 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  <w:lang w:eastAsia="zh-CN"/>
        </w:rPr>
        <w:t xml:space="preserve">Performance of the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three prediction model in the internal and external validation cohorts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  <w:lang w:eastAsia="zh-CN"/>
        </w:rPr>
        <w:t>.</w:t>
      </w:r>
    </w:p>
    <w:p w14:paraId="13281EF7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highlight w:val="none"/>
          <w:lang w:val="en-US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S4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/>
        </w:rPr>
        <w:t>.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Timepoint-specific comparison of postoperative pathology-only and integrated preoperative–postoperative models</w:t>
      </w:r>
    </w:p>
    <w:p w14:paraId="483785EB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highlight w:val="none"/>
          <w:lang w:val="en-US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S5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/>
        </w:rPr>
        <w:t>. Performance of conventional numerical-feature-based models for identifying MLM</w:t>
      </w:r>
    </w:p>
    <w:p w14:paraId="1BC8A7CF">
      <w:pP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  <w:lang w:eastAsia="zh-CN"/>
        </w:rPr>
        <w:br w:type="page"/>
      </w:r>
    </w:p>
    <w:p w14:paraId="06105C23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shd w:val="clear" w:color="auto" w:fill="auto"/>
          <w:lang w:eastAsia="zh-CN"/>
        </w:rPr>
      </w:pPr>
    </w:p>
    <w:p w14:paraId="5F501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</w:p>
    <w:p w14:paraId="6E5FF0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Supplementary Figures</w:t>
      </w:r>
    </w:p>
    <w:p w14:paraId="5FEC55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1D9F9F6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4356100" cy="4181475"/>
            <wp:effectExtent l="0" t="0" r="0" b="0"/>
            <wp:docPr id="1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t="4009"/>
                    <a:stretch>
                      <a:fillRect/>
                    </a:stretch>
                  </pic:blipFill>
                  <pic:spPr>
                    <a:xfrm>
                      <a:off x="0" y="0"/>
                      <a:ext cx="435610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CC2BEB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2"/>
          <w:szCs w:val="22"/>
          <w:highlight w:val="none"/>
          <w:lang w:eastAsia="zh-CN"/>
        </w:rPr>
        <w:t>Fig.</w:t>
      </w:r>
      <w:r>
        <w:rPr>
          <w:rFonts w:hint="eastAsia" w:ascii="Times New Roman" w:hAnsi="Times New Roman" w:eastAsia="宋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 xml:space="preserve"> S1.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2"/>
          <w:szCs w:val="22"/>
          <w:highlight w:val="none"/>
          <w:lang w:val="en-US" w:eastAsia="zh-CN"/>
        </w:rPr>
        <w:t xml:space="preserve">Comparation of Dice index between MA-YOLO segmentation model and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highlight w:val="none"/>
          <w:lang w:val="en-US" w:eastAsia="zh-CN"/>
        </w:rPr>
        <w:t>senior radiologists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</w:rPr>
        <w:t xml:space="preserve">. </w:t>
      </w:r>
    </w:p>
    <w:p w14:paraId="622DB5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7BE1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F181D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22082F7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010150" cy="4959985"/>
            <wp:effectExtent l="0" t="0" r="3810" b="825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95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2E009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eastAsia="宋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2"/>
          <w:szCs w:val="22"/>
          <w:highlight w:val="none"/>
          <w:lang w:eastAsia="zh-CN"/>
        </w:rPr>
        <w:t>Fig. S2.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  <w:lang w:eastAsia="zh-CN"/>
        </w:rPr>
        <w:t xml:space="preserve"> Radar plot-based performance comparison of models across validation cohorts. 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  <w:lang w:val="en-US" w:eastAsia="zh-CN"/>
        </w:rPr>
        <w:t>The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  <w:lang w:eastAsia="zh-CN"/>
        </w:rPr>
        <w:t xml:space="preserve"> plots illustrate the performance of CMLM (blue), SADM (orange), and MSEM (green) on five metrics: accuracy, AUROC, precision, recall, and F1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highlight w:val="none"/>
          <w:lang w:eastAsia="zh-CN"/>
        </w:rPr>
        <w:t>score. Values are scaled from 0 to 1. (a) Internal validation cohort. (b) External validation cohort 1. (c) External validation cohort 2. (d) External validation cohort 3.</w:t>
      </w:r>
    </w:p>
    <w:p w14:paraId="426F517E">
      <w:pPr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796B400">
      <w:pPr>
        <w:bidi w:val="0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</w:pPr>
    </w:p>
    <w:p w14:paraId="72B1EE66">
      <w:pPr>
        <w:bidi w:val="0"/>
        <w:rPr>
          <w:rFonts w:hint="eastAsia"/>
          <w:color w:val="auto"/>
          <w:lang w:val="en-US" w:eastAsia="zh-CN"/>
        </w:rPr>
      </w:pPr>
    </w:p>
    <w:p w14:paraId="3037D9F6">
      <w:pPr>
        <w:bidi w:val="0"/>
        <w:rPr>
          <w:rFonts w:hint="eastAsia"/>
          <w:color w:val="auto"/>
          <w:lang w:val="en-US" w:eastAsia="zh-CN"/>
        </w:rPr>
      </w:pPr>
    </w:p>
    <w:p w14:paraId="3AD9DC68">
      <w:pPr>
        <w:tabs>
          <w:tab w:val="left" w:pos="1895"/>
        </w:tabs>
        <w:bidi w:val="0"/>
        <w:jc w:val="left"/>
        <w:rPr>
          <w:rFonts w:hint="eastAsia"/>
          <w:color w:val="auto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/>
          <w:color w:val="auto"/>
          <w:lang w:val="en-US" w:eastAsia="zh-CN"/>
        </w:rPr>
        <w:tab/>
      </w:r>
    </w:p>
    <w:p w14:paraId="0CCA786C">
      <w:pPr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Supplementary Tables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3359"/>
        <w:gridCol w:w="2775"/>
        <w:gridCol w:w="2782"/>
        <w:gridCol w:w="2684"/>
        <w:gridCol w:w="844"/>
      </w:tblGrid>
      <w:tr w14:paraId="3D2070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14174" w:type="dxa"/>
            <w:gridSpan w:val="6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E0768A">
            <w:pP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highlight w:val="none"/>
                <w:lang w:val="en-US"/>
              </w:rPr>
              <w:t>Table S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highlight w:val="none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Baseline patient characteristics by data source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lang w:eastAsia="zh-CN"/>
              </w:rPr>
              <w:t xml:space="preserve"> </w:t>
            </w:r>
          </w:p>
        </w:tc>
      </w:tr>
      <w:tr w14:paraId="57FEA4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exact"/>
          <w:jc w:val="center"/>
        </w:trPr>
        <w:tc>
          <w:tcPr>
            <w:tcW w:w="1730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CC484C3">
            <w:pPr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  <w:t>V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  <w:t>ariables</w:t>
            </w:r>
          </w:p>
        </w:tc>
        <w:tc>
          <w:tcPr>
            <w:tcW w:w="3359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E3761D4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 xml:space="preserve">Training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 xml:space="preserve">and internal validation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>cohort (n=2145)</w:t>
            </w:r>
          </w:p>
        </w:tc>
        <w:tc>
          <w:tcPr>
            <w:tcW w:w="2775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26DD2B55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>External v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>alidation cohort 1 (n=311)</w:t>
            </w:r>
          </w:p>
        </w:tc>
        <w:tc>
          <w:tcPr>
            <w:tcW w:w="2782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446FCCBB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>External v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 xml:space="preserve">alidation cohort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 xml:space="preserve"> (n=333)</w:t>
            </w:r>
          </w:p>
        </w:tc>
        <w:tc>
          <w:tcPr>
            <w:tcW w:w="2684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BF184FD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>External v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 xml:space="preserve">alidation cohort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 xml:space="preserve">3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>(n=194)</w:t>
            </w:r>
          </w:p>
        </w:tc>
        <w:tc>
          <w:tcPr>
            <w:tcW w:w="844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D0EAA86">
            <w:pPr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2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2"/>
                <w:vertAlign w:val="baseline"/>
                <w:lang w:val="en-US" w:eastAsia="zh-CN"/>
              </w:rPr>
              <w:t xml:space="preserve"> value</w:t>
            </w:r>
          </w:p>
        </w:tc>
      </w:tr>
      <w:tr w14:paraId="2E5130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13330" w:type="dxa"/>
            <w:gridSpan w:val="5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C0928E4">
            <w:pPr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Marital status</w:t>
            </w:r>
          </w:p>
        </w:tc>
        <w:tc>
          <w:tcPr>
            <w:tcW w:w="844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67C881C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 w:bidi="ar"/>
              </w:rPr>
              <w:t>＜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>0.01</w:t>
            </w:r>
          </w:p>
        </w:tc>
      </w:tr>
      <w:tr w14:paraId="2E166E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142C740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Unmarried</w:t>
            </w:r>
          </w:p>
          <w:p w14:paraId="6A63C0F5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F0DF6EA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39 (1.8%)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025E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16(5.1%)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C5A9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48(14.4%)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43FD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24(12.4%)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4A4F13E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 w14:paraId="1C3E87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B068682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Married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F17721C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2071 (96.6%) 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07AC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257(82.6%)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1453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244(73.3%)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47E9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158(81.4%)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BD19F98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0E7B65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CF1EFA5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Widowed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51EB5ED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26 (1.2%)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19F2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0(0%)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7400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26(7.8%)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2484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3(1.5%)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392165E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15F4FB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F568878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Divo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ced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5E7AA19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(0.4%)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FD67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38(12.2%)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10D9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15(4.5%)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4DD0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9(4.6%)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FF05AFA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5AFE75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330" w:type="dxa"/>
            <w:gridSpan w:val="5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12DB3D2">
            <w:pPr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Smoking history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C6CB80B">
            <w:pPr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0.049</w:t>
            </w:r>
          </w:p>
        </w:tc>
      </w:tr>
      <w:tr w14:paraId="2752E8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21F3039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  <w:p w14:paraId="1C94A347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BD16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554(25.8%)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D47A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74(23.8%)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4856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95(28.5%)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A936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35(18%)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5BB6949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449F3A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9380252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3E28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1591(74.2%)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5D6C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237(76.2%)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D402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238(71.5%)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1973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159(82.0%)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0EE082E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1480F9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089" w:type="dxa"/>
            <w:gridSpan w:val="2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3082911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Alcohol consumption history</w:t>
            </w:r>
          </w:p>
          <w:p w14:paraId="164345CC">
            <w:pPr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historyCause of injury, n (%)</w:t>
            </w:r>
          </w:p>
          <w:p w14:paraId="6E1500D3">
            <w:pPr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41" w:type="dxa"/>
            <w:gridSpan w:val="3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1C8EF4E">
            <w:pPr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DC0F52F">
            <w:pPr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0.513</w:t>
            </w:r>
          </w:p>
        </w:tc>
      </w:tr>
      <w:tr w14:paraId="2B6162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F335736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  <w:p w14:paraId="30C379A9">
            <w:pPr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0494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481(22.4%)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CD28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61(19.6%)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3953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68(20.4%)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5084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47(24.2%)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321799D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1488FA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8273C91">
            <w:pPr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41EC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1664(77.6%)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89CA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250(80.4%)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8E8F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265(79.6%)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48F2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147(75.8%)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4E472E0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28B8E4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330" w:type="dxa"/>
            <w:gridSpan w:val="5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FBAF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color w:val="auto"/>
                <w:sz w:val="20"/>
                <w:szCs w:val="20"/>
                <w:lang w:val="en-US" w:eastAsia="zh-CN"/>
              </w:rPr>
              <w:t>Hypertension history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A3D119D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0.292</w:t>
            </w:r>
          </w:p>
        </w:tc>
      </w:tr>
      <w:tr w14:paraId="5BC527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B01C7F4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  <w:p w14:paraId="3E67207F">
            <w:pPr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536D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504(23.5%)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BC4A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65(20.9%)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58A7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86(25.8%)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EB61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38(19.6%)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A1BDBA2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387E5C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8BA4AF6">
            <w:pPr>
              <w:jc w:val="left"/>
              <w:textAlignment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7368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1641(76.5%)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86C3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246(79.1%)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95D0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247(74.2%)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EBDD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156(80.4%)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73FE011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4F4983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330" w:type="dxa"/>
            <w:gridSpan w:val="5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2B6103A">
            <w:pPr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Diabetes history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93E5209">
            <w:pPr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  <w:t>0.114</w:t>
            </w:r>
          </w:p>
        </w:tc>
      </w:tr>
      <w:tr w14:paraId="5C2E3F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3B9C5DF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  <w:p w14:paraId="762BD24D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4DCC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175(8.2%)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470C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26(8.4%)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F357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36(10.8%)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3B1D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24(12.4%)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B042985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269283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0E0C009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D04A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1970(91.8%)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D9E1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285(91.6%)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2665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297(89.2%)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440C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170(87.6%)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DF01752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7B2E69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330" w:type="dxa"/>
            <w:gridSpan w:val="5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98F2C4F">
            <w:pPr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Coronary artery disease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18B85F2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  <w:t>0.682</w:t>
            </w:r>
          </w:p>
        </w:tc>
      </w:tr>
      <w:tr w14:paraId="583EDC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191ECB4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  <w:p w14:paraId="700BE430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67DA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59(2.8%)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AFFC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12(3.9%)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0378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8(2.4%)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2C26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6(3.1%)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40E148A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583CD3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485B2EE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46A2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2086(97.2%)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D2FD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299(96.1%)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1EE0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325(97.6%)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E1EE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188(96.9%)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6E458C2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795B8D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exact"/>
          <w:jc w:val="center"/>
        </w:trPr>
        <w:tc>
          <w:tcPr>
            <w:tcW w:w="13330" w:type="dxa"/>
            <w:gridSpan w:val="5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8BE18C2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Chronic obstructive pulmonary disease</w:t>
            </w:r>
          </w:p>
          <w:p w14:paraId="080C9FE2">
            <w:pPr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7781F07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>＜0.01</w:t>
            </w:r>
          </w:p>
        </w:tc>
      </w:tr>
      <w:tr w14:paraId="77EA7D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A19D506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  <w:p w14:paraId="2D4D8CEA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6549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19(0.9%)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AE72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11(3.5%)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9300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4(1.2%)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5AD5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2(1.0%)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415EF0F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7F1605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F2A1FD7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017C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2126(99.1%)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CE5A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300(96.5%)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FF96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329(98.8%)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96A1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192(99.0%)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3ADB647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341C2C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jc w:val="center"/>
        </w:trPr>
        <w:tc>
          <w:tcPr>
            <w:tcW w:w="13330" w:type="dxa"/>
            <w:gridSpan w:val="5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3A10514">
            <w:pPr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CCI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21ADA8D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  <w:t>0.051</w:t>
            </w:r>
          </w:p>
        </w:tc>
      </w:tr>
      <w:tr w14:paraId="1A4FC0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26C9AE0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≤2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B04E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1653(77.1%)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DEFD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242(77.8%)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010B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245(73.6%)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01E0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160(82.5%)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8E08A01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720F96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8D2672D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3-4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019C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467(21.8%)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BB46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64(20.6%)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D37F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88(26.4%)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3514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31(16.0%)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93BBAD6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0CE688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B2A1750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≥5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67E0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25(1.2%)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349C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5(1.6%)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0B14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0(0%)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70B7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3(1.5%)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340C2B4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259F1B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330" w:type="dxa"/>
            <w:gridSpan w:val="5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9D9F253">
            <w:pPr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ASA classification</w:t>
            </w:r>
          </w:p>
          <w:p w14:paraId="77326932">
            <w:pPr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0600E68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  <w:t>0.192</w:t>
            </w:r>
          </w:p>
        </w:tc>
      </w:tr>
      <w:tr w14:paraId="768FF7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261117A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Ⅰ-Ⅱ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0A51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2052(95.7%)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D16A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303(97.4%)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F2E7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325(97.6%)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F2E0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185(95.4%)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782317B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4AFB13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3AD15C9">
            <w:p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Ⅲ-Ⅳ</w:t>
            </w:r>
          </w:p>
        </w:tc>
        <w:tc>
          <w:tcPr>
            <w:tcW w:w="33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8371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93(4.3%)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598F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8(2.6%)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D55D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8(2.4%)</w:t>
            </w:r>
          </w:p>
        </w:tc>
        <w:tc>
          <w:tcPr>
            <w:tcW w:w="268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624A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9(4.6%)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3F7598A">
            <w:pPr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4E1B5536">
      <w:pP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Data are presented as n (%). </w:t>
      </w:r>
    </w:p>
    <w:p w14:paraId="6559A3AC">
      <w:pP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CCI, Charlson Comorbidity Index; ASA, American Society of Anesthesiologists. </w:t>
      </w:r>
    </w:p>
    <w:p w14:paraId="5DE4A6A9">
      <w:pP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 xml:space="preserve">P-values were calculated using the Chi-square test for categorical variables across the four cohorts, with Fisher’s exact test applied when expected cell counts were less than 5. A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0"/>
          <w:szCs w:val="20"/>
          <w:lang w:val="en-US" w:eastAsia="zh-CN"/>
        </w:rPr>
        <w:t>P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/>
        </w:rPr>
        <w:t>-value &lt; 0.05 was considered statistically significant.</w:t>
      </w:r>
    </w:p>
    <w:p w14:paraId="750EFA45">
      <w:pPr>
        <w:widowControl/>
        <w:numPr>
          <w:ilvl w:val="-1"/>
          <w:numId w:val="0"/>
        </w:numPr>
        <w:jc w:val="both"/>
        <w:rPr>
          <w:rFonts w:hint="default" w:ascii="Times New Roman" w:hAnsi="Times New Roman" w:eastAsia="Times New Roman" w:cs="Times New Roman"/>
          <w:color w:val="auto"/>
          <w:kern w:val="0"/>
          <w:sz w:val="18"/>
          <w:szCs w:val="18"/>
          <w:lang w:val="en-US" w:eastAsia="zh-CN"/>
        </w:rPr>
      </w:pPr>
    </w:p>
    <w:p w14:paraId="02EA08CA">
      <w:pPr>
        <w:widowControl/>
        <w:numPr>
          <w:ilvl w:val="-1"/>
          <w:numId w:val="0"/>
        </w:numPr>
        <w:jc w:val="both"/>
        <w:rPr>
          <w:rFonts w:hint="default" w:ascii="Times New Roman" w:hAnsi="Times New Roman" w:eastAsia="Times New Roman" w:cs="Times New Roman"/>
          <w:color w:val="auto"/>
          <w:kern w:val="0"/>
          <w:sz w:val="18"/>
          <w:szCs w:val="18"/>
          <w:lang w:val="en-US" w:eastAsia="zh-CN"/>
        </w:rPr>
      </w:pPr>
    </w:p>
    <w:p w14:paraId="08E760D4">
      <w:pPr>
        <w:widowControl/>
        <w:numPr>
          <w:ilvl w:val="-1"/>
          <w:numId w:val="0"/>
        </w:numPr>
        <w:jc w:val="both"/>
        <w:rPr>
          <w:rFonts w:hint="default" w:ascii="Times New Roman" w:hAnsi="Times New Roman" w:eastAsia="Times New Roman" w:cs="Times New Roman"/>
          <w:color w:val="auto"/>
          <w:kern w:val="0"/>
          <w:sz w:val="18"/>
          <w:szCs w:val="18"/>
          <w:lang w:val="en-US" w:eastAsia="zh-CN"/>
        </w:rPr>
      </w:pPr>
    </w:p>
    <w:p w14:paraId="66ED5BC6">
      <w:pPr>
        <w:widowControl/>
        <w:numPr>
          <w:ilvl w:val="-1"/>
          <w:numId w:val="0"/>
        </w:numPr>
        <w:jc w:val="both"/>
        <w:rPr>
          <w:rFonts w:hint="default" w:ascii="Times New Roman" w:hAnsi="Times New Roman" w:eastAsia="Times New Roman" w:cs="Times New Roman"/>
          <w:color w:val="auto"/>
          <w:kern w:val="0"/>
          <w:sz w:val="18"/>
          <w:szCs w:val="18"/>
          <w:lang w:val="en-US" w:eastAsia="zh-CN"/>
        </w:rPr>
      </w:pPr>
    </w:p>
    <w:p w14:paraId="4602C3E1">
      <w:pPr>
        <w:widowControl/>
        <w:numPr>
          <w:ilvl w:val="-1"/>
          <w:numId w:val="0"/>
        </w:numPr>
        <w:jc w:val="both"/>
        <w:rPr>
          <w:rFonts w:hint="default" w:ascii="Times New Roman" w:hAnsi="Times New Roman" w:eastAsia="Times New Roman" w:cs="Times New Roman"/>
          <w:color w:val="auto"/>
          <w:kern w:val="0"/>
          <w:sz w:val="18"/>
          <w:szCs w:val="18"/>
          <w:lang w:val="en-US" w:eastAsia="zh-CN"/>
        </w:rPr>
      </w:pPr>
    </w:p>
    <w:p w14:paraId="6F72D3AE">
      <w:pPr>
        <w:widowControl/>
        <w:numPr>
          <w:ilvl w:val="-1"/>
          <w:numId w:val="0"/>
        </w:numPr>
        <w:jc w:val="both"/>
        <w:rPr>
          <w:rFonts w:hint="default" w:ascii="Times New Roman" w:hAnsi="Times New Roman" w:eastAsia="Times New Roman" w:cs="Times New Roman"/>
          <w:color w:val="auto"/>
          <w:kern w:val="0"/>
          <w:sz w:val="18"/>
          <w:szCs w:val="18"/>
          <w:lang w:val="en-US" w:eastAsia="zh-CN"/>
        </w:rPr>
      </w:pPr>
    </w:p>
    <w:p w14:paraId="09CE7A3C">
      <w:pPr>
        <w:widowControl/>
        <w:numPr>
          <w:ilvl w:val="-1"/>
          <w:numId w:val="0"/>
        </w:numPr>
        <w:jc w:val="both"/>
        <w:rPr>
          <w:rFonts w:hint="default" w:ascii="Times New Roman" w:hAnsi="Times New Roman" w:eastAsia="Times New Roman" w:cs="Times New Roman"/>
          <w:color w:val="auto"/>
          <w:kern w:val="0"/>
          <w:sz w:val="18"/>
          <w:szCs w:val="18"/>
          <w:lang w:val="en-US" w:eastAsia="zh-CN"/>
        </w:rPr>
      </w:pPr>
    </w:p>
    <w:p w14:paraId="0AD10A75">
      <w:pPr>
        <w:widowControl/>
        <w:numPr>
          <w:ilvl w:val="-1"/>
          <w:numId w:val="0"/>
        </w:numPr>
        <w:jc w:val="both"/>
        <w:rPr>
          <w:rFonts w:hint="default" w:ascii="Times New Roman" w:hAnsi="Times New Roman" w:eastAsia="Times New Roman" w:cs="Times New Roman"/>
          <w:color w:val="auto"/>
          <w:kern w:val="0"/>
          <w:sz w:val="18"/>
          <w:szCs w:val="1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2957"/>
        <w:gridCol w:w="2775"/>
        <w:gridCol w:w="2782"/>
        <w:gridCol w:w="2498"/>
        <w:gridCol w:w="1030"/>
      </w:tblGrid>
      <w:tr w14:paraId="4E6AFE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</w:tblPrEx>
        <w:trPr>
          <w:trHeight w:val="594" w:hRule="exact"/>
        </w:trPr>
        <w:tc>
          <w:tcPr>
            <w:tcW w:w="14174" w:type="dxa"/>
            <w:gridSpan w:val="6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3BB327E">
            <w:pPr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zh-CN"/>
              </w:rPr>
              <w:t>Table S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eastAsia="zh-CN"/>
              </w:rPr>
              <w:t xml:space="preserve">.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Continuous baseline characteristics across data sources</w:t>
            </w:r>
          </w:p>
        </w:tc>
      </w:tr>
      <w:tr w14:paraId="19F76A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exact"/>
        </w:trPr>
        <w:tc>
          <w:tcPr>
            <w:tcW w:w="2132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349F9520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  <w:t>Variables</w:t>
            </w:r>
          </w:p>
        </w:tc>
        <w:tc>
          <w:tcPr>
            <w:tcW w:w="2957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066B3E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Training and internal validation cohort (n=2145)</w:t>
            </w:r>
          </w:p>
        </w:tc>
        <w:tc>
          <w:tcPr>
            <w:tcW w:w="2775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F5C4F5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External validation cohort 1 (n=311)</w:t>
            </w:r>
          </w:p>
        </w:tc>
        <w:tc>
          <w:tcPr>
            <w:tcW w:w="2782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3D02074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External validation cohort 2 (n=333)</w:t>
            </w:r>
          </w:p>
        </w:tc>
        <w:tc>
          <w:tcPr>
            <w:tcW w:w="2498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3B0C23F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External validation cohort 3 (n=194)</w:t>
            </w:r>
          </w:p>
        </w:tc>
        <w:tc>
          <w:tcPr>
            <w:tcW w:w="1030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06DDFF1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 xml:space="preserve"> value</w:t>
            </w:r>
          </w:p>
        </w:tc>
      </w:tr>
      <w:tr w14:paraId="7912CC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14E276F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preCEA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957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63B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3.70 [2.74-8.49]</w:t>
            </w:r>
          </w:p>
        </w:tc>
        <w:tc>
          <w:tcPr>
            <w:tcW w:w="2775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3A2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3.32 [2.72-7.24]</w:t>
            </w:r>
          </w:p>
        </w:tc>
        <w:tc>
          <w:tcPr>
            <w:tcW w:w="2782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A215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2.99 [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1-7.65]</w:t>
            </w:r>
          </w:p>
        </w:tc>
        <w:tc>
          <w:tcPr>
            <w:tcW w:w="2498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765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3.38 [1.73-7.21]</w:t>
            </w:r>
          </w:p>
        </w:tc>
        <w:tc>
          <w:tcPr>
            <w:tcW w:w="1030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435D1D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0.012</w:t>
            </w:r>
          </w:p>
        </w:tc>
      </w:tr>
      <w:tr w14:paraId="7F756D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62437A4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preAFP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F4D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2.85 [2.03-3.85]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3CD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2.81 [2.00-3.91]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2F4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2.75 [1.92-3.82]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6F4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2.65 [1.80-3.85]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00A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0.299</w:t>
            </w:r>
          </w:p>
        </w:tc>
      </w:tr>
      <w:tr w14:paraId="414F09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C8E2AD8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preCA125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(U/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D0F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13.99 [8.83-21.96]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471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12.10 [7.90-19.10]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612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12.80 [7.90-20.10]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D9D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11.70 [7.70-18.20]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19D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0.024</w:t>
            </w:r>
          </w:p>
        </w:tc>
      </w:tr>
      <w:tr w14:paraId="6C885C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6054931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preCA153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(U/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FDB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11.22 [7.57-15.75]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26C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11.07 [7.80-14.88]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1C5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11.08 [7.80-15.00]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415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11.28 [8.90-15.47]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AA6C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0.427</w:t>
            </w:r>
          </w:p>
        </w:tc>
      </w:tr>
      <w:tr w14:paraId="5F106B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0E58BD3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preCA199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(U/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BA07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14.49 [7.55-29.40]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DFC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13.40 [7.10-26.23]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B91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13.80 [7.40-25.50]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7CF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9.38 [3.49-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.51]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84C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0.233</w:t>
            </w:r>
          </w:p>
        </w:tc>
      </w:tr>
      <w:tr w14:paraId="6BFF52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9C70DA6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preCA242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(U/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  <w:p w14:paraId="4E72EDD4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A1E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7.61 [4.30-16.22]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937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7.50 [4.29-16.46]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857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7.52 [4.34-15.16]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86E8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5.94 [2.80-9.75]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95B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0.163</w:t>
            </w:r>
          </w:p>
        </w:tc>
      </w:tr>
      <w:tr w14:paraId="00BE43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0F7FE1A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preCA724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(U/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  <w:p w14:paraId="4FCC326F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768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3.15 [1.44-7.39]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1AC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3.13 [1.45-7.36]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CD9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3.13 [1.45-7.37]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D60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3.20 [1.91-7.02]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9AA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0.030</w:t>
            </w:r>
          </w:p>
        </w:tc>
      </w:tr>
      <w:tr w14:paraId="306F79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9B83182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WBC (*10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vertAlign w:val="superscript"/>
                <w:lang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9BF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5.83 [4.73-7.46]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E08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5.96 [4.80-7.61]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F6F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5.53 [4.38-7.18]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4BB3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5.29 [4.28-7.03]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D20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0.140</w:t>
            </w:r>
          </w:p>
        </w:tc>
      </w:tr>
      <w:tr w14:paraId="72FBAE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940396B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LYM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#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 xml:space="preserve"> (*10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vertAlign w:val="superscript"/>
                <w:lang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6A7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1.70 [1.20-2.30]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652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1.76 [1.27-2.37]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F09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1.64 [1.18-2.21]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D6C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1.87 [1.32-2.49]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F5E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0.118</w:t>
            </w:r>
          </w:p>
        </w:tc>
      </w:tr>
      <w:tr w14:paraId="35EB7F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A3FD0B5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MON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#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 xml:space="preserve"> (*10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vertAlign w:val="superscript"/>
                <w:lang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4A1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0.36 [0.27-0.46]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CAE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0.35 [0.26-0.46]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91C8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0.35 [0.26-0.45]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490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0.36 [0.28-0.45]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0B0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0.331</w:t>
            </w:r>
          </w:p>
        </w:tc>
      </w:tr>
      <w:tr w14:paraId="4B9020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59BA3A1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NEU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#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(*10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vertAlign w:val="superscript"/>
                <w:lang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308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3.67 [2.75-4.92]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681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3.51 [2.57-4.80]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5E7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3.38 [2.53-4.60]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31A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3.31 [2.22-4.74]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EA5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0.119</w:t>
            </w:r>
          </w:p>
        </w:tc>
      </w:tr>
      <w:tr w14:paraId="5C7012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F8C82A1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RBC (*10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vertAlign w:val="superscript"/>
                <w:lang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/L）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8143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4.76 [4.31-5.12]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2DD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4.70 [4.28-5.06]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EF0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4.62 [4.20-4.97]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EC0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4.74 [4.27-5.13]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091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0.425</w:t>
            </w:r>
          </w:p>
        </w:tc>
      </w:tr>
      <w:tr w14:paraId="28A9DC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C74E4F0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HGB (g/L)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AE2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141.00 [124.00-158.00]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7AC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142.1 [126.1-158.7]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AFB5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140.5 [123.7-157.3]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988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139.4 [123.9-154.6]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41D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0.400</w:t>
            </w:r>
          </w:p>
        </w:tc>
      </w:tr>
      <w:tr w14:paraId="524C82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6AE7074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PLT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 xml:space="preserve"> (*10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vertAlign w:val="superscript"/>
                <w:lang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80D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227.00 [181.00-293.00]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32B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225.5 [178.3-292.0]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412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234.2 [186.4-301.2]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707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230.3 [181.0-299.6]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5B1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0.574</w:t>
            </w:r>
          </w:p>
        </w:tc>
      </w:tr>
      <w:tr w14:paraId="74149E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13C8AE8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ALB (g/L)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EE0B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42.20 [39.30-44.70]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81A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41.2 [38.4-43.6]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92A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41.8 [38.7-44.5]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9B8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43.1 [40.2-45.3]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780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0.487</w:t>
            </w:r>
          </w:p>
        </w:tc>
      </w:tr>
      <w:tr w14:paraId="50D973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DE975DD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BIL (μmol/L)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747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10.80 [7.00-15.30]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131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11.2 [7.4-15.9]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3B5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10.5 [6.7-15.0]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BA3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10.9 [7.1-15.6]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CE8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0.347</w:t>
            </w:r>
          </w:p>
        </w:tc>
      </w:tr>
      <w:tr w14:paraId="7DF2D4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1A5F11E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AST (U/L)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4C8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19.00 [15.00-26.00]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934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18.5 [14.3-25.5]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237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19.4 [15.3-26.8]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043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19.2 [15.0-26.5]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2F7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0.301</w:t>
            </w:r>
          </w:p>
        </w:tc>
      </w:tr>
      <w:tr w14:paraId="2B3186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BBA9B8D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ALT (U/L)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18D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17.00 [12.00-24.00]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34E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17.5 [12.5-24.3]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F1D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16.8 [11.6-23.6]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03C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17.2 [12.0-24.5]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5074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0.408</w:t>
            </w:r>
          </w:p>
        </w:tc>
      </w:tr>
      <w:tr w14:paraId="61BADA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89B378A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LDH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(U/L)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96C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159.00 [138.00-192.00]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5C0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165.4 [144.6-198.6]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5CA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158.1 [138.6-190.1]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74D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174.2 [153.1-211.4]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381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0.065</w:t>
            </w:r>
          </w:p>
        </w:tc>
      </w:tr>
      <w:tr w14:paraId="280C95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2229F3C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CRE (μmol/L)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FA6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74.00 [64.00-87.00]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74FD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77.9 [68.2-92.9]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375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71.1 [61.3-83.9]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038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75.5 [65.2-89.6]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D57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0.176</w:t>
            </w:r>
          </w:p>
        </w:tc>
      </w:tr>
      <w:tr w14:paraId="75FBF7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73AC9BA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CHOL (mmol/L)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108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4.83 [4.15-5.67]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0780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4.96 [4.26-5.82]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3E6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4.82 [4.12-5.69]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A19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5.10 [4.42-5.96]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1FE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0.103</w:t>
            </w:r>
          </w:p>
        </w:tc>
      </w:tr>
      <w:tr w14:paraId="269E53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BA34E86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HDL-C (mmol/L)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939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1.11 [0.93-1.33]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800C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1.12 [0.93-1.34]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D201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1.19 [1.02-1.41]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C16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1.04 [0.85-1.26]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372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0.122</w:t>
            </w:r>
          </w:p>
        </w:tc>
      </w:tr>
      <w:tr w14:paraId="076232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55CE152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pre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LDL-C (mmol/L)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96E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2.97 [2.35-3.60]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20B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3.11 [2.47-3.69]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8EC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3.05 [2.40-3.75]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921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2.96 [2.32-3.61]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5F5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0.126</w:t>
            </w:r>
          </w:p>
        </w:tc>
      </w:tr>
      <w:tr w14:paraId="722B13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169C045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Number of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positive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 xml:space="preserve"> lymph node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s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07EC7D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  <w:t>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  <w:t>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-2.00]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E77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[0.00-1.00]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D30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[0.00-2.00]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31F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[0.00-3.00]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DB2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0.072</w:t>
            </w:r>
          </w:p>
        </w:tc>
      </w:tr>
      <w:tr w14:paraId="3F937A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7D2E5E3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ELN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44EBDC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  <w:t>15.00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.00-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.00]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40B4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17.00 [14.00-21.00]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DD9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17.00 [14.00-23.00]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7C7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19.00 [15.00-26.00]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A70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0.052</w:t>
            </w:r>
          </w:p>
        </w:tc>
      </w:tr>
      <w:tr w14:paraId="620883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4729C6C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LNR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99F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[0.00-0.17]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96D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[0.00-0.11]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2F85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[0.00-0.18]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F6F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[0.00-0.14]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D95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0.058</w:t>
            </w:r>
          </w:p>
        </w:tc>
      </w:tr>
      <w:tr w14:paraId="66153D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2A13BEF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TDs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5A956C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  <w:t>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bidi="ar"/>
              </w:rPr>
              <w:t>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.00]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FCD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[0.00-1.00]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28F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[0.00-0.00]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2819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 [0.00-1.00]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E6F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0.083</w:t>
            </w:r>
          </w:p>
        </w:tc>
      </w:tr>
      <w:tr w14:paraId="68426A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17C2BE9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postCEA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960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1.93 [1.06-3.54]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1B7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1.54 [0.98-2.38]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25B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1.57 [1.01-2.59]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2DF1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1.87 [1.23-3.18]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F72C93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0.153</w:t>
            </w:r>
          </w:p>
        </w:tc>
      </w:tr>
      <w:tr w14:paraId="3237A1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BFA42A3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post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CA199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(U/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601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10.77 [6.29-20.94]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5C1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10.28 [5.81-16.93]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B4C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10.12 [7.12-14.57]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933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8.47 [5.63-12.32]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EE1BB6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0.365</w:t>
            </w:r>
          </w:p>
        </w:tc>
      </w:tr>
      <w:tr w14:paraId="67941F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6B0C44A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post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CA242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(U/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  <w:p w14:paraId="61C61A19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BF4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6.32 [2.74-11.93]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70D4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5.36 [2.84-9.12]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A64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5.40 [3.37-8.70]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31F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4.39 [2.28-7.20]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1B4D2C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0.288</w:t>
            </w:r>
          </w:p>
        </w:tc>
      </w:tr>
      <w:tr w14:paraId="2B7E50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8DA78D5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post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CA724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(U/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  <w:p w14:paraId="2FCE6EF3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90D1E8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2.26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1.18-4.67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E47619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2.97[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1.78-5.04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8096C6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2.88[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1.66-5.54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458B4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3.06[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1.58-4.93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3979CD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0.721</w:t>
            </w:r>
          </w:p>
        </w:tc>
      </w:tr>
      <w:tr w14:paraId="0B98CE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3B944F68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Intraoperative blood loss (ml)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23E90AE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150.00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100.00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4897E0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180.00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132.00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280.00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E01B72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130.00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290.00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D61C09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165.00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126.00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220.00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5874C85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0.067</w:t>
            </w:r>
          </w:p>
        </w:tc>
      </w:tr>
      <w:tr w14:paraId="3B9F43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0E49AB0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Total anesthesia duration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(min)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D5D670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95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.00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165.00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245.00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3EFC8E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226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.00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.00-2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52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.00]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EB06D3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232.00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207.00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256.00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BB70AD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221.00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198.00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248.00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576B20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0.011</w:t>
            </w:r>
          </w:p>
        </w:tc>
      </w:tr>
      <w:tr w14:paraId="77E7F1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13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8142529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postNa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(mmol/L)</w:t>
            </w:r>
          </w:p>
        </w:tc>
        <w:tc>
          <w:tcPr>
            <w:tcW w:w="2957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1B8F9A1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.00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139.00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144.62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775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03174F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142.40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140.86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145.67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782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0FB5B0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137.82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143.65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65878F9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141.50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[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140.10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143.84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]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F1F1F1" w:themeFill="background1" w:themeFillShade="F2"/>
            <w:noWrap/>
            <w:vAlign w:val="center"/>
          </w:tcPr>
          <w:p w14:paraId="4B81682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0.066</w:t>
            </w:r>
          </w:p>
        </w:tc>
      </w:tr>
    </w:tbl>
    <w:p w14:paraId="289D20B1">
      <w:pPr>
        <w:widowControl/>
        <w:jc w:val="left"/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  <w:r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  <w:t xml:space="preserve">Data are presented as median </w:t>
      </w:r>
      <w:r>
        <w:rPr>
          <w:rFonts w:hint="eastAsia" w:ascii="Times New Roman" w:hAnsi="Times New Roman" w:eastAsia="宋体" w:cs="Times New Roman"/>
          <w:color w:val="auto"/>
          <w:kern w:val="0"/>
          <w:sz w:val="22"/>
          <w:szCs w:val="22"/>
          <w:lang w:val="en-US" w:eastAsia="zh-CN"/>
        </w:rPr>
        <w:t>(</w:t>
      </w:r>
      <w:r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  <w:t>interquartile range</w:t>
      </w:r>
      <w:r>
        <w:rPr>
          <w:rFonts w:hint="eastAsia" w:ascii="Times New Roman" w:hAnsi="Times New Roman" w:eastAsia="宋体" w:cs="Times New Roman"/>
          <w:color w:val="auto"/>
          <w:kern w:val="0"/>
          <w:sz w:val="22"/>
          <w:szCs w:val="22"/>
          <w:lang w:val="en-US" w:eastAsia="zh-CN"/>
        </w:rPr>
        <w:t>)</w:t>
      </w:r>
      <w:r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  <w:t>. The prefixes "pre" and "post" refer to preoperative and postoperative measurements, respectively.</w:t>
      </w:r>
    </w:p>
    <w:p w14:paraId="6646D831">
      <w:pPr>
        <w:widowControl/>
        <w:jc w:val="left"/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  <w:r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  <w:t xml:space="preserve">CEA, carcinoembryonic antigen; AFP, alpha-fetoprotein; CA125, cancer antigen 125; CA153, cancer antigen 15-3; CA199, cancer antigen 19-9; CA242, cancer antigen 242; CA724, cancer antigen 724; WBC, white blood cell count; LYM#, lymphocyte count; NEU#, neutrophil count; MON#, monocyte count; RBC, red blood cell count; HGB, hemoglobin; PLT, platelet count; ALB, albumin; TBIL, total bilirubin; AST, aspartate aminotransferase; ALT, alanine aminotransferase; LDH, lactate dehydrogenase; CRE, creatinine; CHOL, cholesterol; HDL-C, high-density lipoprotein cholesterol; LDL-C, low-density lipoprotein cholesterol; ELN, number of examined lymph nodes; LNR, lymph node ratio; TDs, tumor deposits; Na, sodium. </w:t>
      </w:r>
    </w:p>
    <w:p w14:paraId="29417CA7">
      <w:pPr>
        <w:widowControl/>
        <w:numPr>
          <w:ilvl w:val="-1"/>
          <w:numId w:val="0"/>
        </w:numPr>
        <w:jc w:val="left"/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  <w:r>
        <w:rPr>
          <w:rFonts w:hint="eastAsia" w:ascii="Times New Roman" w:hAnsi="Times New Roman" w:eastAsia="Times New Roman" w:cs="Times New Roman"/>
          <w:i/>
          <w:iCs/>
          <w:color w:val="auto"/>
          <w:kern w:val="0"/>
          <w:sz w:val="22"/>
          <w:szCs w:val="22"/>
          <w:lang w:eastAsia="en-US"/>
        </w:rPr>
        <w:t>P</w:t>
      </w:r>
      <w:r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  <w:t xml:space="preserve">-values were calculated using the Kruskal-Wallis test for continuous variables across the four cohorts. A </w:t>
      </w:r>
      <w:r>
        <w:rPr>
          <w:rFonts w:hint="eastAsia" w:ascii="Times New Roman" w:hAnsi="Times New Roman" w:eastAsia="Times New Roman" w:cs="Times New Roman"/>
          <w:i/>
          <w:iCs/>
          <w:color w:val="auto"/>
          <w:kern w:val="0"/>
          <w:sz w:val="22"/>
          <w:szCs w:val="22"/>
          <w:lang w:eastAsia="en-US"/>
        </w:rPr>
        <w:t>P</w:t>
      </w:r>
      <w:r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  <w:t>-value &lt; 0.05 was considered statistically significant.</w:t>
      </w:r>
    </w:p>
    <w:p w14:paraId="568EDA60">
      <w:pPr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  <w:r>
        <w:rPr>
          <w:rFonts w:hint="eastAsia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  <w:br w:type="page"/>
      </w:r>
    </w:p>
    <w:p w14:paraId="0A1F89C4">
      <w:pPr>
        <w:widowControl/>
        <w:numPr>
          <w:ilvl w:val="-1"/>
          <w:numId w:val="0"/>
        </w:numPr>
        <w:jc w:val="left"/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val="en-US" w:eastAsia="en-US"/>
        </w:rPr>
      </w:pPr>
    </w:p>
    <w:p w14:paraId="07FD3345">
      <w:pPr>
        <w:bidi w:val="0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lang w:val="en-US" w:eastAsia="zh-CN" w:bidi="ar-SA"/>
        </w:rPr>
      </w:pPr>
    </w:p>
    <w:tbl>
      <w:tblPr>
        <w:tblStyle w:val="3"/>
        <w:tblpPr w:leftFromText="180" w:rightFromText="180" w:vertAnchor="text" w:horzAnchor="page" w:tblpX="1421" w:tblpY="-229"/>
        <w:tblOverlap w:val="never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828"/>
        <w:gridCol w:w="1216"/>
        <w:gridCol w:w="1216"/>
        <w:gridCol w:w="1216"/>
        <w:gridCol w:w="1216"/>
        <w:gridCol w:w="1216"/>
        <w:gridCol w:w="1216"/>
        <w:gridCol w:w="1216"/>
        <w:gridCol w:w="1217"/>
        <w:gridCol w:w="2545"/>
      </w:tblGrid>
      <w:tr w14:paraId="7B357E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5000" w:type="pct"/>
            <w:gridSpan w:val="11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41B458">
            <w:pPr>
              <w:widowControl/>
              <w:numPr>
                <w:ilvl w:val="-1"/>
                <w:numId w:val="0"/>
              </w:numPr>
              <w:jc w:val="left"/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/>
              </w:rPr>
              <w:t xml:space="preserve">Table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>S3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/>
              </w:rPr>
              <w:t xml:space="preserve">.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 xml:space="preserve">Performance of the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>three prediction model in the internal and external validation cohorts.</w:t>
            </w:r>
          </w:p>
        </w:tc>
      </w:tr>
      <w:tr w14:paraId="59DA05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378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0792D1A7">
            <w:pPr>
              <w:keepNext w:val="0"/>
              <w:keepLines w:val="0"/>
              <w:widowControl/>
              <w:suppressLineNumbers w:val="0"/>
              <w:tabs>
                <w:tab w:val="left" w:pos="553"/>
                <w:tab w:val="center" w:pos="862"/>
              </w:tabs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Cohort</w:t>
            </w:r>
          </w:p>
        </w:tc>
        <w:tc>
          <w:tcPr>
            <w:tcW w:w="292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07E2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</w:t>
            </w:r>
          </w:p>
        </w:tc>
        <w:tc>
          <w:tcPr>
            <w:tcW w:w="428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7F477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Accuracy</w:t>
            </w:r>
          </w:p>
        </w:tc>
        <w:tc>
          <w:tcPr>
            <w:tcW w:w="428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67F0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Specificity </w:t>
            </w:r>
          </w:p>
        </w:tc>
        <w:tc>
          <w:tcPr>
            <w:tcW w:w="428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43F4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Recall</w:t>
            </w:r>
          </w:p>
        </w:tc>
        <w:tc>
          <w:tcPr>
            <w:tcW w:w="428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6B12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F1-score</w:t>
            </w:r>
          </w:p>
        </w:tc>
        <w:tc>
          <w:tcPr>
            <w:tcW w:w="428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69BB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AU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RO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</w:t>
            </w:r>
          </w:p>
        </w:tc>
        <w:tc>
          <w:tcPr>
            <w:tcW w:w="428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3654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AUPRC</w:t>
            </w:r>
          </w:p>
        </w:tc>
        <w:tc>
          <w:tcPr>
            <w:tcW w:w="428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C46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PPV</w:t>
            </w:r>
          </w:p>
        </w:tc>
        <w:tc>
          <w:tcPr>
            <w:tcW w:w="429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548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NPV</w:t>
            </w:r>
          </w:p>
        </w:tc>
        <w:tc>
          <w:tcPr>
            <w:tcW w:w="897" w:type="pct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22F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Prevalence</w:t>
            </w:r>
          </w:p>
          <w:p w14:paraId="5B4D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Random guess baseline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5D3099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78" w:type="pct"/>
            <w:tcBorders>
              <w:top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7FCF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Internal validation cohort</w:t>
            </w:r>
          </w:p>
        </w:tc>
        <w:tc>
          <w:tcPr>
            <w:tcW w:w="292" w:type="pct"/>
            <w:vMerge w:val="restar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D2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CMLM</w:t>
            </w:r>
          </w:p>
          <w:p w14:paraId="5C66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B582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  <w:p w14:paraId="3F04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(0.97 - 0.99)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1DB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  <w:p w14:paraId="3C6E8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(0.98 - 1.00)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C53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71</w:t>
            </w:r>
          </w:p>
          <w:p w14:paraId="3585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- 0.82)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B007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  <w:p w14:paraId="32EF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(0.62 - 0.81)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545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0.95</w:t>
            </w:r>
          </w:p>
          <w:p w14:paraId="5932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(0.94 - 0.96)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E4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</w:t>
            </w:r>
          </w:p>
          <w:p w14:paraId="3BE9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(0.70 - 0.91)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9BC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71</w:t>
            </w:r>
          </w:p>
          <w:p w14:paraId="1E99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(0.60 - 0.83)</w:t>
            </w:r>
          </w:p>
        </w:tc>
        <w:tc>
          <w:tcPr>
            <w:tcW w:w="429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752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0.99</w:t>
            </w:r>
          </w:p>
          <w:p w14:paraId="6EE3B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(0.98 - 1.00)</w:t>
            </w:r>
          </w:p>
        </w:tc>
        <w:tc>
          <w:tcPr>
            <w:tcW w:w="897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EF8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</w:t>
            </w:r>
          </w:p>
        </w:tc>
      </w:tr>
      <w:tr w14:paraId="6A60E5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78" w:type="pct"/>
            <w:tcBorders>
              <w:top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7CE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External validation cohort 1</w:t>
            </w:r>
          </w:p>
        </w:tc>
        <w:tc>
          <w:tcPr>
            <w:tcW w:w="292" w:type="pct"/>
            <w:vMerge w:val="continue"/>
            <w:shd w:val="clear" w:color="auto" w:fill="FFFFFF" w:themeFill="background1"/>
            <w:noWrap/>
            <w:vAlign w:val="center"/>
          </w:tcPr>
          <w:p w14:paraId="7689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DAB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  <w:p w14:paraId="5126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(0.95 - 0.99)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50B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0.99</w:t>
            </w:r>
          </w:p>
          <w:p w14:paraId="10E4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EEC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0.54</w:t>
            </w:r>
          </w:p>
          <w:p w14:paraId="1CA3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4BD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0.64</w:t>
            </w:r>
          </w:p>
          <w:p w14:paraId="7CE7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95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</w:t>
            </w:r>
          </w:p>
          <w:p w14:paraId="243F6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- 0.96)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DF6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  <w:p w14:paraId="52B0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A8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0.78</w:t>
            </w:r>
          </w:p>
          <w:p w14:paraId="5A0C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0.90)</w:t>
            </w:r>
          </w:p>
        </w:tc>
        <w:tc>
          <w:tcPr>
            <w:tcW w:w="429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989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0.98</w:t>
            </w:r>
          </w:p>
          <w:p w14:paraId="679F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897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A84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</w:tr>
      <w:tr w14:paraId="5A0017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78" w:type="pct"/>
            <w:tcBorders>
              <w:top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0073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External validation cohort 2</w:t>
            </w:r>
          </w:p>
        </w:tc>
        <w:tc>
          <w:tcPr>
            <w:tcW w:w="292" w:type="pct"/>
            <w:vMerge w:val="continue"/>
            <w:shd w:val="clear" w:color="auto" w:fill="FFFFFF" w:themeFill="background1"/>
            <w:noWrap/>
            <w:vAlign w:val="center"/>
          </w:tcPr>
          <w:p w14:paraId="6450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22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  <w:p w14:paraId="33827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(0.87 - 0.93)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85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  <w:p w14:paraId="5857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(0.87 -0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94)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7F5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</w:t>
            </w:r>
          </w:p>
          <w:p w14:paraId="304D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(0.69 - 0.94)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508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  <w:p w14:paraId="3128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(0.38 - 0.50)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DD2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</w:t>
            </w:r>
          </w:p>
          <w:p w14:paraId="0AF6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(0.91 - 0.95)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3C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</w:t>
            </w:r>
          </w:p>
          <w:p w14:paraId="4035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(0.45 - 0.67)</w:t>
            </w:r>
          </w:p>
        </w:tc>
        <w:tc>
          <w:tcPr>
            <w:tcW w:w="428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AF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  <w:p w14:paraId="79A9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(0.26 - 0.36)</w:t>
            </w:r>
          </w:p>
        </w:tc>
        <w:tc>
          <w:tcPr>
            <w:tcW w:w="429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732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</w:t>
            </w:r>
          </w:p>
          <w:p w14:paraId="2B49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(0.98 - 1.00)</w:t>
            </w:r>
          </w:p>
        </w:tc>
        <w:tc>
          <w:tcPr>
            <w:tcW w:w="897" w:type="pc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71E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</w:t>
            </w:r>
          </w:p>
        </w:tc>
      </w:tr>
      <w:tr w14:paraId="2D090D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65A3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External validation cohort 3</w:t>
            </w:r>
          </w:p>
        </w:tc>
        <w:tc>
          <w:tcPr>
            <w:tcW w:w="292" w:type="pct"/>
            <w:vMerge w:val="continue"/>
            <w:tcBorders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71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8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E26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  <w:p w14:paraId="2CC7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(0.95 - 0.99)</w:t>
            </w:r>
          </w:p>
        </w:tc>
        <w:tc>
          <w:tcPr>
            <w:tcW w:w="428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8E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  <w:p w14:paraId="5B53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(0.97 -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28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DA7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82</w:t>
            </w:r>
          </w:p>
          <w:p w14:paraId="594A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28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875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</w:t>
            </w:r>
          </w:p>
          <w:p w14:paraId="10C6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28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9F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  <w:p w14:paraId="41B4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(0.91 - 0.97)</w:t>
            </w:r>
          </w:p>
        </w:tc>
        <w:tc>
          <w:tcPr>
            <w:tcW w:w="428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1E7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</w:t>
            </w:r>
          </w:p>
          <w:p w14:paraId="3C7C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28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75E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  <w:p w14:paraId="2D78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0.89)</w:t>
            </w:r>
          </w:p>
        </w:tc>
        <w:tc>
          <w:tcPr>
            <w:tcW w:w="429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B7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</w:t>
            </w:r>
          </w:p>
          <w:p w14:paraId="4151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(0.97 - 1.00)</w:t>
            </w:r>
          </w:p>
        </w:tc>
        <w:tc>
          <w:tcPr>
            <w:tcW w:w="8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38D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0.04</w:t>
            </w:r>
          </w:p>
        </w:tc>
      </w:tr>
    </w:tbl>
    <w:p w14:paraId="6C4E1DA1">
      <w:pP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 xml:space="preserve">CMLM, Colorectal Cancer </w:t>
      </w:r>
      <w:r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val="en-US" w:eastAsia="zh-CN"/>
        </w:rPr>
        <w:t xml:space="preserve">Metachronous 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 xml:space="preserve">Liver Metastasis Prediction Model based on multimodal data; </w:t>
      </w:r>
    </w:p>
    <w:p w14:paraId="540BF9E9">
      <w:pP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</w:pPr>
    </w:p>
    <w:p w14:paraId="514E89F8">
      <w:pP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 xml:space="preserve">SADM, Self-Attention Dense ResNet Model based solely on numerical data; MSEM, Multi-scale Feature Extraction Model based on imaging data; </w:t>
      </w:r>
    </w:p>
    <w:p w14:paraId="484ABA46">
      <w:pP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</w:pPr>
    </w:p>
    <w:p w14:paraId="247A5823">
      <w:pP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AUC, area under the receiver operating characteristic curve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.</w:t>
      </w:r>
    </w:p>
    <w:p w14:paraId="4958E6FB">
      <w:pPr>
        <w:tabs>
          <w:tab w:val="left" w:pos="523"/>
        </w:tabs>
        <w:bidi w:val="0"/>
        <w:jc w:val="left"/>
        <w:rPr>
          <w:rFonts w:hint="eastAsia" w:eastAsiaTheme="minorEastAsia"/>
          <w:color w:val="auto"/>
          <w:lang w:val="en-US" w:eastAsia="zh-CN"/>
        </w:rPr>
      </w:pPr>
    </w:p>
    <w:p w14:paraId="5B674A34">
      <w:pPr>
        <w:tabs>
          <w:tab w:val="left" w:pos="523"/>
        </w:tabs>
        <w:bidi w:val="0"/>
        <w:jc w:val="left"/>
        <w:rPr>
          <w:rFonts w:hint="eastAsia" w:eastAsiaTheme="minorEastAsia"/>
          <w:color w:val="auto"/>
          <w:lang w:val="en-US" w:eastAsia="zh-CN"/>
        </w:rPr>
      </w:pPr>
    </w:p>
    <w:tbl>
      <w:tblPr>
        <w:tblStyle w:val="3"/>
        <w:tblpPr w:leftFromText="180" w:rightFromText="180" w:vertAnchor="text" w:horzAnchor="page" w:tblpX="1421" w:tblpY="-229"/>
        <w:tblOverlap w:val="never"/>
        <w:tblW w:w="14197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753"/>
        <w:gridCol w:w="1043"/>
        <w:gridCol w:w="1262"/>
        <w:gridCol w:w="1273"/>
        <w:gridCol w:w="1248"/>
        <w:gridCol w:w="1273"/>
        <w:gridCol w:w="1249"/>
        <w:gridCol w:w="1248"/>
        <w:gridCol w:w="1261"/>
        <w:gridCol w:w="1260"/>
        <w:gridCol w:w="1296"/>
      </w:tblGrid>
      <w:tr w14:paraId="73415B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4197" w:type="dxa"/>
            <w:gridSpan w:val="12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1BE65E5">
            <w:pPr>
              <w:widowControl/>
              <w:numPr>
                <w:ilvl w:val="-1"/>
                <w:numId w:val="0"/>
              </w:numPr>
              <w:jc w:val="left"/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/>
              </w:rPr>
              <w:t xml:space="preserve">Table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>S4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/>
              </w:rPr>
              <w:t xml:space="preserve">.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>Timepoint-specific comparison of postoperative pathology-only and integrated preoperative–postoperative models</w:t>
            </w:r>
          </w:p>
        </w:tc>
      </w:tr>
      <w:tr w14:paraId="51AF10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031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31F48A4F">
            <w:pPr>
              <w:keepNext w:val="0"/>
              <w:keepLines w:val="0"/>
              <w:widowControl/>
              <w:suppressLineNumbers w:val="0"/>
              <w:tabs>
                <w:tab w:val="left" w:pos="553"/>
                <w:tab w:val="center" w:pos="862"/>
              </w:tabs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Cohort</w:t>
            </w:r>
          </w:p>
        </w:tc>
        <w:tc>
          <w:tcPr>
            <w:tcW w:w="753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603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</w:t>
            </w:r>
          </w:p>
        </w:tc>
        <w:tc>
          <w:tcPr>
            <w:tcW w:w="1043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03402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  <w:t>Features</w:t>
            </w:r>
          </w:p>
        </w:tc>
        <w:tc>
          <w:tcPr>
            <w:tcW w:w="1262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7AFB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Accuracy</w:t>
            </w:r>
          </w:p>
        </w:tc>
        <w:tc>
          <w:tcPr>
            <w:tcW w:w="1273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4439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Specificity </w:t>
            </w:r>
          </w:p>
        </w:tc>
        <w:tc>
          <w:tcPr>
            <w:tcW w:w="1248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217A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Recall</w:t>
            </w:r>
          </w:p>
        </w:tc>
        <w:tc>
          <w:tcPr>
            <w:tcW w:w="1273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32B04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F1-score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07F1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AU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RO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</w:t>
            </w:r>
          </w:p>
        </w:tc>
        <w:tc>
          <w:tcPr>
            <w:tcW w:w="1248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7E52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AUPRC</w:t>
            </w:r>
          </w:p>
        </w:tc>
        <w:tc>
          <w:tcPr>
            <w:tcW w:w="1261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426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PPV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7B81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NPV</w:t>
            </w:r>
          </w:p>
        </w:tc>
        <w:tc>
          <w:tcPr>
            <w:tcW w:w="1296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789C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Prevalence</w:t>
            </w:r>
          </w:p>
          <w:p w14:paraId="1229E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Random guess baseline</w:t>
            </w:r>
          </w:p>
        </w:tc>
      </w:tr>
      <w:tr w14:paraId="383887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031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D86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Internal validation cohort</w:t>
            </w:r>
          </w:p>
        </w:tc>
        <w:tc>
          <w:tcPr>
            <w:tcW w:w="753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0D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</w:t>
            </w:r>
          </w:p>
          <w:p w14:paraId="40B9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</w:t>
            </w:r>
          </w:p>
          <w:p w14:paraId="760A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</w:t>
            </w:r>
          </w:p>
          <w:p w14:paraId="20AE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</w:t>
            </w:r>
          </w:p>
          <w:p w14:paraId="01C0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4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634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Pathology-only </w:t>
            </w:r>
          </w:p>
        </w:tc>
        <w:tc>
          <w:tcPr>
            <w:tcW w:w="126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A0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  <w:p w14:paraId="69B4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(0.92 - 0.94)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55E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0.95</w:t>
            </w:r>
          </w:p>
          <w:p w14:paraId="552B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(0.93 -0.97)</w:t>
            </w:r>
          </w:p>
        </w:tc>
        <w:tc>
          <w:tcPr>
            <w:tcW w:w="124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E93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</w:t>
            </w:r>
          </w:p>
          <w:p w14:paraId="0558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.34 -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.43)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5F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</w:p>
          <w:p w14:paraId="1FA7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(0.18 - 0.26)</w:t>
            </w:r>
          </w:p>
        </w:tc>
        <w:tc>
          <w:tcPr>
            <w:tcW w:w="124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7C1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0.74</w:t>
            </w:r>
          </w:p>
          <w:p w14:paraId="4BF3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5 - 0.83)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4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241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</w:p>
          <w:p w14:paraId="7285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(0.20 - 0.28)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A4F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  <w:p w14:paraId="23D6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(0.12 - 0.18)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58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0.97</w:t>
            </w:r>
          </w:p>
          <w:p w14:paraId="784F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(0.95 - 0.98)</w:t>
            </w:r>
          </w:p>
        </w:tc>
        <w:tc>
          <w:tcPr>
            <w:tcW w:w="1296" w:type="dxa"/>
            <w:vMerge w:val="restar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DB0E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</w:t>
            </w:r>
          </w:p>
        </w:tc>
      </w:tr>
      <w:tr w14:paraId="7B1C39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031" w:type="dxa"/>
            <w:vMerge w:val="continue"/>
            <w:tcBorders>
              <w:top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20F6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753" w:type="dxa"/>
            <w:vMerge w:val="continue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20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43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3B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  <w:t>ntegrated preoperative–postoperative</w:t>
            </w:r>
          </w:p>
        </w:tc>
        <w:tc>
          <w:tcPr>
            <w:tcW w:w="1262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62C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0.94</w:t>
            </w:r>
          </w:p>
          <w:p w14:paraId="2AAB6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- 0.9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273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97D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  <w:p w14:paraId="29BC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4 -0.98)</w:t>
            </w:r>
          </w:p>
        </w:tc>
        <w:tc>
          <w:tcPr>
            <w:tcW w:w="1248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8F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  <w:p w14:paraId="7464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273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17A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</w:t>
            </w:r>
          </w:p>
          <w:p w14:paraId="797F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(0.28 - 0.42)</w:t>
            </w:r>
          </w:p>
        </w:tc>
        <w:tc>
          <w:tcPr>
            <w:tcW w:w="1249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971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  <w:p w14:paraId="482FB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(0.74 - 0.82)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48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430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</w:t>
            </w:r>
          </w:p>
          <w:p w14:paraId="0FE8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(0.28 - 0.42)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1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B1B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  <w:p w14:paraId="2206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(0.22 - 0.30)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B1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0.98</w:t>
            </w:r>
          </w:p>
          <w:p w14:paraId="5867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(0.97 - 0.99)</w:t>
            </w:r>
          </w:p>
        </w:tc>
        <w:tc>
          <w:tcPr>
            <w:tcW w:w="1296" w:type="dxa"/>
            <w:vMerge w:val="continue"/>
            <w:shd w:val="clear" w:color="auto" w:fill="FFFFFF" w:themeFill="background1"/>
            <w:noWrap/>
            <w:vAlign w:val="center"/>
          </w:tcPr>
          <w:p w14:paraId="738D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32C3679">
      <w:pPr>
        <w:tabs>
          <w:tab w:val="left" w:pos="523"/>
        </w:tabs>
        <w:bidi w:val="0"/>
        <w:jc w:val="left"/>
        <w:rPr>
          <w:rFonts w:hint="eastAsia" w:eastAsiaTheme="minorEastAsia"/>
          <w:color w:val="auto"/>
          <w:lang w:val="en-US" w:eastAsia="zh-CN"/>
        </w:rPr>
      </w:pPr>
    </w:p>
    <w:p w14:paraId="21EB1EEF">
      <w:pPr>
        <w:tabs>
          <w:tab w:val="left" w:pos="523"/>
        </w:tabs>
        <w:bidi w:val="0"/>
        <w:jc w:val="left"/>
        <w:rPr>
          <w:rFonts w:hint="eastAsia" w:eastAsiaTheme="minorEastAsia"/>
          <w:color w:val="auto"/>
          <w:lang w:val="en-US" w:eastAsia="zh-CN"/>
        </w:rPr>
      </w:pPr>
    </w:p>
    <w:p w14:paraId="10ECE51D">
      <w:pPr>
        <w:tabs>
          <w:tab w:val="left" w:pos="523"/>
        </w:tabs>
        <w:bidi w:val="0"/>
        <w:jc w:val="left"/>
        <w:rPr>
          <w:rFonts w:hint="eastAsia" w:eastAsiaTheme="minorEastAsia"/>
          <w:color w:val="auto"/>
          <w:lang w:val="en-US" w:eastAsia="zh-CN"/>
        </w:rPr>
      </w:pPr>
    </w:p>
    <w:tbl>
      <w:tblPr>
        <w:tblStyle w:val="3"/>
        <w:tblpPr w:leftFromText="180" w:rightFromText="180" w:vertAnchor="text" w:horzAnchor="page" w:tblpX="1421" w:tblpY="-229"/>
        <w:tblOverlap w:val="never"/>
        <w:tblW w:w="14197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779"/>
        <w:gridCol w:w="1019"/>
        <w:gridCol w:w="1260"/>
        <w:gridCol w:w="1273"/>
        <w:gridCol w:w="1248"/>
        <w:gridCol w:w="1273"/>
        <w:gridCol w:w="1249"/>
        <w:gridCol w:w="1248"/>
        <w:gridCol w:w="1261"/>
        <w:gridCol w:w="1260"/>
        <w:gridCol w:w="1296"/>
      </w:tblGrid>
      <w:tr w14:paraId="77301B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4197" w:type="dxa"/>
            <w:gridSpan w:val="12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65FDB6">
            <w:pPr>
              <w:widowControl/>
              <w:numPr>
                <w:ilvl w:val="-1"/>
                <w:numId w:val="0"/>
              </w:numPr>
              <w:jc w:val="lef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/>
              </w:rPr>
              <w:t xml:space="preserve">Table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 w:eastAsia="zh-CN"/>
              </w:rPr>
              <w:t>S5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highlight w:val="none"/>
                <w:lang w:val="en-US"/>
              </w:rPr>
              <w:t xml:space="preserve">. Performance of conventional numerical-feature-based models for identifying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lang w:val="en-US"/>
              </w:rPr>
              <w:t>MLM</w:t>
            </w:r>
          </w:p>
        </w:tc>
      </w:tr>
      <w:tr w14:paraId="712EF3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031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6E2F87D3">
            <w:pPr>
              <w:keepNext w:val="0"/>
              <w:keepLines w:val="0"/>
              <w:widowControl/>
              <w:suppressLineNumbers w:val="0"/>
              <w:tabs>
                <w:tab w:val="left" w:pos="553"/>
                <w:tab w:val="center" w:pos="862"/>
              </w:tabs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Cohort</w:t>
            </w:r>
          </w:p>
        </w:tc>
        <w:tc>
          <w:tcPr>
            <w:tcW w:w="779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7E0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</w:t>
            </w:r>
          </w:p>
        </w:tc>
        <w:tc>
          <w:tcPr>
            <w:tcW w:w="1019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3642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  <w:t>Features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359A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Accuracy</w:t>
            </w:r>
          </w:p>
        </w:tc>
        <w:tc>
          <w:tcPr>
            <w:tcW w:w="1273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5341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Specificity </w:t>
            </w:r>
          </w:p>
        </w:tc>
        <w:tc>
          <w:tcPr>
            <w:tcW w:w="1248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38A5C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Recall</w:t>
            </w:r>
          </w:p>
        </w:tc>
        <w:tc>
          <w:tcPr>
            <w:tcW w:w="1273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23674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F1-score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386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AU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RO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</w:t>
            </w:r>
          </w:p>
        </w:tc>
        <w:tc>
          <w:tcPr>
            <w:tcW w:w="1248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111F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AUPRC</w:t>
            </w:r>
          </w:p>
        </w:tc>
        <w:tc>
          <w:tcPr>
            <w:tcW w:w="1261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4921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PPV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2DF3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NPV</w:t>
            </w:r>
          </w:p>
        </w:tc>
        <w:tc>
          <w:tcPr>
            <w:tcW w:w="1296" w:type="dxa"/>
            <w:tcBorders>
              <w:bottom w:val="single" w:color="auto" w:sz="4" w:space="0"/>
            </w:tcBorders>
            <w:shd w:val="clear" w:color="auto" w:fill="F1F1F1" w:themeFill="background1" w:themeFillShade="F2"/>
            <w:noWrap/>
            <w:vAlign w:val="center"/>
          </w:tcPr>
          <w:p w14:paraId="6F78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Prevalence</w:t>
            </w:r>
          </w:p>
          <w:p w14:paraId="4DF6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Random guess baseline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</w:tr>
      <w:tr w14:paraId="61DD90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031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6DB4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Internal validation cohort</w:t>
            </w:r>
          </w:p>
        </w:tc>
        <w:tc>
          <w:tcPr>
            <w:tcW w:w="77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450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LR</w:t>
            </w:r>
          </w:p>
        </w:tc>
        <w:tc>
          <w:tcPr>
            <w:tcW w:w="1019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87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  <w:t>Selected value-based variables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D6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  <w:p w14:paraId="4F7D1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(0.97 - 0.99)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26C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1.00</w:t>
            </w:r>
          </w:p>
          <w:p w14:paraId="32812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(1.00 - 1.00)</w:t>
            </w:r>
          </w:p>
        </w:tc>
        <w:tc>
          <w:tcPr>
            <w:tcW w:w="124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FAA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00</w:t>
            </w:r>
          </w:p>
          <w:p w14:paraId="453D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(0.00 - 0.00)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48F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00</w:t>
            </w:r>
          </w:p>
          <w:p w14:paraId="076C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(0.00 - 0.00)</w:t>
            </w:r>
          </w:p>
        </w:tc>
        <w:tc>
          <w:tcPr>
            <w:tcW w:w="1249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F76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69</w:t>
            </w:r>
          </w:p>
          <w:p w14:paraId="6694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(0.52 - 0.84)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4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BD7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08</w:t>
            </w:r>
          </w:p>
          <w:p w14:paraId="68B4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(0.04 - 0.15)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61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1E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00</w:t>
            </w:r>
          </w:p>
          <w:p w14:paraId="5E85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(0.00 - 0.00)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9E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0.97</w:t>
            </w:r>
          </w:p>
          <w:p w14:paraId="1DB7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(0.95 - 0.98)</w:t>
            </w:r>
          </w:p>
        </w:tc>
        <w:tc>
          <w:tcPr>
            <w:tcW w:w="1296" w:type="dxa"/>
            <w:vMerge w:val="restart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76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</w:t>
            </w:r>
          </w:p>
        </w:tc>
      </w:tr>
      <w:tr w14:paraId="642FA6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031" w:type="dxa"/>
            <w:vMerge w:val="continue"/>
            <w:tcBorders>
              <w:top w:val="single" w:color="auto" w:sz="4" w:space="0"/>
            </w:tcBorders>
            <w:shd w:val="clear" w:color="auto" w:fill="F1F1F1" w:themeFill="background1" w:themeFillShade="F2"/>
            <w:vAlign w:val="center"/>
          </w:tcPr>
          <w:p w14:paraId="325D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779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355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XGB</w:t>
            </w:r>
          </w:p>
        </w:tc>
        <w:tc>
          <w:tcPr>
            <w:tcW w:w="1019" w:type="dxa"/>
            <w:vMerge w:val="continue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A872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6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41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  <w:p w14:paraId="17E2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(0.94 - 0.99)</w:t>
            </w:r>
          </w:p>
        </w:tc>
        <w:tc>
          <w:tcPr>
            <w:tcW w:w="1273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CF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0.99</w:t>
            </w:r>
          </w:p>
          <w:p w14:paraId="5156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248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AD8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00</w:t>
            </w:r>
          </w:p>
          <w:p w14:paraId="3EF7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(0.00 - 0.00)</w:t>
            </w:r>
          </w:p>
        </w:tc>
        <w:tc>
          <w:tcPr>
            <w:tcW w:w="1273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7FB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00</w:t>
            </w:r>
          </w:p>
          <w:p w14:paraId="2197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(0.00 - 0.00)</w:t>
            </w:r>
          </w:p>
        </w:tc>
        <w:tc>
          <w:tcPr>
            <w:tcW w:w="1249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4CF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58</w:t>
            </w:r>
          </w:p>
          <w:p w14:paraId="0D3B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(0.43 - 0.70)</w:t>
            </w:r>
          </w:p>
        </w:tc>
        <w:tc>
          <w:tcPr>
            <w:tcW w:w="1248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796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06</w:t>
            </w:r>
          </w:p>
          <w:p w14:paraId="4468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(0.03 - 0.12)</w:t>
            </w:r>
          </w:p>
        </w:tc>
        <w:tc>
          <w:tcPr>
            <w:tcW w:w="1261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270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00</w:t>
            </w:r>
          </w:p>
          <w:p w14:paraId="18C5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(0.00 - 0.00)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2BC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  <w:p w14:paraId="52AE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(0.95 - 0.98)</w:t>
            </w:r>
          </w:p>
        </w:tc>
        <w:tc>
          <w:tcPr>
            <w:tcW w:w="1296" w:type="dxa"/>
            <w:vMerge w:val="continue"/>
            <w:shd w:val="clear" w:color="auto" w:fill="FFFFFF" w:themeFill="background1"/>
            <w:noWrap/>
            <w:vAlign w:val="center"/>
          </w:tcPr>
          <w:p w14:paraId="440F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6FF9385D">
      <w:pP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LR: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Logistic regression</w:t>
      </w:r>
    </w:p>
    <w:p w14:paraId="58C776F7">
      <w:pP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XGB: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XGBoost</w:t>
      </w:r>
    </w:p>
    <w:p w14:paraId="2D59155D">
      <w:pP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067F4"/>
    <w:rsid w:val="037978F8"/>
    <w:rsid w:val="04CF0AD0"/>
    <w:rsid w:val="05447DD3"/>
    <w:rsid w:val="05901120"/>
    <w:rsid w:val="092D3FC5"/>
    <w:rsid w:val="094A5953"/>
    <w:rsid w:val="0D353F57"/>
    <w:rsid w:val="0F630FB4"/>
    <w:rsid w:val="0FE16B27"/>
    <w:rsid w:val="1178129C"/>
    <w:rsid w:val="15E87AF3"/>
    <w:rsid w:val="170C130D"/>
    <w:rsid w:val="176E4418"/>
    <w:rsid w:val="17BD5C26"/>
    <w:rsid w:val="188E4B96"/>
    <w:rsid w:val="19EE6914"/>
    <w:rsid w:val="1BE14A1A"/>
    <w:rsid w:val="1C486F0E"/>
    <w:rsid w:val="1C706EB8"/>
    <w:rsid w:val="1DF86CC9"/>
    <w:rsid w:val="1ECF79B9"/>
    <w:rsid w:val="21A77D1F"/>
    <w:rsid w:val="234D5970"/>
    <w:rsid w:val="24630A91"/>
    <w:rsid w:val="26137238"/>
    <w:rsid w:val="26251B67"/>
    <w:rsid w:val="28912298"/>
    <w:rsid w:val="29F311D4"/>
    <w:rsid w:val="2A253FCE"/>
    <w:rsid w:val="2A624424"/>
    <w:rsid w:val="2D0261EC"/>
    <w:rsid w:val="2D9631F6"/>
    <w:rsid w:val="2E586F11"/>
    <w:rsid w:val="2E9934E3"/>
    <w:rsid w:val="2EA92CF2"/>
    <w:rsid w:val="2F087183"/>
    <w:rsid w:val="3114545C"/>
    <w:rsid w:val="324844D9"/>
    <w:rsid w:val="34A310CB"/>
    <w:rsid w:val="35DD0DBF"/>
    <w:rsid w:val="361D5038"/>
    <w:rsid w:val="36DD0796"/>
    <w:rsid w:val="38C22304"/>
    <w:rsid w:val="39935C9C"/>
    <w:rsid w:val="399B74FC"/>
    <w:rsid w:val="3B923C1D"/>
    <w:rsid w:val="3BA23236"/>
    <w:rsid w:val="3BB80364"/>
    <w:rsid w:val="3D770AA6"/>
    <w:rsid w:val="3DD31D46"/>
    <w:rsid w:val="3F5577CE"/>
    <w:rsid w:val="3FD958AF"/>
    <w:rsid w:val="40F91B14"/>
    <w:rsid w:val="41AF739A"/>
    <w:rsid w:val="41FB083D"/>
    <w:rsid w:val="43C12BD6"/>
    <w:rsid w:val="447F4DC4"/>
    <w:rsid w:val="45443D43"/>
    <w:rsid w:val="457C57AD"/>
    <w:rsid w:val="48592ECE"/>
    <w:rsid w:val="48783C9E"/>
    <w:rsid w:val="48785E04"/>
    <w:rsid w:val="48B52E6A"/>
    <w:rsid w:val="4A814CA8"/>
    <w:rsid w:val="4C141988"/>
    <w:rsid w:val="4DC02D74"/>
    <w:rsid w:val="4E5D41A3"/>
    <w:rsid w:val="52BE7978"/>
    <w:rsid w:val="53C87FA3"/>
    <w:rsid w:val="56701449"/>
    <w:rsid w:val="572D2985"/>
    <w:rsid w:val="5950411C"/>
    <w:rsid w:val="5B8A509A"/>
    <w:rsid w:val="5D2817BD"/>
    <w:rsid w:val="5EC170C7"/>
    <w:rsid w:val="608A1B4F"/>
    <w:rsid w:val="61F1298B"/>
    <w:rsid w:val="64042B27"/>
    <w:rsid w:val="668843D8"/>
    <w:rsid w:val="69E734ED"/>
    <w:rsid w:val="6A645937"/>
    <w:rsid w:val="6A99033F"/>
    <w:rsid w:val="6F1A57AF"/>
    <w:rsid w:val="73F31A5F"/>
    <w:rsid w:val="744C5BC9"/>
    <w:rsid w:val="767B3E8C"/>
    <w:rsid w:val="78022D94"/>
    <w:rsid w:val="79194BD7"/>
    <w:rsid w:val="7C9020F0"/>
    <w:rsid w:val="7E85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昆工一级"/>
    <w:qFormat/>
    <w:uiPriority w:val="0"/>
    <w:pPr>
      <w:snapToGrid w:val="0"/>
      <w:spacing w:before="100" w:beforeLines="100" w:after="100" w:afterLines="100" w:line="400" w:lineRule="exact"/>
      <w:ind w:firstLine="0" w:firstLineChars="0"/>
      <w:jc w:val="center"/>
      <w:outlineLvl w:val="0"/>
    </w:pPr>
    <w:rPr>
      <w:rFonts w:hint="eastAsia" w:ascii="Times New Roman" w:hAnsi="Times New Roman" w:eastAsia="黑体" w:cstheme="minorBidi"/>
      <w:snapToGrid w:val="0"/>
      <w:sz w:val="32"/>
      <w:szCs w:val="21"/>
    </w:rPr>
  </w:style>
  <w:style w:type="paragraph" w:customStyle="1" w:styleId="6">
    <w:name w:val="昆工表题"/>
    <w:qFormat/>
    <w:uiPriority w:val="0"/>
    <w:pPr>
      <w:snapToGrid w:val="0"/>
      <w:spacing w:before="120" w:after="120" w:line="400" w:lineRule="exact"/>
      <w:jc w:val="center"/>
    </w:pPr>
    <w:rPr>
      <w:rFonts w:hint="eastAsia" w:ascii="Times New Roman" w:hAnsi="Times New Roman" w:eastAsiaTheme="minorEastAsia" w:cstheme="minorBidi"/>
      <w:bCs/>
      <w:snapToGrid w:val="0"/>
      <w:sz w:val="21"/>
      <w:szCs w:val="22"/>
    </w:rPr>
  </w:style>
  <w:style w:type="paragraph" w:customStyle="1" w:styleId="7">
    <w:name w:val="昆工图题"/>
    <w:basedOn w:val="1"/>
    <w:qFormat/>
    <w:uiPriority w:val="0"/>
    <w:pPr>
      <w:snapToGrid w:val="0"/>
      <w:spacing w:before="120" w:after="120"/>
      <w:jc w:val="center"/>
    </w:pPr>
    <w:rPr>
      <w:rFonts w:hint="eastAsia" w:ascii="Times New Roman" w:hAnsi="Times New Roman"/>
      <w:snapToGrid w:val="0"/>
      <w:szCs w:val="22"/>
    </w:rPr>
  </w:style>
  <w:style w:type="paragraph" w:customStyle="1" w:styleId="8">
    <w:name w:val="昆工公式"/>
    <w:basedOn w:val="1"/>
    <w:link w:val="9"/>
    <w:qFormat/>
    <w:uiPriority w:val="0"/>
    <w:pPr>
      <w:spacing w:before="120" w:after="120" w:line="360" w:lineRule="auto"/>
      <w:jc w:val="center"/>
    </w:pPr>
    <w:rPr>
      <w:rFonts w:ascii="Cambria Math" w:hAnsi="Cambria Math" w:eastAsia="宋体" w:cs="Times New Roman"/>
      <w:sz w:val="21"/>
      <w:lang w:val="en-US" w:eastAsia="zh-CN"/>
    </w:rPr>
  </w:style>
  <w:style w:type="character" w:customStyle="1" w:styleId="9">
    <w:name w:val="昆工公式 Char"/>
    <w:link w:val="8"/>
    <w:qFormat/>
    <w:uiPriority w:val="0"/>
    <w:rPr>
      <w:rFonts w:ascii="Cambria Math" w:hAnsi="Cambria Math" w:eastAsia="宋体" w:cs="Times New Roman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1299</Words>
  <Characters>8798</Characters>
  <Lines>0</Lines>
  <Paragraphs>0</Paragraphs>
  <TotalTime>0</TotalTime>
  <ScaleCrop>false</ScaleCrop>
  <LinksUpToDate>false</LinksUpToDate>
  <CharactersWithSpaces>9647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2024-05-29T03:45:00Z</dcterms:created>
  <dc:creator>LZH</dc:creator>
  <cp:lastModifiedBy>杨柳飏</cp:lastModifiedBy>
  <dcterms:modified xsi:type="dcterms:W3CDTF">2026-04-30T06:54:24Z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C6D279941BD94FDEACB097D726313929_12</vt:lpwstr>
  </property>
  <property fmtid="{D5CDD505-2E9C-101B-9397-08002B2CF9AE}" pid="4" name="KSOTemplateDocerSaveRecord">
    <vt:lpwstr>eyJoZGlkIjoiYjdhYjY0OTk2ZWQzNTcxODlkZTU1ZDA1MTNiYThiZWQiLCJ1c2VySWQiOiIxNjYzMjYzMDcxIn0=</vt:lpwstr>
  </property>
</Properties>
</file>