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Supplementary Material</w:t>
      </w:r>
    </w:p>
    <w:p>
      <w:pPr>
        <w:pStyle w:val="Normal"/>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This supplement contains details on the analysis presented in the main article. In Section 1, we detail the wording of questions asked in each survey, as well as which groupings were used for the regressions detailed in the paper. In Section 2, we provide additional details on the results for the regressions fit. </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Supplementary Section 1:</w:t>
        <w:br/>
        <w:t>Survey Domains</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t>Patients took three surveys, with questions drawn from a range of clinical surveys, such as PHQ-9, GAD-8, as well as additional questions specified by the authors. We grouped the questions asked in these surveys into question domains, the outcomes of which were predicted using previous weeks’ data quality (see Figure 5 in the main article). The exact wording of each question and the questions included in each question domain are listed below.</w:t>
        <w:br/>
      </w:r>
    </w:p>
    <w:tbl>
      <w:tblPr>
        <w:tblStyle w:val="TableGrid"/>
        <w:tblW w:w="9350" w:type="dxa"/>
        <w:jc w:val="left"/>
        <w:tblInd w:w="-5" w:type="dxa"/>
        <w:tblCellMar>
          <w:top w:w="0" w:type="dxa"/>
          <w:left w:w="103" w:type="dxa"/>
          <w:bottom w:w="0" w:type="dxa"/>
          <w:right w:w="108" w:type="dxa"/>
        </w:tblCellMar>
        <w:tblLook w:val="04a0" w:noVBand="1" w:noHBand="0" w:lastColumn="0" w:firstColumn="1" w:lastRow="0" w:firstRow="1"/>
      </w:tblPr>
      <w:tblGrid>
        <w:gridCol w:w="4675"/>
        <w:gridCol w:w="4674"/>
      </w:tblGrid>
      <w:tr>
        <w:trPr/>
        <w:tc>
          <w:tcPr>
            <w:tcW w:w="4675"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All Questions</w:t>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4674"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Unable to cope with stress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Feeling confused or puzzled                                       </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Difficulty staying asleep</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Worrying too much</w:t>
            </w:r>
          </w:p>
          <w:p>
            <w:pPr>
              <w:pStyle w:val="Normal"/>
              <w:spacing w:lineRule="auto" w:line="240" w:before="0" w:after="0"/>
              <w:rPr>
                <w:rFonts w:ascii="Times New Roman" w:hAnsi="Times New Roman" w:eastAsia="Times New Roman" w:cs="Times New Roman"/>
                <w:sz w:val="24"/>
                <w:szCs w:val="24"/>
              </w:rPr>
            </w:pPr>
            <w:bookmarkStart w:id="0" w:name="_Hlk488768669"/>
            <w:bookmarkEnd w:id="0"/>
            <w:r>
              <w:rPr>
                <w:rFonts w:eastAsia="Times New Roman" w:cs="Times New Roman" w:ascii="Times New Roman" w:hAnsi="Times New Roman"/>
                <w:sz w:val="24"/>
                <w:szCs w:val="24"/>
              </w:rPr>
              <w:t>Little interest or pleasure in things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suspicious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Missing doses of medications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tired</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Waking up too early</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nervous, scared, or anxious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Poor appetite or overeating</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Trouble relaxing</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bad or guilty about yourself</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Hearing voices or seeing things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depressed or sad</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Difficulty falling asleep</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Don't feel rested after waking up</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Easily annoyed or irritated</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Trouble concentrating</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Difficulty thinking clearly</w:t>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sz w:val="24"/>
                <w:szCs w:val="24"/>
              </w:rPr>
              <w:t>Withdrawing from social interaction</w:t>
            </w:r>
          </w:p>
        </w:tc>
      </w:tr>
      <w:tr>
        <w:trPr/>
        <w:tc>
          <w:tcPr>
            <w:tcW w:w="4675"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Warning Signs</w:t>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4674"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Unable to cope with stress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tired</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depressed or sad</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confused or puzzled</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Don't feel rested after waking up</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nervous, scared, or anxious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Little interest or pleasure in things</w:t>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sz w:val="24"/>
                <w:szCs w:val="24"/>
              </w:rPr>
              <w:t>Trouble concentrating</w:t>
            </w:r>
          </w:p>
        </w:tc>
      </w:tr>
      <w:tr>
        <w:trPr/>
        <w:tc>
          <w:tcPr>
            <w:tcW w:w="4675"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Mood and PHQ-8</w:t>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4674"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Little interest or pleasure in things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Poor appetite or overeating</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bad or guilty about yourself</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Trouble concentrating</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tired</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depressed or sad</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Trouble relaxing</w:t>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sz w:val="24"/>
                <w:szCs w:val="24"/>
              </w:rPr>
              <w:t>Don't feel rested after waking up</w:t>
            </w:r>
          </w:p>
        </w:tc>
      </w:tr>
      <w:tr>
        <w:trPr/>
        <w:tc>
          <w:tcPr>
            <w:tcW w:w="4675"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Negative and Anhedonic</w:t>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4674"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confused or puzzled</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Little interest or pleasure in things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bad or guilty about yourself</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depressed or sad</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Trouble concentrating</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Difficulty thinking clearly</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Withdrawing from social interaction</w:t>
            </w:r>
          </w:p>
        </w:tc>
      </w:tr>
      <w:tr>
        <w:trPr/>
        <w:tc>
          <w:tcPr>
            <w:tcW w:w="4675"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Sleep</w:t>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4674"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Difficulty falling asleep</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Don't feel rested after waking up</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Difficulty staying asleep</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tired</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Waking up too early</w:t>
            </w:r>
          </w:p>
        </w:tc>
      </w:tr>
      <w:tr>
        <w:trPr/>
        <w:tc>
          <w:tcPr>
            <w:tcW w:w="4675"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Cognitive</w:t>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4674"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Trouble concentrating</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Difficulty thinking clearly</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confused or puzzled</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Missing doses of medications</w:t>
            </w:r>
          </w:p>
        </w:tc>
      </w:tr>
      <w:tr>
        <w:trPr/>
        <w:tc>
          <w:tcPr>
            <w:tcW w:w="4675"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Psychosis</w:t>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4674"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Hearing voices or seeing things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suspicious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Difficulty thinking clearly</w:t>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sz w:val="24"/>
                <w:szCs w:val="24"/>
              </w:rPr>
              <w:t>Withdrawing from social interaction</w:t>
            </w:r>
          </w:p>
        </w:tc>
      </w:tr>
      <w:tr>
        <w:trPr/>
        <w:tc>
          <w:tcPr>
            <w:tcW w:w="4675"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Anxiety and GAD-7</w:t>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4674" w:type="dxa"/>
            <w:tcBorders/>
            <w:shd w:fill="auto" w:val="clear"/>
            <w:tcMar>
              <w:left w:w="103" w:type="dxa"/>
            </w:tcMa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nervous, scared, or anxious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Worrying too much</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Unable to cope with stress</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Feeling bad or guilty about yourself</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Trouble relaxing</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Poor appetite or overeating</w:t>
            </w:r>
          </w:p>
        </w:tc>
      </w:tr>
    </w:tbl>
    <w:p>
      <w:pPr>
        <w:pStyle w:val="Normal"/>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rPr>
          <w:rFonts w:ascii="Times New Roman" w:hAnsi="Times New Roman" w:eastAsia="Times New Roman" w:cs="Times New Roman"/>
          <w:sz w:val="20"/>
          <w:szCs w:val="20"/>
        </w:rPr>
      </w:pPr>
      <w:r>
        <w:rPr>
          <w:rFonts w:eastAsia="Times New Roman" w:cs="Times New Roman" w:ascii="Times New Roman" w:hAnsi="Times New Roman"/>
          <w:b/>
          <w:sz w:val="20"/>
          <w:szCs w:val="20"/>
        </w:rPr>
        <w:t xml:space="preserve">Supplementary Table 1: </w:t>
      </w:r>
      <w:r>
        <w:rPr>
          <w:rFonts w:eastAsia="Times New Roman" w:cs="Times New Roman" w:ascii="Times New Roman" w:hAnsi="Times New Roman"/>
          <w:sz w:val="20"/>
          <w:szCs w:val="20"/>
        </w:rPr>
        <w:t>Question domains used for prediction.</w:t>
      </w:r>
    </w:p>
    <w:p>
      <w:pPr>
        <w:pStyle w:val="Normal"/>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Supplementary Section 2:</w:t>
        <w:br/>
        <w:t>Regression Results</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bookmarkStart w:id="1" w:name="_GoBack"/>
      <w:bookmarkEnd w:id="1"/>
      <w:r>
        <w:rPr>
          <w:rFonts w:cs="Times New Roman" w:ascii="Times New Roman" w:hAnsi="Times New Roman"/>
          <w:sz w:val="24"/>
          <w:szCs w:val="24"/>
        </w:rPr>
        <w:t>In this supplementary section, we provide the estimated coefficients, their statistical significance, and their confidence intervals for the regressions specified in the main article. Each cell in the tables consists of two rows, where the first is the estimated coefficient augmented with symbols indicating significance level, and the second row is the 95% confidence interval. A legend of confidence level symbols is given directly before the tables. Results are presented in the same order as the panels in Figure 5 of the main article.</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right"/>
        <w:rPr>
          <w:rFonts w:ascii="Times New Roman" w:hAnsi="Times New Roman" w:cs="Times New Roman"/>
        </w:rPr>
      </w:pPr>
      <w:r>
        <w:rPr>
          <w:rFonts w:cs="Times New Roman" w:ascii="Times New Roman" w:hAnsi="Times New Roman"/>
        </w:rPr>
        <w:t>Legend: “+”:  p&lt;0.1, “*”:  p&lt;0.05, “**”:  p&lt;0.01, “***”:  p&lt;0.001</w:t>
      </w:r>
    </w:p>
    <w:tbl>
      <w:tblPr>
        <w:tblStyle w:val="TableGrid"/>
        <w:tblW w:w="9625" w:type="dxa"/>
        <w:jc w:val="left"/>
        <w:tblInd w:w="-280" w:type="dxa"/>
        <w:tblCellMar>
          <w:top w:w="0" w:type="dxa"/>
          <w:left w:w="103" w:type="dxa"/>
          <w:bottom w:w="0" w:type="dxa"/>
          <w:right w:w="108" w:type="dxa"/>
        </w:tblCellMar>
        <w:tblLook w:val="04a0" w:noVBand="1" w:noHBand="0" w:lastColumn="0" w:firstColumn="1" w:lastRow="0" w:firstRow="1"/>
      </w:tblPr>
      <w:tblGrid>
        <w:gridCol w:w="1831"/>
        <w:gridCol w:w="1558"/>
        <w:gridCol w:w="1560"/>
        <w:gridCol w:w="1558"/>
        <w:gridCol w:w="1559"/>
        <w:gridCol w:w="1558"/>
      </w:tblGrid>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All Questions</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4 Weeks</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3 Weeks</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2 Weeks</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1 Week</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No Lag</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(Intercept)</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(-0.007, 0)</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(-0.005, 0.004)</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(-0.004, 0.007)</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(-0.005, 0.004)</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(-0.006, 0.003)</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GPS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(0.012, 0.368)</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(0.004, 0.497)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0.126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(-0.181, 0.434)</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(0.004, 0.497)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0.367**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(0.139, 0.595)</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Acc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(-0.069, 0.06)</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(-0.169, 0.002)</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(-0.087, 0.111)</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(-0.157, -0.004)</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(-0.157, -0.009)</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Time to Begin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0.291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(-0.132, 0.714)</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(-0.478, 0.645)</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0.103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(-0.561, 0.766)</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(-0.654, 0.434)</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0.093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(-0.349, 0.535)</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Begin to Complete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(-0.537, 0.116)</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-0.421*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(-0.831, -0.012)</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-0.243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(-0.753, 0.267)</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(-0.461, 0.398)</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-0.186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(-0.527, 0.155)</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Survey Completion Rate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0.294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(-0.159, 0.748)</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0.463+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(-0.047, 0.973)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0.361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(-0.243, 0.966)</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0.723*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(0.148, 1.298)</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0.587*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(0.034, 1.141)</w:t>
            </w:r>
          </w:p>
        </w:tc>
      </w:tr>
    </w:tbl>
    <w:p>
      <w:pPr>
        <w:pStyle w:val="Normal"/>
        <w:rPr>
          <w:rFonts w:ascii="Times New Roman" w:hAnsi="Times New Roman" w:cs="Times New Roman"/>
        </w:rPr>
      </w:pPr>
      <w:r>
        <w:rPr>
          <w:rFonts w:cs="Times New Roman" w:ascii="Times New Roman" w:hAnsi="Times New Roman"/>
        </w:rPr>
      </w:r>
    </w:p>
    <w:tbl>
      <w:tblPr>
        <w:tblStyle w:val="TableGrid"/>
        <w:tblW w:w="9625" w:type="dxa"/>
        <w:jc w:val="left"/>
        <w:tblInd w:w="-280" w:type="dxa"/>
        <w:tblCellMar>
          <w:top w:w="0" w:type="dxa"/>
          <w:left w:w="103" w:type="dxa"/>
          <w:bottom w:w="0" w:type="dxa"/>
          <w:right w:w="108" w:type="dxa"/>
        </w:tblCellMar>
        <w:tblLook w:val="04a0" w:noVBand="1" w:noHBand="0" w:lastColumn="0" w:firstColumn="1" w:lastRow="0" w:firstRow="1"/>
      </w:tblPr>
      <w:tblGrid>
        <w:gridCol w:w="1831"/>
        <w:gridCol w:w="1558"/>
        <w:gridCol w:w="1560"/>
        <w:gridCol w:w="1558"/>
        <w:gridCol w:w="1559"/>
        <w:gridCol w:w="1558"/>
      </w:tblGrid>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Warning Signs</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4 Weeks</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3 Weeks</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2 Weeks</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1 Week</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No Lag</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(Intercept)</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(-0.048, -0.001)</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(-0.027, 0.017)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 0.024)</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 0.008)</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 0.009)</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GPS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0.366+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(-0.025, 0.757)</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0.182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(-0.271, 0.635)</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0.278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(-0.151, 0.707)</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0.518**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(0.15, 0.887)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0.383*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(0.012, 0.753)</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Acc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(-0.113, 0.173)</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(-0.172, 0.136)</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(-0.223, 0.051)</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(-0.176, 0.053)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(-0.179, 0.056)</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Time to Begin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0.341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(-0.511, 1.194)</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0.492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(-0.435, 1.419)</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(-0.936, 0.862)</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0.059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(-0.737, 0.855)</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0.799*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(0.118, 1.479)</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Begin to Complete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0.097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(-0.606, 0.799)</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-0.468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(-1.19, 0.255)</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0.271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(-0.432, 0.973)</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0.109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(-0.52, 0.737)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-0.797**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(-1.339, -0.255)</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Survey Completion Rate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(-0.729, 0.81)</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0.369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(-0.426, 1.165)</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0.361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(-0.441, 1.163)</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0.423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(-0.337, 1.183)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0.636+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(-0.094, 1.367)</w:t>
            </w:r>
          </w:p>
        </w:tc>
      </w:tr>
    </w:tbl>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tbl>
      <w:tblPr>
        <w:tblStyle w:val="TableGrid"/>
        <w:tblW w:w="9625" w:type="dxa"/>
        <w:jc w:val="left"/>
        <w:tblInd w:w="-280" w:type="dxa"/>
        <w:tblCellMar>
          <w:top w:w="0" w:type="dxa"/>
          <w:left w:w="103" w:type="dxa"/>
          <w:bottom w:w="0" w:type="dxa"/>
          <w:right w:w="108" w:type="dxa"/>
        </w:tblCellMar>
        <w:tblLook w:val="04a0" w:noVBand="1" w:noHBand="0" w:lastColumn="0" w:firstColumn="1" w:lastRow="0" w:firstRow="1"/>
      </w:tblPr>
      <w:tblGrid>
        <w:gridCol w:w="1831"/>
        <w:gridCol w:w="1558"/>
        <w:gridCol w:w="1560"/>
        <w:gridCol w:w="1558"/>
        <w:gridCol w:w="1559"/>
        <w:gridCol w:w="1558"/>
      </w:tblGrid>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Mood and PHQ8</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4 Weeks</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3 Weeks</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2 Weeks</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1 Week</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No Lag</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(Intercept)</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 0.003)</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(-0.016, 0.019)</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(-0.026, 0.012)</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(-0.024, 0.012)</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(-0.028, 0.017)</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GPS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(-0.173, 0.453)</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0.306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(-0.069, 0.681)</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(-0.226, 0.546)</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0.401*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(0.056, 0.747)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0.528*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(0.1, 0.956)</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Acc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(-0.044, 0.184)</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-0.129+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(-0.259, 0.001)</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(-0.09, 0.155)</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-0.117*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(-0.222, -0.012)</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(-0.153, 0.11)</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Time to Begin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0.791*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(0.107, 1.474)</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0.046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(-0.772, 0.865)</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-0.079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(-0.874, 0.715)</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(-0.745, 0.713)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0.327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(-0.445, 1.099)</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Begin to Complete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-0.452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(-1.013, 0.108)</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(-1.206, 0.027)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-0.071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(-0.704, 0.562)</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0.152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(-0.447, 0.75)</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(-0.886, 0.366)</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Survey Completion Rate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0.215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(-0.422, 0.852)</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0.685+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(-0.032, 1.402)</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0.431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(-0.27, 1.131)</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(-0.083, 1.323)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0.225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(-0.553, 1.004)</w:t>
            </w:r>
          </w:p>
        </w:tc>
      </w:tr>
    </w:tbl>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tbl>
      <w:tblPr>
        <w:tblStyle w:val="TableGrid"/>
        <w:tblW w:w="9625" w:type="dxa"/>
        <w:jc w:val="left"/>
        <w:tblInd w:w="-280" w:type="dxa"/>
        <w:tblCellMar>
          <w:top w:w="0" w:type="dxa"/>
          <w:left w:w="103" w:type="dxa"/>
          <w:bottom w:w="0" w:type="dxa"/>
          <w:right w:w="108" w:type="dxa"/>
        </w:tblCellMar>
        <w:tblLook w:val="04a0" w:noVBand="1" w:noHBand="0" w:lastColumn="0" w:firstColumn="1" w:lastRow="0" w:firstRow="1"/>
      </w:tblPr>
      <w:tblGrid>
        <w:gridCol w:w="1831"/>
        <w:gridCol w:w="1558"/>
        <w:gridCol w:w="1560"/>
        <w:gridCol w:w="1558"/>
        <w:gridCol w:w="1559"/>
        <w:gridCol w:w="1558"/>
      </w:tblGrid>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Negative and Anhedonic</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4 Weeks</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3 Weeks</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2 Weeks</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1 Week</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No Lag</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(Intercept)</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(-0.052, -0.016)</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(-0.025, 0.008)</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(-0.043, -0.004)</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(-0.043, 0)</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(-0.041, 0.001)</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GPS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0.109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(-0.182, 0.399)</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(0.027, 0.733)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0.102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(-0.295, 0.499)</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0.439*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(0.064, 0.813)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0.488*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(0.115, 0.862)</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Acc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(-0.085, 0.127)</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-0.126*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(-0.247, -0.005)</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(-0.087, 0.165)</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(-0.18, 0.05)</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(-0.106, 0.129)</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Time to Begin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0.929**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(0.284, 1.574)</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-0.389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(-1.158, 0.38)</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0.123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(-0.706, 0.953)</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-0.093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(-0.883, 0.696)</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0.159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(-0.539, 0.857)</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Begin to Complete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-0.693**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(-1.214, -0.172)</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-0.304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(-0.88, 0.272)</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0.131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(-0.521, 0.783)</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-0.124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(-0.765, 0.517)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-0.178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(-0.727, 0.371)</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Survey Completion Rate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0.415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(-0.175, 1.005)</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0.619+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(-0.049, 1.286)</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0.406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(-0.337, 1.15)</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0.645+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(-0.088, 1.379)</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0.295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(-0.445, 1.035)</w:t>
            </w:r>
          </w:p>
        </w:tc>
      </w:tr>
    </w:tbl>
    <w:p>
      <w:pPr>
        <w:pStyle w:val="Normal"/>
        <w:rPr>
          <w:rFonts w:ascii="Times New Roman" w:hAnsi="Times New Roman" w:cs="Times New Roman"/>
        </w:rPr>
      </w:pPr>
      <w:r>
        <w:rPr>
          <w:rFonts w:cs="Times New Roman" w:ascii="Times New Roman" w:hAnsi="Times New Roman"/>
        </w:rPr>
      </w:r>
    </w:p>
    <w:tbl>
      <w:tblPr>
        <w:tblStyle w:val="TableGrid"/>
        <w:tblW w:w="9625" w:type="dxa"/>
        <w:jc w:val="left"/>
        <w:tblInd w:w="-280" w:type="dxa"/>
        <w:tblCellMar>
          <w:top w:w="0" w:type="dxa"/>
          <w:left w:w="103" w:type="dxa"/>
          <w:bottom w:w="0" w:type="dxa"/>
          <w:right w:w="108" w:type="dxa"/>
        </w:tblCellMar>
        <w:tblLook w:val="04a0" w:noVBand="1" w:noHBand="0" w:lastColumn="0" w:firstColumn="1" w:lastRow="0" w:firstRow="1"/>
      </w:tblPr>
      <w:tblGrid>
        <w:gridCol w:w="1831"/>
        <w:gridCol w:w="1558"/>
        <w:gridCol w:w="1560"/>
        <w:gridCol w:w="1558"/>
        <w:gridCol w:w="1559"/>
        <w:gridCol w:w="1558"/>
      </w:tblGrid>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Sleep</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4 Weeks</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3 Weeks</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2 Weeks</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1 Week</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No Lag</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(Intercept)</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-0.055**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(-0.095, -0.015)</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(-0.071, 0.005)</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(-0.072, 0.006)</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(-0.064, 0.013)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(-0.065, 0.005)</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GPS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0.275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(-0.182, 0.732)</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0.126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(-0.378, 0.63)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(-0.367, 0.607)</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0.497*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(0.057, 0.938)</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0.442*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(0.035, 0.85)</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Acc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0.043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(-0.123, 0.21)</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(-0.174, 0.17)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(-0.119, 0.187)</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-0.124+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(-0.257, 0.009)</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(-0.211, 0.047)</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Time to Begin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(-0.455, 1.455)</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0.262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(-0.719, 1.243)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-0.206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(-1.182, 0.771)</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0.185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(-0.716, 1.086)</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0.206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(-0.561, 0.973)</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Begin to Complete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-0.879*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(-1.689, -0.07)</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-0.694+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(-1.488, 0.1)</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0.163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(-0.629, 0.954)</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-0.152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(-0.909, 0.604)</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-0.363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(-0.969, 0.243)</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Survey Completion Rate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(-0.146, 1.587)</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0.817+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(-0.037, 1.671)</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0.611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(-0.242, 1.464)</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0.671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(-0.154, 1.496)</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0.835*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(0.028, 1.643)</w:t>
            </w:r>
          </w:p>
        </w:tc>
      </w:tr>
    </w:tbl>
    <w:p>
      <w:pPr>
        <w:pStyle w:val="Normal"/>
        <w:rPr>
          <w:rFonts w:ascii="Times New Roman" w:hAnsi="Times New Roman" w:cs="Times New Roman"/>
        </w:rPr>
      </w:pPr>
      <w:r>
        <w:rPr>
          <w:rFonts w:cs="Times New Roman" w:ascii="Times New Roman" w:hAnsi="Times New Roman"/>
        </w:rPr>
      </w:r>
    </w:p>
    <w:tbl>
      <w:tblPr>
        <w:tblStyle w:val="TableGrid"/>
        <w:tblW w:w="9625" w:type="dxa"/>
        <w:jc w:val="left"/>
        <w:tblInd w:w="-280" w:type="dxa"/>
        <w:tblCellMar>
          <w:top w:w="0" w:type="dxa"/>
          <w:left w:w="103" w:type="dxa"/>
          <w:bottom w:w="0" w:type="dxa"/>
          <w:right w:w="108" w:type="dxa"/>
        </w:tblCellMar>
        <w:tblLook w:val="04a0" w:noVBand="1" w:noHBand="0" w:lastColumn="0" w:firstColumn="1" w:lastRow="0" w:firstRow="1"/>
      </w:tblPr>
      <w:tblGrid>
        <w:gridCol w:w="1831"/>
        <w:gridCol w:w="1558"/>
        <w:gridCol w:w="1560"/>
        <w:gridCol w:w="1558"/>
        <w:gridCol w:w="1559"/>
        <w:gridCol w:w="1558"/>
      </w:tblGrid>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Cognitive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4 Weeks</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3 Weeks</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2 Weeks</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1 Week</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No Lag</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(Intercept)</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(-0.008, 0.006)</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(-0.066, 0.027)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(-0.055, 0.03)</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(-0.053, 0.022)</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(-0.043, 0.03)</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GPS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(-0.063, 0.049)</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(-0.282, 0.703)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0.219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(-0.314, 0.752)</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(-0.183, 0.724)</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0.407+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(-0.033, 0.847)</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Acc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(-0.022, 0.018)</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(-0.238, 0.069)</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(-0.169, 0.194)</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(-0.234, 0.064)</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-0.117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(-0.26, 0.026)</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Time to Begin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-0.099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(-0.254, 0.056)</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(-0.961, 0.896)</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0.775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(-0.351, 1.901)</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-0.447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(-1.382, 0.489)</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-0.152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(-1.095, 0.791)</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Begin to Complete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(-0.142, 0.21)</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0.241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(-0.562, 1.043)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-0.557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(-1.405, 0.292)</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-0.073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(-0.789, 0.643)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(-0.813, 0.634)</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Survey Completion Rate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0.436+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(-0.015, 0.886)</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0.335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(-0.461, 1.131)</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0.172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(-0.788, 1.131)</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0.803+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(-0.007, 1.613)</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0.682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(-0.185, 1.55)</w:t>
            </w:r>
          </w:p>
        </w:tc>
      </w:tr>
    </w:tbl>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tbl>
      <w:tblPr>
        <w:tblStyle w:val="TableGrid"/>
        <w:tblW w:w="9625" w:type="dxa"/>
        <w:jc w:val="left"/>
        <w:tblInd w:w="-280" w:type="dxa"/>
        <w:tblCellMar>
          <w:top w:w="0" w:type="dxa"/>
          <w:left w:w="103" w:type="dxa"/>
          <w:bottom w:w="0" w:type="dxa"/>
          <w:right w:w="108" w:type="dxa"/>
        </w:tblCellMar>
        <w:tblLook w:val="04a0" w:noVBand="1" w:noHBand="0" w:lastColumn="0" w:firstColumn="1" w:lastRow="0" w:firstRow="1"/>
      </w:tblPr>
      <w:tblGrid>
        <w:gridCol w:w="1831"/>
        <w:gridCol w:w="1558"/>
        <w:gridCol w:w="1560"/>
        <w:gridCol w:w="1558"/>
        <w:gridCol w:w="1559"/>
        <w:gridCol w:w="1558"/>
      </w:tblGrid>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Psychosis</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4 Weeks</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3 Weeks</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2 Weeks</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1 Week</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No Lag</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(Intercept)</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(-0.05, 0.055)</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 0.057)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(-0.021, 0.057)</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(-0.036, 0.048)</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(0, 0.071)</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GPS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0.209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(-0.265, 0.683)</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0.153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(-0.256, 0.562)</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(-0.325, 0.46)</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0.097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(-0.295, 0.488)</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0.095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(-0.258, 0.449)</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Acc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-0.046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(-0.215, 0.123)</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(-0.173, 0.096)</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-0.056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(-0.18, 0.069)</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-0.044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(-0.16, 0.072)</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(-0.128, 0.09)</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Time to Begin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0.219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(-0.699, 1.137)</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0.058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(-0.734, 0.85)</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0.594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(-0.243, 1.432)</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-0.138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(-0.904, 0.628)</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-0.185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(-0.828, 0.458)</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Begin to Complete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0.352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(-0.447, 1.151)</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(-0.553, 0.69)</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-0.368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(-1.008, 0.272)</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(-0.736, 0.57)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-0.256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(-0.771, 0.259)</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Survey Completion Rate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(-1.128, 0.668)</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(-0.674, 0.81)</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0.263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(-0.532, 1.057)</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(-0.128, 1.247)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0.51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(-0.142, 1.163)</w:t>
            </w:r>
          </w:p>
        </w:tc>
      </w:tr>
    </w:tbl>
    <w:p>
      <w:pPr>
        <w:pStyle w:val="Normal"/>
        <w:rPr>
          <w:rFonts w:ascii="Times New Roman" w:hAnsi="Times New Roman" w:cs="Times New Roman"/>
        </w:rPr>
      </w:pPr>
      <w:r>
        <w:rPr>
          <w:rFonts w:cs="Times New Roman" w:ascii="Times New Roman" w:hAnsi="Times New Roman"/>
        </w:rPr>
      </w:r>
    </w:p>
    <w:tbl>
      <w:tblPr>
        <w:tblStyle w:val="TableGrid"/>
        <w:tblW w:w="9625" w:type="dxa"/>
        <w:jc w:val="left"/>
        <w:tblInd w:w="-280" w:type="dxa"/>
        <w:tblCellMar>
          <w:top w:w="0" w:type="dxa"/>
          <w:left w:w="103" w:type="dxa"/>
          <w:bottom w:w="0" w:type="dxa"/>
          <w:right w:w="108" w:type="dxa"/>
        </w:tblCellMar>
        <w:tblLook w:val="04a0" w:noVBand="1" w:noHBand="0" w:lastColumn="0" w:firstColumn="1" w:lastRow="0" w:firstRow="1"/>
      </w:tblPr>
      <w:tblGrid>
        <w:gridCol w:w="1831"/>
        <w:gridCol w:w="1558"/>
        <w:gridCol w:w="1560"/>
        <w:gridCol w:w="1558"/>
        <w:gridCol w:w="1559"/>
        <w:gridCol w:w="1558"/>
      </w:tblGrid>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Anxiety and GAD7</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4 Weeks</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3 Weeks</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2 Weeks</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Lagged 1 Week</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rPr>
            </w:pPr>
            <w:r>
              <w:rPr>
                <w:rFonts w:cs="Times New Roman" w:ascii="Times New Roman" w:hAnsi="Times New Roman"/>
              </w:rPr>
              <w:t>No Lag</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(Intercept)</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(-0.025, 0.023)</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(-0.017, 0.032)</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(-0.008, 0.039)</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(-0.017, 0.034)</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(-0.029, 0.033)</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GPS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0.104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(-0.187, 0.396)</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0.391*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(0.063, 0.72)</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0.011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(-0.34, 0.362)</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(-0.169, 0.508)</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0.466*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(0.053, 0.879)</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Acc Total Coverage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 0.112)</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-0.175**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(-0.289, -0.061)</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(-0.025, 0.197)</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(-0.19, 0.019)</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-0.153*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(-0.283, -0.023)</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Time to Begin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0.384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(-0.292, 1.059)</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0.14</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(-0.605, 0.885)</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-0.002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(-0.729, 0.725)</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0.085</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(-0.641, 0.811)</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(-0.617, 0.878)</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Log10 Begin to Complete Survey</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-0.216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(-0.754, 0.321)</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-0.378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(-0.925, 0.168)</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-0.401</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(-0.971, 0.168)</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-0.112</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(-0.692, 0.468)</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-0.083</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(-0.687, 0.521)</w:t>
            </w:r>
          </w:p>
        </w:tc>
      </w:tr>
      <w:tr>
        <w:trPr/>
        <w:tc>
          <w:tcPr>
            <w:tcW w:w="1831" w:type="dxa"/>
            <w:tcBorders/>
            <w:shd w:fill="auto" w:val="clear"/>
            <w:tcMar>
              <w:left w:w="103" w:type="dxa"/>
            </w:tcMar>
          </w:tcPr>
          <w:p>
            <w:pPr>
              <w:pStyle w:val="Normal"/>
              <w:spacing w:lineRule="auto" w:line="240" w:before="0" w:after="0"/>
              <w:rPr>
                <w:rFonts w:ascii="Times New Roman" w:hAnsi="Times New Roman" w:cs="Times New Roman"/>
              </w:rPr>
            </w:pPr>
            <w:r>
              <w:rPr>
                <w:rFonts w:cs="Times New Roman" w:ascii="Times New Roman" w:hAnsi="Times New Roman"/>
              </w:rPr>
              <w:t>Survey Completion Rate</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0.289</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(-0.385, 0.963)</w:t>
            </w:r>
          </w:p>
        </w:tc>
        <w:tc>
          <w:tcPr>
            <w:tcW w:w="1560"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0.377</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(-0.297, 1.052)</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0.348</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(-0.294, 0.99)</w:t>
            </w:r>
          </w:p>
        </w:tc>
        <w:tc>
          <w:tcPr>
            <w:tcW w:w="1559"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0.656+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(-0.038, 1.351)</w:t>
            </w:r>
          </w:p>
        </w:tc>
        <w:tc>
          <w:tcPr>
            <w:tcW w:w="1558" w:type="dxa"/>
            <w:tcBorders/>
            <w:shd w:fill="auto" w:val="clear"/>
            <w:tcMar>
              <w:left w:w="103" w:type="dxa"/>
            </w:tcMar>
          </w:tcPr>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0.466</w:t>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(-0.316, 1.248)</w:t>
            </w:r>
          </w:p>
        </w:tc>
      </w:tr>
    </w:tbl>
    <w:p>
      <w:pPr>
        <w:pStyle w:val="Normal"/>
        <w:rPr>
          <w:rFonts w:ascii="Times New Roman" w:hAnsi="Times New Roman" w:cs="Times New Roman"/>
        </w:rPr>
      </w:pPr>
      <w:r>
        <w:rPr>
          <w:rFonts w:cs="Times New Roman" w:ascii="Times New Roman" w:hAnsi="Times New Roman"/>
        </w:rPr>
      </w:r>
    </w:p>
    <w:p>
      <w:pPr>
        <w:pStyle w:val="Normal"/>
        <w:rPr/>
      </w:pPr>
      <w:r>
        <w:rPr>
          <w:rFonts w:cs="Times New Roman" w:ascii="Times New Roman" w:hAnsi="Times New Roman"/>
          <w:b/>
          <w:sz w:val="20"/>
          <w:szCs w:val="20"/>
        </w:rPr>
        <w:t>Supplementary Table 2:</w:t>
      </w:r>
      <w:r>
        <w:rPr>
          <w:rFonts w:cs="Times New Roman" w:ascii="Times New Roman" w:hAnsi="Times New Roman"/>
          <w:sz w:val="20"/>
          <w:szCs w:val="20"/>
        </w:rPr>
        <w:t xml:space="preserve"> Coefficients, significance, and confidence intervals for the regressions specified in the main article.</w:t>
      </w:r>
    </w:p>
    <w:p>
      <w:pPr>
        <w:pStyle w:val="Normal"/>
        <w:rPr/>
      </w:pPr>
      <w:r>
        <w:rPr>
          <w:rFonts w:eastAsia="Times New Roman" w:cs="Times New Roman" w:ascii="Times New Roman" w:hAnsi="Times New Roman"/>
          <w:b/>
          <w:sz w:val="24"/>
          <w:szCs w:val="24"/>
        </w:rPr>
        <w:t>Supplementary Section 3:</w:t>
        <w:br/>
        <w:t xml:space="preserve">Observed and Expected Number of </w:t>
      </w:r>
      <w:r>
        <w:rPr>
          <w:rFonts w:eastAsia="Times New Roman" w:cs="Times New Roman" w:ascii="Times New Roman" w:hAnsi="Times New Roman"/>
          <w:b/>
          <w:i/>
          <w:iCs/>
          <w:sz w:val="24"/>
          <w:szCs w:val="24"/>
        </w:rPr>
        <w:t>p-</w:t>
      </w:r>
      <w:r>
        <w:rPr>
          <w:rFonts w:eastAsia="Times New Roman" w:cs="Times New Roman" w:ascii="Times New Roman" w:hAnsi="Times New Roman"/>
          <w:b/>
          <w:i w:val="false"/>
          <w:iCs w:val="false"/>
          <w:sz w:val="24"/>
          <w:szCs w:val="24"/>
        </w:rPr>
        <w:t>Values</w:t>
      </w:r>
    </w:p>
    <w:p>
      <w:pPr>
        <w:pStyle w:val="Normal"/>
        <w:rPr/>
      </w:pPr>
      <w:r>
        <w:rPr>
          <w:rFonts w:cs="Times New Roman" w:ascii="Times New Roman" w:hAnsi="Times New Roman"/>
          <w:sz w:val="24"/>
          <w:szCs w:val="24"/>
        </w:rPr>
        <w:t xml:space="preserve">In this supplementary section, we show the observed and expected number of </w:t>
      </w:r>
      <w:r>
        <w:rPr>
          <w:rFonts w:cs="Times New Roman" w:ascii="Times New Roman" w:hAnsi="Times New Roman"/>
          <w:sz w:val="24"/>
          <w:szCs w:val="24"/>
        </w:rPr>
        <w:t xml:space="preserve">uncorrected </w:t>
      </w:r>
      <w:r>
        <w:rPr>
          <w:rFonts w:cs="Times New Roman" w:ascii="Times New Roman" w:hAnsi="Times New Roman"/>
          <w:i/>
          <w:iCs/>
          <w:sz w:val="24"/>
          <w:szCs w:val="24"/>
        </w:rPr>
        <w:t>p</w:t>
      </w:r>
      <w:r>
        <w:rPr>
          <w:rFonts w:cs="Times New Roman" w:ascii="Times New Roman" w:hAnsi="Times New Roman"/>
          <w:sz w:val="24"/>
          <w:szCs w:val="24"/>
        </w:rPr>
        <w:t xml:space="preserve">-values for each panel in Figure 5 and sub-tables of Supplementary Table 2. Without correcting for multiple testing, we observe the distribution of the number of </w:t>
      </w:r>
      <w:r>
        <w:rPr>
          <w:rFonts w:cs="Times New Roman" w:ascii="Times New Roman" w:hAnsi="Times New Roman"/>
          <w:i/>
          <w:iCs/>
          <w:sz w:val="24"/>
          <w:szCs w:val="24"/>
        </w:rPr>
        <w:t>p</w:t>
      </w:r>
      <w:r>
        <w:rPr>
          <w:rFonts w:cs="Times New Roman" w:ascii="Times New Roman" w:hAnsi="Times New Roman"/>
          <w:sz w:val="24"/>
          <w:szCs w:val="24"/>
        </w:rPr>
        <w:t xml:space="preserve">-values less than 0.05 across all subject domains is greater than the expected distribution. </w:t>
      </w:r>
      <w:r>
        <w:rPr>
          <w:rFonts w:cs="Times New Roman" w:ascii="Times New Roman" w:hAnsi="Times New Roman"/>
          <w:sz w:val="24"/>
          <w:szCs w:val="24"/>
        </w:rPr>
        <w:t xml:space="preserve">This provides evidence of a relationship between the measures of metadata described in the paper and EMA survey domains. For </w:t>
      </w:r>
      <w:r>
        <w:rPr>
          <w:rFonts w:cs="Times New Roman" w:ascii="Times New Roman" w:hAnsi="Times New Roman"/>
          <w:i/>
          <w:iCs/>
          <w:sz w:val="24"/>
          <w:szCs w:val="24"/>
        </w:rPr>
        <w:t>p</w:t>
      </w:r>
      <w:r>
        <w:rPr>
          <w:rFonts w:cs="Times New Roman" w:ascii="Times New Roman" w:hAnsi="Times New Roman"/>
          <w:sz w:val="24"/>
          <w:szCs w:val="24"/>
        </w:rPr>
        <w:t>-values corrected for multiple testing, also see Figure 5.</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5943600" cy="396240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5943600" cy="3962400"/>
                    </a:xfrm>
                    <a:prstGeom prst="rect">
                      <a:avLst/>
                    </a:prstGeom>
                  </pic:spPr>
                </pic:pic>
              </a:graphicData>
            </a:graphic>
          </wp:anchor>
        </w:drawing>
      </w:r>
    </w:p>
    <w:p>
      <w:pPr>
        <w:pStyle w:val="Normal"/>
        <w:rPr/>
      </w:pPr>
      <w:r>
        <w:rPr>
          <w:rFonts w:cs="Times New Roman" w:ascii="Times New Roman" w:hAnsi="Times New Roman"/>
          <w:b/>
          <w:sz w:val="20"/>
          <w:szCs w:val="20"/>
        </w:rPr>
        <w:t xml:space="preserve">Supplementary Figure </w:t>
      </w:r>
      <w:r>
        <w:rPr>
          <w:rFonts w:cs="Times New Roman" w:ascii="Times New Roman" w:hAnsi="Times New Roman"/>
          <w:b/>
          <w:sz w:val="20"/>
          <w:szCs w:val="20"/>
        </w:rPr>
        <w:t>1</w:t>
      </w:r>
      <w:r>
        <w:rPr>
          <w:rFonts w:cs="Times New Roman" w:ascii="Times New Roman" w:hAnsi="Times New Roman"/>
          <w:b/>
          <w:sz w:val="20"/>
          <w:szCs w:val="20"/>
        </w:rPr>
        <w:t>:</w:t>
      </w:r>
      <w:r>
        <w:rPr>
          <w:rFonts w:cs="Times New Roman" w:ascii="Times New Roman" w:hAnsi="Times New Roman"/>
          <w:sz w:val="20"/>
          <w:szCs w:val="20"/>
        </w:rPr>
        <w:t xml:space="preserve"> The observed and expected </w:t>
      </w:r>
      <w:r>
        <w:rPr>
          <w:rFonts w:cs="Times New Roman" w:ascii="Times New Roman" w:hAnsi="Times New Roman"/>
          <w:i/>
          <w:iCs/>
          <w:sz w:val="20"/>
          <w:szCs w:val="20"/>
        </w:rPr>
        <w:t>p</w:t>
      </w:r>
      <w:r>
        <w:rPr>
          <w:rFonts w:cs="Times New Roman" w:ascii="Times New Roman" w:hAnsi="Times New Roman"/>
          <w:sz w:val="20"/>
          <w:szCs w:val="20"/>
        </w:rPr>
        <w:t>-values from Figure 5 and Supplementary Table 2.</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pPr>
      <w:r>
        <w:rPr>
          <w:rFonts w:eastAsia="Times New Roman" w:cs="Times New Roman" w:ascii="Times New Roman" w:hAnsi="Times New Roman"/>
          <w:b/>
          <w:sz w:val="24"/>
          <w:szCs w:val="24"/>
        </w:rPr>
        <w:t>Supplementary Section 4:</w:t>
        <w:br/>
        <w:t>Difference By Phone Type</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pPr>
      <w:r>
        <w:rPr>
          <w:rFonts w:cs="Times New Roman" w:ascii="Times New Roman" w:hAnsi="Times New Roman"/>
          <w:sz w:val="24"/>
          <w:szCs w:val="24"/>
        </w:rPr>
        <w:t>In this supplementary section, we provide summary statistics on data quality subdivided by phone type. The difference between these measures is given in the third row, along with 95% confidence intervals in parentheses. With the exception of accelerometer coverage, we observe a significant difference between each data quality metric by phone type.</w:t>
      </w:r>
    </w:p>
    <w:p>
      <w:pPr>
        <w:pStyle w:val="Normal"/>
        <w:rPr>
          <w:rFonts w:ascii="Times New Roman" w:hAnsi="Times New Roman" w:cs="Times New Roman"/>
          <w:sz w:val="20"/>
          <w:szCs w:val="20"/>
        </w:rPr>
      </w:pPr>
      <w:r>
        <w:rPr>
          <w:rFonts w:cs="Times New Roman" w:ascii="Times New Roman" w:hAnsi="Times New Roman"/>
          <w:sz w:val="20"/>
          <w:szCs w:val="20"/>
        </w:rPr>
      </w:r>
    </w:p>
    <w:tbl>
      <w:tblPr>
        <w:tblStyle w:val="TableGrid"/>
        <w:tblW w:w="9625" w:type="dxa"/>
        <w:jc w:val="left"/>
        <w:tblInd w:w="-280" w:type="dxa"/>
        <w:tblCellMar>
          <w:top w:w="0" w:type="dxa"/>
          <w:left w:w="103" w:type="dxa"/>
          <w:bottom w:w="0" w:type="dxa"/>
          <w:right w:w="108" w:type="dxa"/>
        </w:tblCellMar>
        <w:tblLook w:val="04a0" w:noVBand="1" w:noHBand="0" w:lastColumn="0" w:firstColumn="1" w:lastRow="0" w:firstRow="1"/>
      </w:tblPr>
      <w:tblGrid>
        <w:gridCol w:w="1830"/>
        <w:gridCol w:w="1558"/>
        <w:gridCol w:w="1560"/>
        <w:gridCol w:w="1558"/>
        <w:gridCol w:w="1559"/>
        <w:gridCol w:w="1559"/>
      </w:tblGrid>
      <w:tr>
        <w:trPr/>
        <w:tc>
          <w:tcPr>
            <w:tcW w:w="1830" w:type="dxa"/>
            <w:tcBorders/>
            <w:shd w:fill="auto" w:val="clear"/>
            <w:tcMar>
              <w:left w:w="103" w:type="dxa"/>
            </w:tcMar>
          </w:tcPr>
          <w:p>
            <w:pPr>
              <w:pStyle w:val="Normal"/>
              <w:spacing w:lineRule="auto" w:line="240" w:before="0" w:after="0"/>
              <w:rPr/>
            </w:pPr>
            <w:r>
              <w:rPr>
                <w:rFonts w:cs="Times New Roman" w:ascii="Times New Roman" w:hAnsi="Times New Roman"/>
              </w:rPr>
              <w:t>All Questions</w:t>
            </w:r>
          </w:p>
        </w:tc>
        <w:tc>
          <w:tcPr>
            <w:tcW w:w="1558" w:type="dxa"/>
            <w:tcBorders/>
            <w:shd w:fill="auto" w:val="clear"/>
            <w:tcMar>
              <w:left w:w="103" w:type="dxa"/>
            </w:tcMar>
          </w:tcPr>
          <w:p>
            <w:pPr>
              <w:pStyle w:val="Normal"/>
              <w:spacing w:lineRule="auto" w:line="240" w:before="0" w:after="0"/>
              <w:jc w:val="right"/>
              <w:rPr>
                <w:caps w:val="false"/>
                <w:smallCaps w:val="false"/>
                <w:color w:val="000000"/>
                <w:spacing w:val="0"/>
                <w:u w:val="none"/>
              </w:rPr>
            </w:pPr>
            <w:r>
              <w:rPr>
                <w:rFonts w:cs="Times New Roman" w:ascii="Times New Roman" w:hAnsi="Times New Roman"/>
                <w:b w:val="false"/>
                <w:i w:val="false"/>
                <w:caps w:val="false"/>
                <w:smallCaps w:val="false"/>
                <w:color w:val="000000"/>
                <w:spacing w:val="0"/>
                <w:sz w:val="21"/>
                <w:u w:val="none"/>
              </w:rPr>
              <w:t>Accelerometer Coverage</w:t>
            </w:r>
          </w:p>
        </w:tc>
        <w:tc>
          <w:tcPr>
            <w:tcW w:w="1560" w:type="dxa"/>
            <w:tcBorders/>
            <w:shd w:fill="auto" w:val="clear"/>
            <w:tcMar>
              <w:left w:w="103" w:type="dxa"/>
            </w:tcMar>
          </w:tcPr>
          <w:p>
            <w:pPr>
              <w:pStyle w:val="Normal"/>
              <w:spacing w:lineRule="auto" w:line="240" w:before="0" w:after="0"/>
              <w:jc w:val="right"/>
              <w:rPr>
                <w:caps w:val="false"/>
                <w:smallCaps w:val="false"/>
                <w:color w:val="000000"/>
                <w:spacing w:val="0"/>
                <w:u w:val="none"/>
              </w:rPr>
            </w:pPr>
            <w:r>
              <w:rPr>
                <w:rFonts w:cs="Times New Roman" w:ascii="Times New Roman" w:hAnsi="Times New Roman"/>
                <w:b w:val="false"/>
                <w:i w:val="false"/>
                <w:caps w:val="false"/>
                <w:smallCaps w:val="false"/>
                <w:color w:val="000000"/>
                <w:spacing w:val="0"/>
                <w:sz w:val="21"/>
                <w:u w:val="none"/>
              </w:rPr>
              <w:t>GPS Coverage</w:t>
            </w:r>
          </w:p>
        </w:tc>
        <w:tc>
          <w:tcPr>
            <w:tcW w:w="1558" w:type="dxa"/>
            <w:tcBorders/>
            <w:shd w:fill="auto" w:val="clear"/>
            <w:tcMar>
              <w:left w:w="103" w:type="dxa"/>
            </w:tcMar>
          </w:tcPr>
          <w:p>
            <w:pPr>
              <w:pStyle w:val="Normal"/>
              <w:spacing w:lineRule="auto" w:line="240" w:before="0" w:after="0"/>
              <w:jc w:val="right"/>
              <w:rPr/>
            </w:pPr>
            <w:r>
              <w:rPr>
                <w:rFonts w:cs="Times New Roman" w:ascii="Times New Roman" w:hAnsi="Times New Roman"/>
              </w:rPr>
              <w:t>Time to Present</w:t>
            </w:r>
          </w:p>
        </w:tc>
        <w:tc>
          <w:tcPr>
            <w:tcW w:w="1559" w:type="dxa"/>
            <w:tcBorders>
              <w:left w:val="nil"/>
              <w:right w:val="nil"/>
              <w:insideV w:val="nil"/>
            </w:tcBorders>
            <w:shd w:fill="auto" w:val="clear"/>
          </w:tcPr>
          <w:p>
            <w:pPr>
              <w:pStyle w:val="Normal"/>
              <w:spacing w:lineRule="auto" w:line="240" w:before="0" w:after="0"/>
              <w:jc w:val="right"/>
              <w:rPr/>
            </w:pPr>
            <w:r>
              <w:rPr>
                <w:rFonts w:cs="Times New Roman" w:ascii="Times New Roman" w:hAnsi="Times New Roman"/>
              </w:rPr>
              <w:t>Time to Submission</w:t>
            </w:r>
          </w:p>
        </w:tc>
        <w:tc>
          <w:tcPr>
            <w:tcW w:w="1559" w:type="dxa"/>
            <w:tcBorders/>
            <w:shd w:fill="auto" w:val="clear"/>
            <w:tcMar>
              <w:left w:w="103" w:type="dxa"/>
            </w:tcMar>
          </w:tcPr>
          <w:p>
            <w:pPr>
              <w:pStyle w:val="Normal"/>
              <w:spacing w:lineRule="auto" w:line="240" w:before="0" w:after="0"/>
              <w:jc w:val="right"/>
              <w:rPr/>
            </w:pPr>
            <w:r>
              <w:rPr>
                <w:rFonts w:cs="Times New Roman" w:ascii="Times New Roman" w:hAnsi="Times New Roman"/>
              </w:rPr>
              <w:t>n</w:t>
            </w:r>
          </w:p>
        </w:tc>
      </w:tr>
      <w:tr>
        <w:trPr/>
        <w:tc>
          <w:tcPr>
            <w:tcW w:w="1830" w:type="dxa"/>
            <w:tcBorders/>
            <w:shd w:fill="auto" w:val="clear"/>
            <w:tcMar>
              <w:left w:w="103" w:type="dxa"/>
            </w:tcMar>
          </w:tcPr>
          <w:p>
            <w:pPr>
              <w:pStyle w:val="Normal"/>
              <w:spacing w:lineRule="auto" w:line="240" w:before="0" w:after="0"/>
              <w:rPr/>
            </w:pPr>
            <w:r>
              <w:rPr>
                <w:rFonts w:cs="Times New Roman" w:ascii="Times New Roman" w:hAnsi="Times New Roman"/>
              </w:rPr>
              <w:t>iPhone</w:t>
            </w:r>
          </w:p>
        </w:tc>
        <w:tc>
          <w:tcPr>
            <w:tcW w:w="1558" w:type="dxa"/>
            <w:tcBorders/>
            <w:shd w:fill="auto" w:val="clear"/>
            <w:tcMar>
              <w:left w:w="103" w:type="dxa"/>
            </w:tcMar>
          </w:tcPr>
          <w:p>
            <w:pPr>
              <w:pStyle w:val="Normal"/>
              <w:spacing w:lineRule="auto" w:line="240" w:before="0" w:after="0"/>
              <w:jc w:val="right"/>
              <w:rPr/>
            </w:pPr>
            <w:r>
              <w:rPr>
                <w:rFonts w:cs="Times New Roman" w:ascii="Times New Roman" w:hAnsi="Times New Roman"/>
                <w:sz w:val="20"/>
                <w:szCs w:val="20"/>
              </w:rPr>
              <w:t>0.473</w:t>
            </w:r>
          </w:p>
        </w:tc>
        <w:tc>
          <w:tcPr>
            <w:tcW w:w="1560" w:type="dxa"/>
            <w:tcBorders/>
            <w:shd w:fill="auto" w:val="clear"/>
            <w:tcMar>
              <w:left w:w="103" w:type="dxa"/>
            </w:tcMar>
          </w:tcPr>
          <w:p>
            <w:pPr>
              <w:pStyle w:val="Normal"/>
              <w:spacing w:lineRule="auto" w:line="240" w:before="0" w:after="0"/>
              <w:jc w:val="right"/>
              <w:rPr/>
            </w:pPr>
            <w:r>
              <w:rPr>
                <w:rFonts w:cs="Times New Roman" w:ascii="Times New Roman" w:hAnsi="Times New Roman"/>
                <w:sz w:val="20"/>
                <w:szCs w:val="20"/>
              </w:rPr>
              <w:t>0.516</w:t>
            </w:r>
          </w:p>
        </w:tc>
        <w:tc>
          <w:tcPr>
            <w:tcW w:w="1558" w:type="dxa"/>
            <w:tcBorders/>
            <w:shd w:fill="auto" w:val="clear"/>
            <w:tcMar>
              <w:left w:w="103" w:type="dxa"/>
            </w:tcMar>
          </w:tcPr>
          <w:p>
            <w:pPr>
              <w:pStyle w:val="Normal"/>
              <w:spacing w:lineRule="auto" w:line="240" w:before="0" w:after="0"/>
              <w:jc w:val="right"/>
              <w:rPr/>
            </w:pPr>
            <w:r>
              <w:rPr>
                <w:rFonts w:cs="Times New Roman" w:ascii="Times New Roman" w:hAnsi="Times New Roman"/>
                <w:sz w:val="20"/>
                <w:szCs w:val="20"/>
              </w:rPr>
              <w:t>2.724</w:t>
            </w:r>
          </w:p>
        </w:tc>
        <w:tc>
          <w:tcPr>
            <w:tcW w:w="1559" w:type="dxa"/>
            <w:tcBorders>
              <w:left w:val="nil"/>
              <w:right w:val="nil"/>
              <w:insideV w:val="nil"/>
            </w:tcBorders>
            <w:shd w:fill="auto" w:val="clear"/>
          </w:tcPr>
          <w:p>
            <w:pPr>
              <w:pStyle w:val="Normal"/>
              <w:spacing w:lineRule="auto" w:line="240" w:before="0" w:after="0"/>
              <w:jc w:val="right"/>
              <w:rPr/>
            </w:pPr>
            <w:r>
              <w:rPr>
                <w:rFonts w:cs="Times New Roman" w:ascii="Times New Roman" w:hAnsi="Times New Roman"/>
                <w:sz w:val="20"/>
                <w:szCs w:val="20"/>
              </w:rPr>
              <w:t>1.371</w:t>
            </w:r>
          </w:p>
        </w:tc>
        <w:tc>
          <w:tcPr>
            <w:tcW w:w="1559" w:type="dxa"/>
            <w:tcBorders/>
            <w:shd w:fill="auto" w:val="clear"/>
            <w:tcMar>
              <w:left w:w="103" w:type="dxa"/>
            </w:tcMar>
          </w:tcPr>
          <w:p>
            <w:pPr>
              <w:pStyle w:val="Normal"/>
              <w:spacing w:lineRule="auto" w:line="240" w:before="0" w:after="0"/>
              <w:jc w:val="right"/>
              <w:rPr/>
            </w:pPr>
            <w:r>
              <w:rPr>
                <w:rFonts w:cs="Times New Roman" w:ascii="Times New Roman" w:hAnsi="Times New Roman"/>
                <w:sz w:val="20"/>
                <w:szCs w:val="20"/>
              </w:rPr>
              <w:t>9</w:t>
            </w:r>
          </w:p>
        </w:tc>
      </w:tr>
      <w:tr>
        <w:trPr/>
        <w:tc>
          <w:tcPr>
            <w:tcW w:w="1830" w:type="dxa"/>
            <w:tcBorders/>
            <w:shd w:fill="auto" w:val="clear"/>
            <w:tcMar>
              <w:left w:w="103" w:type="dxa"/>
            </w:tcMar>
          </w:tcPr>
          <w:p>
            <w:pPr>
              <w:pStyle w:val="Normal"/>
              <w:spacing w:lineRule="auto" w:line="240" w:before="0" w:after="0"/>
              <w:rPr/>
            </w:pPr>
            <w:r>
              <w:rPr>
                <w:rFonts w:cs="Times New Roman" w:ascii="Times New Roman" w:hAnsi="Times New Roman"/>
              </w:rPr>
              <w:t>Android</w:t>
            </w:r>
          </w:p>
        </w:tc>
        <w:tc>
          <w:tcPr>
            <w:tcW w:w="1558" w:type="dxa"/>
            <w:tcBorders/>
            <w:shd w:fill="auto" w:val="clear"/>
            <w:tcMar>
              <w:left w:w="103" w:type="dxa"/>
            </w:tcMar>
          </w:tcPr>
          <w:p>
            <w:pPr>
              <w:pStyle w:val="Normal"/>
              <w:spacing w:lineRule="auto" w:line="240" w:before="0" w:after="0"/>
              <w:jc w:val="right"/>
              <w:rPr/>
            </w:pPr>
            <w:r>
              <w:rPr>
                <w:rFonts w:cs="Times New Roman" w:ascii="Times New Roman" w:hAnsi="Times New Roman"/>
                <w:sz w:val="20"/>
                <w:szCs w:val="20"/>
              </w:rPr>
              <w:t>0.502</w:t>
            </w:r>
          </w:p>
        </w:tc>
        <w:tc>
          <w:tcPr>
            <w:tcW w:w="1560" w:type="dxa"/>
            <w:tcBorders/>
            <w:shd w:fill="auto" w:val="clear"/>
            <w:tcMar>
              <w:left w:w="103" w:type="dxa"/>
            </w:tcMar>
          </w:tcPr>
          <w:p>
            <w:pPr>
              <w:pStyle w:val="Normal"/>
              <w:spacing w:lineRule="auto" w:line="240" w:before="0" w:after="0"/>
              <w:jc w:val="right"/>
              <w:rPr/>
            </w:pPr>
            <w:r>
              <w:rPr>
                <w:rFonts w:cs="Times New Roman" w:ascii="Times New Roman" w:hAnsi="Times New Roman"/>
                <w:sz w:val="20"/>
                <w:szCs w:val="20"/>
              </w:rPr>
              <w:t>0.300</w:t>
            </w:r>
          </w:p>
        </w:tc>
        <w:tc>
          <w:tcPr>
            <w:tcW w:w="1558" w:type="dxa"/>
            <w:tcBorders/>
            <w:shd w:fill="auto" w:val="clear"/>
            <w:tcMar>
              <w:left w:w="103" w:type="dxa"/>
            </w:tcMar>
          </w:tcPr>
          <w:p>
            <w:pPr>
              <w:pStyle w:val="Normal"/>
              <w:spacing w:lineRule="auto" w:line="240" w:before="0" w:after="0"/>
              <w:jc w:val="right"/>
              <w:rPr/>
            </w:pPr>
            <w:r>
              <w:rPr>
                <w:rFonts w:cs="Times New Roman" w:ascii="Times New Roman" w:hAnsi="Times New Roman"/>
                <w:sz w:val="20"/>
                <w:szCs w:val="20"/>
              </w:rPr>
              <w:t>1.747</w:t>
            </w:r>
          </w:p>
        </w:tc>
        <w:tc>
          <w:tcPr>
            <w:tcW w:w="1559" w:type="dxa"/>
            <w:tcBorders>
              <w:left w:val="nil"/>
              <w:right w:val="nil"/>
              <w:insideV w:val="nil"/>
            </w:tcBorders>
            <w:shd w:fill="auto" w:val="clear"/>
          </w:tcPr>
          <w:p>
            <w:pPr>
              <w:pStyle w:val="Normal"/>
              <w:spacing w:lineRule="auto" w:line="240" w:before="0" w:after="0"/>
              <w:jc w:val="right"/>
              <w:rPr/>
            </w:pPr>
            <w:r>
              <w:rPr>
                <w:rFonts w:cs="Times New Roman" w:ascii="Times New Roman" w:hAnsi="Times New Roman"/>
                <w:sz w:val="20"/>
                <w:szCs w:val="20"/>
              </w:rPr>
              <w:t>1.225</w:t>
            </w:r>
          </w:p>
        </w:tc>
        <w:tc>
          <w:tcPr>
            <w:tcW w:w="1559" w:type="dxa"/>
            <w:tcBorders/>
            <w:shd w:fill="auto" w:val="clear"/>
            <w:tcMar>
              <w:left w:w="103" w:type="dxa"/>
            </w:tcMar>
          </w:tcPr>
          <w:p>
            <w:pPr>
              <w:pStyle w:val="Normal"/>
              <w:spacing w:lineRule="auto" w:line="240" w:before="0" w:after="0"/>
              <w:jc w:val="right"/>
              <w:rPr/>
            </w:pPr>
            <w:r>
              <w:rPr>
                <w:rFonts w:cs="Times New Roman" w:ascii="Times New Roman" w:hAnsi="Times New Roman"/>
                <w:sz w:val="20"/>
                <w:szCs w:val="20"/>
              </w:rPr>
              <w:t>7</w:t>
            </w:r>
          </w:p>
        </w:tc>
      </w:tr>
      <w:tr>
        <w:trPr/>
        <w:tc>
          <w:tcPr>
            <w:tcW w:w="1830" w:type="dxa"/>
            <w:tcBorders/>
            <w:shd w:fill="auto" w:val="clear"/>
            <w:tcMar>
              <w:left w:w="103" w:type="dxa"/>
            </w:tcMar>
          </w:tcPr>
          <w:p>
            <w:pPr>
              <w:pStyle w:val="Normal"/>
              <w:spacing w:lineRule="auto" w:line="240" w:before="0" w:after="0"/>
              <w:rPr/>
            </w:pPr>
            <w:r>
              <w:rPr>
                <w:rFonts w:cs="Times New Roman" w:ascii="Times New Roman" w:hAnsi="Times New Roman"/>
              </w:rPr>
              <w:t>Difference</w:t>
            </w:r>
          </w:p>
        </w:tc>
        <w:tc>
          <w:tcPr>
            <w:tcW w:w="1558" w:type="dxa"/>
            <w:tcBorders/>
            <w:shd w:fill="auto" w:val="clear"/>
            <w:tcMar>
              <w:left w:w="103" w:type="dxa"/>
            </w:tcMar>
          </w:tcPr>
          <w:p>
            <w:pPr>
              <w:pStyle w:val="Normal"/>
              <w:spacing w:lineRule="auto" w:line="240" w:before="0" w:after="0"/>
              <w:jc w:val="right"/>
              <w:rPr/>
            </w:pPr>
            <w:r>
              <w:rPr>
                <w:rFonts w:cs="Times New Roman" w:ascii="Times New Roman" w:hAnsi="Times New Roman"/>
                <w:sz w:val="20"/>
                <w:szCs w:val="20"/>
              </w:rPr>
              <w:t>-0.029</w:t>
              <w:br/>
              <w:t>(-0.170, 0.112)</w:t>
            </w:r>
          </w:p>
        </w:tc>
        <w:tc>
          <w:tcPr>
            <w:tcW w:w="1560" w:type="dxa"/>
            <w:tcBorders/>
            <w:shd w:fill="auto" w:val="clear"/>
            <w:tcMar>
              <w:left w:w="103" w:type="dxa"/>
            </w:tcMar>
          </w:tcPr>
          <w:p>
            <w:pPr>
              <w:pStyle w:val="Normal"/>
              <w:spacing w:lineRule="auto" w:line="240" w:before="0" w:after="0"/>
              <w:jc w:val="right"/>
              <w:rPr/>
            </w:pPr>
            <w:r>
              <w:rPr>
                <w:rFonts w:cs="Times New Roman" w:ascii="Times New Roman" w:hAnsi="Times New Roman"/>
                <w:sz w:val="20"/>
                <w:szCs w:val="20"/>
              </w:rPr>
              <w:t>0.217</w:t>
              <w:br/>
              <w:t>(0.067, 0.372)</w:t>
            </w:r>
          </w:p>
        </w:tc>
        <w:tc>
          <w:tcPr>
            <w:tcW w:w="1558" w:type="dxa"/>
            <w:tcBorders/>
            <w:shd w:fill="auto" w:val="clear"/>
            <w:tcMar>
              <w:left w:w="103" w:type="dxa"/>
            </w:tcMar>
          </w:tcPr>
          <w:p>
            <w:pPr>
              <w:pStyle w:val="Normal"/>
              <w:spacing w:lineRule="auto" w:line="240" w:before="0" w:after="0"/>
              <w:jc w:val="right"/>
              <w:rPr/>
            </w:pPr>
            <w:r>
              <w:rPr>
                <w:rFonts w:cs="Times New Roman" w:ascii="Times New Roman" w:hAnsi="Times New Roman"/>
                <w:sz w:val="20"/>
                <w:szCs w:val="20"/>
              </w:rPr>
              <w:t>0.977</w:t>
              <w:br/>
              <w:t>(0.290, 1.665)</w:t>
            </w:r>
          </w:p>
        </w:tc>
        <w:tc>
          <w:tcPr>
            <w:tcW w:w="1559" w:type="dxa"/>
            <w:tcBorders>
              <w:left w:val="nil"/>
              <w:right w:val="nil"/>
              <w:insideV w:val="nil"/>
            </w:tcBorders>
            <w:shd w:fill="auto" w:val="clear"/>
          </w:tcPr>
          <w:p>
            <w:pPr>
              <w:pStyle w:val="Normal"/>
              <w:spacing w:lineRule="auto" w:line="240" w:before="0" w:after="0"/>
              <w:jc w:val="right"/>
              <w:rPr/>
            </w:pPr>
            <w:r>
              <w:rPr>
                <w:rFonts w:cs="Times New Roman" w:ascii="Times New Roman" w:hAnsi="Times New Roman"/>
                <w:sz w:val="20"/>
                <w:szCs w:val="20"/>
              </w:rPr>
              <w:t>0.146</w:t>
              <w:br/>
              <w:t>(0.021,0.271)</w:t>
            </w:r>
          </w:p>
        </w:tc>
        <w:tc>
          <w:tcPr>
            <w:tcW w:w="1559" w:type="dxa"/>
            <w:tcBorders/>
            <w:shd w:fill="auto" w:val="clear"/>
            <w:tcMar>
              <w:left w:w="103" w:type="dxa"/>
            </w:tcMar>
          </w:tcPr>
          <w:p>
            <w:pPr>
              <w:pStyle w:val="Normal"/>
              <w:spacing w:lineRule="auto" w:line="240" w:before="0" w:after="0"/>
              <w:jc w:val="right"/>
              <w:rPr/>
            </w:pPr>
            <w:r>
              <w:rPr>
                <w:rFonts w:cs="Times New Roman" w:ascii="Times New Roman" w:hAnsi="Times New Roman"/>
                <w:sz w:val="20"/>
                <w:szCs w:val="20"/>
              </w:rPr>
              <w:t>2</w:t>
            </w:r>
          </w:p>
        </w:tc>
      </w:tr>
    </w:tbl>
    <w:p>
      <w:pPr>
        <w:pStyle w:val="Normal"/>
        <w:rPr/>
      </w:pPr>
      <w:r>
        <w:rPr/>
      </w:r>
    </w:p>
    <w:p>
      <w:pPr>
        <w:pStyle w:val="Normal"/>
        <w:spacing w:before="0" w:after="160"/>
        <w:rPr/>
      </w:pPr>
      <w:r>
        <w:rPr>
          <w:rFonts w:cs="Times New Roman" w:ascii="Times New Roman" w:hAnsi="Times New Roman"/>
          <w:b/>
          <w:sz w:val="20"/>
          <w:szCs w:val="20"/>
        </w:rPr>
        <w:t>Supplementary Table 3:</w:t>
      </w:r>
      <w:r>
        <w:rPr>
          <w:rFonts w:cs="Times New Roman" w:ascii="Times New Roman" w:hAnsi="Times New Roman"/>
          <w:sz w:val="20"/>
          <w:szCs w:val="20"/>
        </w:rPr>
        <w:t xml:space="preserve"> Differences in coverage by phone type. All measures significantly differ from each other, with the exception of accelerometer coverage.</w:t>
      </w:r>
    </w:p>
    <w:sectPr>
      <w:type w:val="nextPage"/>
      <w:pgSz w:w="12240" w:h="15840"/>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ourier New">
    <w:charset w:val="01"/>
    <w:family w:val="roman"/>
    <w:pitch w:val="variable"/>
  </w:font>
  <w:font w:name="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1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en-US" w:eastAsia="en-US" w:bidi="ar-SA"/>
    </w:rPr>
  </w:style>
  <w:style w:type="character" w:styleId="DefaultParagraphFont" w:default="1">
    <w:name w:val="Default Paragraph Font"/>
    <w:uiPriority w:val="1"/>
    <w:semiHidden/>
    <w:unhideWhenUsed/>
    <w:qFormat/>
    <w:rPr/>
  </w:style>
  <w:style w:type="character" w:styleId="HTMLPreformattedChar" w:customStyle="1">
    <w:name w:val="HTML Preformatted Char"/>
    <w:basedOn w:val="DefaultParagraphFont"/>
    <w:link w:val="HTMLPreformatted"/>
    <w:uiPriority w:val="99"/>
    <w:semiHidden/>
    <w:qFormat/>
    <w:rsid w:val="00482bb1"/>
    <w:rPr>
      <w:rFonts w:ascii="Courier New" w:hAnsi="Courier New" w:eastAsia="Times New Roman" w:cs="Courier New"/>
      <w:sz w:val="20"/>
      <w:szCs w:val="20"/>
    </w:rPr>
  </w:style>
  <w:style w:type="character" w:styleId="BalloonTextChar" w:customStyle="1">
    <w:name w:val="Balloon Text Char"/>
    <w:basedOn w:val="DefaultParagraphFont"/>
    <w:link w:val="BalloonText"/>
    <w:uiPriority w:val="99"/>
    <w:semiHidden/>
    <w:qFormat/>
    <w:rsid w:val="00f255d7"/>
    <w:rPr>
      <w:rFonts w:ascii="Times New Roman" w:hAnsi="Times New Roman" w:cs="Times New Roman"/>
      <w:sz w:val="18"/>
      <w:szCs w:val="18"/>
    </w:rPr>
  </w:style>
  <w:style w:type="character" w:styleId="Annotationreference">
    <w:name w:val="annotation reference"/>
    <w:basedOn w:val="DefaultParagraphFont"/>
    <w:uiPriority w:val="99"/>
    <w:semiHidden/>
    <w:unhideWhenUsed/>
    <w:qFormat/>
    <w:rsid w:val="00973dd7"/>
    <w:rPr>
      <w:sz w:val="18"/>
      <w:szCs w:val="18"/>
    </w:rPr>
  </w:style>
  <w:style w:type="character" w:styleId="CommentTextChar" w:customStyle="1">
    <w:name w:val="Comment Text Char"/>
    <w:basedOn w:val="DefaultParagraphFont"/>
    <w:link w:val="CommentText"/>
    <w:uiPriority w:val="99"/>
    <w:semiHidden/>
    <w:qFormat/>
    <w:rsid w:val="00973dd7"/>
    <w:rPr>
      <w:sz w:val="24"/>
      <w:szCs w:val="24"/>
    </w:rPr>
  </w:style>
  <w:style w:type="character" w:styleId="CommentSubjectChar" w:customStyle="1">
    <w:name w:val="Comment Subject Char"/>
    <w:basedOn w:val="CommentTextChar"/>
    <w:link w:val="CommentSubject"/>
    <w:uiPriority w:val="99"/>
    <w:semiHidden/>
    <w:qFormat/>
    <w:rsid w:val="00973dd7"/>
    <w:rPr>
      <w:b/>
      <w:bCs/>
      <w:sz w:val="20"/>
      <w:szCs w:val="20"/>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TMLPreformatted">
    <w:name w:val="HTML Preformatted"/>
    <w:basedOn w:val="Normal"/>
    <w:link w:val="HTMLPreformattedChar"/>
    <w:uiPriority w:val="99"/>
    <w:semiHidden/>
    <w:unhideWhenUsed/>
    <w:qFormat/>
    <w:rsid w:val="00482bb1"/>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rPr>
  </w:style>
  <w:style w:type="paragraph" w:styleId="BalloonText">
    <w:name w:val="Balloon Text"/>
    <w:basedOn w:val="Normal"/>
    <w:link w:val="BalloonTextChar"/>
    <w:uiPriority w:val="99"/>
    <w:semiHidden/>
    <w:unhideWhenUsed/>
    <w:qFormat/>
    <w:rsid w:val="00f255d7"/>
    <w:pPr>
      <w:spacing w:lineRule="auto" w:line="240" w:before="0" w:after="0"/>
    </w:pPr>
    <w:rPr>
      <w:rFonts w:ascii="Times New Roman" w:hAnsi="Times New Roman" w:cs="Times New Roman"/>
      <w:sz w:val="18"/>
      <w:szCs w:val="18"/>
    </w:rPr>
  </w:style>
  <w:style w:type="paragraph" w:styleId="Annotationtext">
    <w:name w:val="annotation text"/>
    <w:basedOn w:val="Normal"/>
    <w:link w:val="CommentTextChar"/>
    <w:uiPriority w:val="99"/>
    <w:semiHidden/>
    <w:unhideWhenUsed/>
    <w:qFormat/>
    <w:rsid w:val="00973dd7"/>
    <w:pPr>
      <w:spacing w:lineRule="auto" w:line="240"/>
    </w:pPr>
    <w:rPr>
      <w:sz w:val="24"/>
      <w:szCs w:val="24"/>
    </w:rPr>
  </w:style>
  <w:style w:type="paragraph" w:styleId="Annotationsubject">
    <w:name w:val="annotation subject"/>
    <w:basedOn w:val="Annotationtext"/>
    <w:link w:val="CommentSubjectChar"/>
    <w:uiPriority w:val="99"/>
    <w:semiHidden/>
    <w:unhideWhenUsed/>
    <w:qFormat/>
    <w:rsid w:val="00973dd7"/>
    <w:pPr/>
    <w:rPr>
      <w:b/>
      <w:bCs/>
      <w:sz w:val="20"/>
      <w:szCs w:val="20"/>
    </w:rPr>
  </w:style>
  <w:style w:type="paragraph" w:styleId="TableContents">
    <w:name w:val="Table Contents"/>
    <w:basedOn w:val="Normal"/>
    <w:qFormat/>
    <w:pPr/>
    <w:rPr/>
  </w:style>
  <w:style w:type="paragraph" w:styleId="TableHeading">
    <w:name w:val="Table Heading"/>
    <w:basedOn w:val="TableContents"/>
    <w:qFormat/>
    <w:pPr/>
    <w:rPr/>
  </w:style>
  <w:style w:type="paragraph" w:styleId="PreformattedText">
    <w:name w:val="Preformatted Text"/>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482bb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2811</TotalTime>
  <Application>LibreOffice/5.1.6.2$Linux_X86_64 LibreOffice_project/10m0$Build-2</Application>
  <Pages>7</Pages>
  <Words>1749</Words>
  <Characters>10285</Characters>
  <CharactersWithSpaces>11393</CharactersWithSpaces>
  <Paragraphs>686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2017-08-17T19:03:00Z</dcterms:created>
  <dc:creator>Patrick Staples</dc:creator>
  <dc:description/>
  <dc:language>en-US</dc:language>
  <cp:lastModifiedBy/>
  <dcterms:modified xsi:type="dcterms:W3CDTF">2017-11-13T13:02:16Z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