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6CE6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Supplementary Materials </w:t>
      </w:r>
    </w:p>
    <w:p w14:paraId="78636EBF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240" w:lineRule="auto"/>
        <w:ind w:left="40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Exercise movements video </w:t>
      </w:r>
    </w:p>
    <w:p w14:paraId="6BC5EB56" w14:textId="77777777" w:rsidR="00516932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99" w:lineRule="auto"/>
        <w:ind w:left="31" w:right="817" w:hanging="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For the accelerometer recordings, the set of movements/exercises prescribed to participants is included as a </w:t>
      </w:r>
      <w:r w:rsidR="00516932">
        <w:rPr>
          <w:color w:val="000000"/>
          <w:sz w:val="19"/>
          <w:szCs w:val="19"/>
        </w:rPr>
        <w:t xml:space="preserve">link to a </w:t>
      </w:r>
      <w:r>
        <w:rPr>
          <w:color w:val="000000"/>
          <w:sz w:val="19"/>
          <w:szCs w:val="19"/>
        </w:rPr>
        <w:t xml:space="preserve">video (approximately </w:t>
      </w:r>
      <w:r w:rsidR="00516932">
        <w:rPr>
          <w:color w:val="000000"/>
          <w:sz w:val="19"/>
          <w:szCs w:val="19"/>
        </w:rPr>
        <w:t>10</w:t>
      </w:r>
      <w:r>
        <w:rPr>
          <w:color w:val="000000"/>
          <w:sz w:val="19"/>
          <w:szCs w:val="19"/>
        </w:rPr>
        <w:t xml:space="preserve"> minutes in duration)</w:t>
      </w:r>
      <w:r w:rsidR="00516932">
        <w:rPr>
          <w:color w:val="000000"/>
          <w:sz w:val="19"/>
          <w:szCs w:val="19"/>
        </w:rPr>
        <w:t>:</w:t>
      </w:r>
      <w:r>
        <w:rPr>
          <w:color w:val="000000"/>
          <w:sz w:val="19"/>
          <w:szCs w:val="19"/>
        </w:rPr>
        <w:t xml:space="preserve"> </w:t>
      </w:r>
    </w:p>
    <w:p w14:paraId="199C8243" w14:textId="30016565" w:rsidR="00DA71AC" w:rsidRDefault="00DC5DDD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99" w:lineRule="auto"/>
        <w:ind w:left="31" w:right="817" w:hanging="4"/>
        <w:rPr>
          <w:color w:val="000000"/>
          <w:sz w:val="19"/>
          <w:szCs w:val="19"/>
        </w:rPr>
      </w:pPr>
      <w:hyperlink r:id="rId6" w:history="1">
        <w:r w:rsidR="009D2ABC" w:rsidRPr="009C75BE">
          <w:rPr>
            <w:rStyle w:val="Hyperlink"/>
            <w:sz w:val="19"/>
            <w:szCs w:val="19"/>
          </w:rPr>
          <w:t>https://www.youtube.com/watch?v=4G5JaRHxFYM&amp;t=1s</w:t>
        </w:r>
      </w:hyperlink>
    </w:p>
    <w:p w14:paraId="243DF4F8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40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Predicted vs. Groundtruth ALSFRS-R Confusion Matrices. </w:t>
      </w:r>
    </w:p>
    <w:p w14:paraId="77EBA382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98" w:lineRule="auto"/>
        <w:ind w:left="20" w:right="801" w:firstLine="12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Supplementary Table 1A shows the confusion matrix of the voice ALSFRS-R values using the voice-based model predicting </w:t>
      </w:r>
      <w:r>
        <w:rPr>
          <w:color w:val="000000"/>
          <w:sz w:val="20"/>
          <w:szCs w:val="20"/>
        </w:rPr>
        <w:t xml:space="preserve">the speech FRS score. The model has an overall accuracy of 73% (AUC of 0.86). On recordings, with ALSFRS-R scores of 4 (normal), the model predicts them accurately on 620 of the samples’ 692 (90%) samples. On samples with scores 3 and 2, the model predicts them with an accuracy of 57% (213 of 315, and 80 of 141 respectively). The model overestimates a </w:t>
      </w:r>
      <w:r>
        <w:rPr>
          <w:color w:val="000000"/>
          <w:sz w:val="19"/>
          <w:szCs w:val="19"/>
        </w:rPr>
        <w:t xml:space="preserve">rating of 3 and predicts those as a 4 (29% cases), and in the case of a 2, it confuses it as a 3 or 1 in 23% and 14% of the cases, respectively. It predicts 40% of the recordings rated as 1 accurately and tends to confuse them mostly as a 0 (29%) and at other </w:t>
      </w:r>
      <w:r>
        <w:rPr>
          <w:color w:val="000000"/>
          <w:sz w:val="20"/>
          <w:szCs w:val="20"/>
        </w:rPr>
        <w:t xml:space="preserve">times as a 2 or a 4.It predicts 65% of the recordings with a score of 0 as 0, and the remaining as 1. In all cases, the model’s </w:t>
      </w:r>
      <w:r>
        <w:rPr>
          <w:color w:val="000000"/>
          <w:sz w:val="19"/>
          <w:szCs w:val="19"/>
        </w:rPr>
        <w:t xml:space="preserve">misclassifications appear reasonable since the range of variation is plus/minus 1. </w:t>
      </w:r>
    </w:p>
    <w:p w14:paraId="25ECB521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98" w:lineRule="auto"/>
        <w:ind w:left="26" w:right="825" w:firstLine="306"/>
        <w:jc w:val="both"/>
        <w:rPr>
          <w:color w:val="000000"/>
          <w:sz w:val="19"/>
          <w:szCs w:val="19"/>
        </w:rPr>
      </w:pPr>
      <w:r>
        <w:rPr>
          <w:color w:val="000000"/>
          <w:sz w:val="20"/>
          <w:szCs w:val="20"/>
        </w:rPr>
        <w:t xml:space="preserve">Supplementary Table 1B shows the confusion matrix of the voice ALSFRS-R values using the accelerometer model. It presents the average predictions (rounded to the nearest integer) across ALSFRS-R scores pertaining to the six limb related functions (handwriting, cutting_food, dressing_hygiene, turning_in_bed, walking, climbing_stairs). As we can observe, the accelerometer model tends to overestimate the FRS score, providing a higher score if the participants rated themselves as 0,1,2 or 3. (i.e., it predicts these as 1,2,3 or 4 respectively just as often as it predicts the actual value). Overall, in 76% of the </w:t>
      </w:r>
      <w:r>
        <w:rPr>
          <w:color w:val="000000"/>
          <w:sz w:val="19"/>
          <w:szCs w:val="19"/>
        </w:rPr>
        <w:t xml:space="preserve">cases, the accelerometer predicts the same score or a score higher by 1 point. Performance of different accelerometer models Supplementary Table 2 shows the performance (AUC values) of all the accelerometer model variants described in the methods section on predicting the ALSFRS-R scores on the limb related functions. </w:t>
      </w:r>
    </w:p>
    <w:p w14:paraId="04ED730E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40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Performance on each of the test participants in the edaravone study. </w:t>
      </w:r>
    </w:p>
    <w:p w14:paraId="24639F2D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" w:line="299" w:lineRule="auto"/>
        <w:ind w:left="20" w:right="790" w:firstLine="12"/>
        <w:jc w:val="both"/>
        <w:rPr>
          <w:color w:val="000000"/>
          <w:sz w:val="19"/>
          <w:szCs w:val="19"/>
        </w:rPr>
      </w:pPr>
      <w:r>
        <w:rPr>
          <w:color w:val="000000"/>
          <w:sz w:val="20"/>
          <w:szCs w:val="20"/>
        </w:rPr>
        <w:t xml:space="preserve">Supplementary Figures 3 and 4 present the groundtruth and predicted labels for each of the 54 participants in the subset of test participants in the Edaravone study. Supplementary Figure 3 shows the groundtruth speech ALSFRS-R values and </w:t>
      </w:r>
      <w:r>
        <w:rPr>
          <w:color w:val="000000"/>
          <w:sz w:val="19"/>
          <w:szCs w:val="19"/>
        </w:rPr>
        <w:t xml:space="preserve">predictions from the voice model, it also presents the slopes before and after (i.e. pre- and post-) beginning edaravone treatment. Supplementary Figure 4 is an analog of Supplementary Figure 3 on the accelerometer model. It presents the sum of groundtruth ALSFRS-R values on the six limb-related functions and predictions from the accelerometer model along with the slopes before and after beginning edaravone treatment. </w:t>
      </w:r>
    </w:p>
    <w:p w14:paraId="527B34A6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42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5B9FAFAD" w14:textId="0F1D42FA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Supplementary Tables </w:t>
      </w:r>
    </w:p>
    <w:p w14:paraId="709F3501" w14:textId="7777777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/>
        <w:rPr>
          <w:b/>
          <w:color w:val="000000"/>
          <w:sz w:val="23"/>
          <w:szCs w:val="23"/>
        </w:rPr>
      </w:pPr>
    </w:p>
    <w:tbl>
      <w:tblPr>
        <w:tblW w:w="5523" w:type="dxa"/>
        <w:tblInd w:w="24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0"/>
        <w:gridCol w:w="363"/>
        <w:gridCol w:w="455"/>
        <w:gridCol w:w="438"/>
        <w:gridCol w:w="438"/>
        <w:gridCol w:w="537"/>
        <w:gridCol w:w="537"/>
        <w:gridCol w:w="915"/>
      </w:tblGrid>
      <w:tr w:rsidR="00DA71AC" w14:paraId="6C1889C5" w14:textId="77777777" w:rsidTr="00D8462F">
        <w:trPr>
          <w:trHeight w:val="306"/>
        </w:trPr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64D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Speech </w:t>
            </w:r>
          </w:p>
        </w:tc>
        <w:tc>
          <w:tcPr>
            <w:tcW w:w="3683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0D358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Predicted Scores</w:t>
            </w:r>
          </w:p>
        </w:tc>
      </w:tr>
      <w:tr w:rsidR="00DA71AC" w14:paraId="1E36C623" w14:textId="77777777" w:rsidTr="00D8462F">
        <w:trPr>
          <w:trHeight w:val="326"/>
        </w:trPr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2A41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B17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0DD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00B57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CEA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233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4F6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C20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Total</w:t>
            </w:r>
          </w:p>
        </w:tc>
      </w:tr>
      <w:tr w:rsidR="00DA71AC" w14:paraId="666F9398" w14:textId="77777777" w:rsidTr="00D8462F">
        <w:trPr>
          <w:trHeight w:val="326"/>
        </w:trPr>
        <w:tc>
          <w:tcPr>
            <w:tcW w:w="1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F1A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Ground-truth scores</w:t>
            </w: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2A9B" w14:textId="461663B7" w:rsidR="00DA71AC" w:rsidRDefault="00DA71AC" w:rsidP="006A3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 </w:t>
            </w: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175E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13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8AA4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4A05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87051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9A22C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6E8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</w:tr>
      <w:tr w:rsidR="00DA71AC" w14:paraId="45FD25F9" w14:textId="77777777" w:rsidTr="00D8462F">
        <w:trPr>
          <w:trHeight w:val="298"/>
        </w:trPr>
        <w:tc>
          <w:tcPr>
            <w:tcW w:w="1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1FBC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45041" w14:textId="5E33F919" w:rsidR="00DA71AC" w:rsidRDefault="006A39F9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7A91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29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1BF8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41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0C48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14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1055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6328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14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EB5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103</w:t>
            </w:r>
          </w:p>
        </w:tc>
      </w:tr>
      <w:tr w:rsidR="00DA71AC" w14:paraId="125DF1B0" w14:textId="77777777" w:rsidTr="00D8462F">
        <w:trPr>
          <w:trHeight w:val="298"/>
        </w:trPr>
        <w:tc>
          <w:tcPr>
            <w:tcW w:w="1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923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B3EE" w14:textId="066A65E1" w:rsidR="00DA71AC" w:rsidRDefault="006A39F9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8AC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BB8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EE01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EAA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33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31FF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A2F1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141</w:t>
            </w:r>
          </w:p>
        </w:tc>
      </w:tr>
      <w:tr w:rsidR="00DA71AC" w14:paraId="079A3369" w14:textId="77777777" w:rsidTr="00D8462F">
        <w:trPr>
          <w:trHeight w:val="298"/>
        </w:trPr>
        <w:tc>
          <w:tcPr>
            <w:tcW w:w="1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A34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0F44" w14:textId="3AD327FA" w:rsidR="00DA71AC" w:rsidRDefault="006A39F9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79F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156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12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EE34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35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3D9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213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45877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110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B72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376</w:t>
            </w:r>
          </w:p>
        </w:tc>
      </w:tr>
      <w:tr w:rsidR="00DA71AC" w14:paraId="0BECCF1D" w14:textId="77777777" w:rsidTr="00D8462F">
        <w:trPr>
          <w:trHeight w:val="298"/>
        </w:trPr>
        <w:tc>
          <w:tcPr>
            <w:tcW w:w="1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2F28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EA8D" w14:textId="51B18759" w:rsidR="00DA71AC" w:rsidRDefault="006A39F9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D2B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098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B5A4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38A4C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58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4F0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620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0CC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692</w:t>
            </w:r>
          </w:p>
        </w:tc>
      </w:tr>
    </w:tbl>
    <w:p w14:paraId="16D25471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FE42C7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5489F6" w14:textId="59618C19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1027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Table 1 A. </w:t>
      </w:r>
      <w:r>
        <w:rPr>
          <w:color w:val="000000"/>
          <w:sz w:val="19"/>
          <w:szCs w:val="19"/>
        </w:rPr>
        <w:t xml:space="preserve">Voice prediction model confusion matrix indicating the number of predictions that replicate groundtruth self-reportedl ALSFRS-R scores for speech. </w:t>
      </w:r>
    </w:p>
    <w:p w14:paraId="0E486E8E" w14:textId="0BC5FE6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1027"/>
        <w:rPr>
          <w:color w:val="000000"/>
          <w:sz w:val="19"/>
          <w:szCs w:val="19"/>
        </w:rPr>
      </w:pPr>
    </w:p>
    <w:p w14:paraId="45BD6D77" w14:textId="7777777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1027"/>
        <w:rPr>
          <w:color w:val="000000"/>
          <w:sz w:val="19"/>
          <w:szCs w:val="19"/>
        </w:rPr>
      </w:pPr>
    </w:p>
    <w:tbl>
      <w:tblPr>
        <w:tblW w:w="5803" w:type="dxa"/>
        <w:tblInd w:w="2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1"/>
        <w:gridCol w:w="366"/>
        <w:gridCol w:w="451"/>
        <w:gridCol w:w="537"/>
        <w:gridCol w:w="537"/>
        <w:gridCol w:w="631"/>
        <w:gridCol w:w="540"/>
        <w:gridCol w:w="900"/>
      </w:tblGrid>
      <w:tr w:rsidR="00DA71AC" w14:paraId="5D8F3E06" w14:textId="77777777" w:rsidTr="00A953DB">
        <w:trPr>
          <w:trHeight w:val="306"/>
        </w:trPr>
        <w:tc>
          <w:tcPr>
            <w:tcW w:w="1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68A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Speech </w:t>
            </w:r>
          </w:p>
        </w:tc>
        <w:tc>
          <w:tcPr>
            <w:tcW w:w="396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490A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Predicted Scores</w:t>
            </w:r>
          </w:p>
        </w:tc>
      </w:tr>
      <w:tr w:rsidR="00DA71AC" w14:paraId="523340DA" w14:textId="77777777" w:rsidTr="00A953DB">
        <w:trPr>
          <w:trHeight w:val="326"/>
        </w:trPr>
        <w:tc>
          <w:tcPr>
            <w:tcW w:w="1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4BB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475A8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A77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512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74BB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BA6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4AA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A47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Total</w:t>
            </w:r>
          </w:p>
        </w:tc>
      </w:tr>
      <w:tr w:rsidR="00DA71AC" w14:paraId="4C381D32" w14:textId="77777777" w:rsidTr="00A953DB">
        <w:trPr>
          <w:trHeight w:val="326"/>
        </w:trPr>
        <w:tc>
          <w:tcPr>
            <w:tcW w:w="184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C53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Ground-truth scores</w:t>
            </w: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3FE5" w14:textId="6A77F560" w:rsidR="00DA71AC" w:rsidRDefault="00DA71AC" w:rsidP="00D84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3EA3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18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D186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120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C16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12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00D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D8D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E52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150</w:t>
            </w:r>
          </w:p>
        </w:tc>
      </w:tr>
      <w:tr w:rsidR="00DA71AC" w14:paraId="6084DD24" w14:textId="77777777" w:rsidTr="00A953DB">
        <w:trPr>
          <w:trHeight w:val="298"/>
        </w:trPr>
        <w:tc>
          <w:tcPr>
            <w:tcW w:w="18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EAD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4417" w14:textId="6349895E" w:rsidR="00DA71AC" w:rsidRDefault="00D8462F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235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E732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162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9CE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102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1B9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40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6F5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288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318</w:t>
            </w:r>
          </w:p>
        </w:tc>
      </w:tr>
      <w:tr w:rsidR="00DA71AC" w14:paraId="6B9A0A52" w14:textId="77777777" w:rsidTr="00A953DB">
        <w:trPr>
          <w:trHeight w:val="298"/>
        </w:trPr>
        <w:tc>
          <w:tcPr>
            <w:tcW w:w="18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86B7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161C" w14:textId="1727D0F0" w:rsidR="00DA71AC" w:rsidRDefault="00D8462F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252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27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F77F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166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5CA7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319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2F0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484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3BB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291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09F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1287</w:t>
            </w:r>
          </w:p>
        </w:tc>
      </w:tr>
      <w:tr w:rsidR="00DA71AC" w14:paraId="19DE1AF9" w14:textId="77777777" w:rsidTr="00A953DB">
        <w:trPr>
          <w:trHeight w:val="298"/>
        </w:trPr>
        <w:tc>
          <w:tcPr>
            <w:tcW w:w="18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ADCB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1DB67" w14:textId="6D874F57" w:rsidR="00DA71AC" w:rsidRDefault="00D8462F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ADB7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2C81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DBF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64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7D9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412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977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504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DF15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996</w:t>
            </w:r>
          </w:p>
        </w:tc>
      </w:tr>
      <w:tr w:rsidR="00DA71AC" w14:paraId="1BE6F8BB" w14:textId="77777777" w:rsidTr="00A953DB">
        <w:trPr>
          <w:trHeight w:val="298"/>
        </w:trPr>
        <w:tc>
          <w:tcPr>
            <w:tcW w:w="18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D7CF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05758" w14:textId="7AFBB9BC" w:rsidR="00DA71AC" w:rsidRDefault="00D8462F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37A4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B454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 </w:t>
            </w:r>
          </w:p>
        </w:tc>
        <w:tc>
          <w:tcPr>
            <w:tcW w:w="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D48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21 </w:t>
            </w:r>
          </w:p>
        </w:tc>
        <w:tc>
          <w:tcPr>
            <w:tcW w:w="6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387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183 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4B1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578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119C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782</w:t>
            </w:r>
          </w:p>
        </w:tc>
      </w:tr>
    </w:tbl>
    <w:p w14:paraId="06E0E711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0D3570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C807B7" w14:textId="26C14C72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6" w:right="828" w:firstLine="5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Table 1 B. </w:t>
      </w:r>
      <w:r>
        <w:rPr>
          <w:color w:val="000000"/>
          <w:sz w:val="19"/>
          <w:szCs w:val="19"/>
        </w:rPr>
        <w:t xml:space="preserve">FFT Multilabel MLP model. Confusion matrix of ground-truth ALSFRS-R scores with predicted ALSFRS-R scores on the sum of the scores from the six limb related functions (handwriting, cutting_food, dressing_hygiene, turning_in_bed, walking, climbing_stairs) [Sum of limb score predictions (argmax over the sum of the limb frs prediction distributions), Groundtruth is average of the sum of limb scores and rounded to the nearest integer.] </w:t>
      </w:r>
    </w:p>
    <w:p w14:paraId="609E663D" w14:textId="37C50E2C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6" w:right="828" w:firstLine="5"/>
        <w:rPr>
          <w:color w:val="000000"/>
          <w:sz w:val="19"/>
          <w:szCs w:val="19"/>
        </w:rPr>
      </w:pPr>
    </w:p>
    <w:p w14:paraId="1DBD89EC" w14:textId="7777777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6" w:right="828" w:firstLine="5"/>
        <w:rPr>
          <w:color w:val="000000"/>
          <w:sz w:val="19"/>
          <w:szCs w:val="19"/>
        </w:rPr>
      </w:pPr>
    </w:p>
    <w:tbl>
      <w:tblPr>
        <w:tblW w:w="9846" w:type="dxa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5"/>
        <w:gridCol w:w="1720"/>
        <w:gridCol w:w="1467"/>
        <w:gridCol w:w="1257"/>
        <w:gridCol w:w="1202"/>
        <w:gridCol w:w="1456"/>
        <w:gridCol w:w="879"/>
      </w:tblGrid>
      <w:tr w:rsidR="00DA71AC" w14:paraId="506FBEE1" w14:textId="77777777" w:rsidTr="003651B5">
        <w:trPr>
          <w:trHeight w:val="32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E56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Accelerometer Data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65E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Model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62AD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climbing_stairs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C26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cutting_food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0F7D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handwriting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FB81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turning_in_bed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5EF7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walking</w:t>
            </w:r>
          </w:p>
        </w:tc>
      </w:tr>
      <w:tr w:rsidR="00DA71AC" w14:paraId="6F7F6266" w14:textId="77777777" w:rsidTr="003651B5">
        <w:trPr>
          <w:trHeight w:val="32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AF1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TBVM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C71D4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Logistic Reg.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B5B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0.627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312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0.564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EC464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0.508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09A4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0.617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C63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0.564</w:t>
            </w:r>
          </w:p>
        </w:tc>
      </w:tr>
      <w:tr w:rsidR="00DA71AC" w14:paraId="4EA96C5E" w14:textId="77777777" w:rsidTr="003651B5">
        <w:trPr>
          <w:trHeight w:val="30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ED50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 xml:space="preserve">Raw 30Hz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054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small CNN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FE58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0.70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1F40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0.68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7DDA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0.60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0066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0.77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C3EF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0.75</w:t>
            </w:r>
          </w:p>
        </w:tc>
      </w:tr>
      <w:tr w:rsidR="00DA71AC" w14:paraId="1822DCC6" w14:textId="77777777" w:rsidTr="003651B5">
        <w:trPr>
          <w:trHeight w:val="30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F20AC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Uniform 1Hz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4E1C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Logistic Reg.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6A07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0.634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70E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0.593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AFA89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0.537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A035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0.602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8CA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0.586</w:t>
            </w:r>
          </w:p>
        </w:tc>
      </w:tr>
      <w:tr w:rsidR="00DA71AC" w14:paraId="5F33A204" w14:textId="77777777" w:rsidTr="003651B5">
        <w:trPr>
          <w:trHeight w:val="30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5B1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Uniform 1Hz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6B6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MLP (multi-label)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FCA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0.738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6F02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0.726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8AB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0.634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C3BB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0.753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C5AE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0.755</w:t>
            </w:r>
          </w:p>
        </w:tc>
      </w:tr>
      <w:tr w:rsidR="00DA71AC" w14:paraId="3008B57E" w14:textId="77777777" w:rsidTr="003651B5">
        <w:trPr>
          <w:trHeight w:val="306"/>
        </w:trPr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B4C51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FFT 1Hz </w:t>
            </w:r>
          </w:p>
        </w:tc>
        <w:tc>
          <w:tcPr>
            <w:tcW w:w="1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BA99A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MLP (multi-label) </w:t>
            </w:r>
          </w:p>
        </w:tc>
        <w:tc>
          <w:tcPr>
            <w:tcW w:w="14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63B2F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0.701 </w:t>
            </w: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436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0.733 </w:t>
            </w:r>
          </w:p>
        </w:tc>
        <w:tc>
          <w:tcPr>
            <w:tcW w:w="12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CA623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0.645 </w:t>
            </w:r>
          </w:p>
        </w:tc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31C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0.756 </w:t>
            </w:r>
          </w:p>
        </w:tc>
        <w:tc>
          <w:tcPr>
            <w:tcW w:w="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824D" w14:textId="77777777" w:rsidR="00DA71AC" w:rsidRDefault="00DA71AC" w:rsidP="00365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0.756</w:t>
            </w:r>
          </w:p>
        </w:tc>
      </w:tr>
    </w:tbl>
    <w:p w14:paraId="59275D5E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35BAA3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45D0BC" w14:textId="0B60F7B5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Table 2. </w:t>
      </w:r>
      <w:r>
        <w:rPr>
          <w:color w:val="000000"/>
          <w:sz w:val="19"/>
          <w:szCs w:val="19"/>
        </w:rPr>
        <w:t xml:space="preserve">FFT Multilabel MLP model. Confusion matrix of ground-truth ALSFRS-R scores with predicted ALSFRS-R scores on the sum of the scores from the six limb related functions (handwriting, cutting_food, dressing_hygiene, turning_in_bed, walking, climbing_stairs) [Sum of limb score predictions (argmax over the sum of the limb frs prediction distributions), Groundtruth is average of the sum of limb scores and rounded to the nearest integer.] </w:t>
      </w:r>
    </w:p>
    <w:p w14:paraId="220B8D7C" w14:textId="303F8066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0F2DA54B" w14:textId="652AF8B9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3C94C02D" w14:textId="319D5890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C5B5A76" w14:textId="57AA4C03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3B3305B4" w14:textId="2F6E9279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3FF5FBC2" w14:textId="5AC8061C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469F48B2" w14:textId="67B4BD69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BD362CD" w14:textId="17821D6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5AEC478" w14:textId="4CB41772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33F440F7" w14:textId="3C6D0152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3CD88C78" w14:textId="5A919DBA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F5CC303" w14:textId="44B206C8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CBB0570" w14:textId="2DCC9146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BEE0060" w14:textId="1491237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F0A55BD" w14:textId="6A87EE6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BD1CED7" w14:textId="3AF8FDC0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D2B7B19" w14:textId="081E71CF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300D244" w14:textId="218F39CC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0EA8F857" w14:textId="034BE20C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12BA1EE" w14:textId="51EFEA73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C021717" w14:textId="773CBAF9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6FDDD8C4" w14:textId="2CD1D03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082D8EF2" w14:textId="56D19FE5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42F0070E" w14:textId="0D4B8F63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26C880A3" w14:textId="74FBC57A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79D3D878" w14:textId="4F247D3D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45E55A90" w14:textId="0AD01225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6B54C205" w14:textId="2DA43CF1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10C2BE99" w14:textId="1A16AD48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</w:p>
    <w:p w14:paraId="07A2F6FB" w14:textId="77777777" w:rsid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3"/>
          <w:szCs w:val="23"/>
        </w:rPr>
      </w:pPr>
    </w:p>
    <w:p w14:paraId="0790A25F" w14:textId="77777777" w:rsidR="00DA71AC" w:rsidRDefault="00DA71AC" w:rsidP="005169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23" w:line="240" w:lineRule="auto"/>
        <w:ind w:right="833"/>
        <w:rPr>
          <w:b/>
          <w:color w:val="0000FF"/>
          <w:sz w:val="17"/>
          <w:szCs w:val="17"/>
        </w:rPr>
      </w:pPr>
    </w:p>
    <w:p w14:paraId="4DB3117F" w14:textId="0585394D" w:rsidR="00516932" w:rsidRPr="00516932" w:rsidRDefault="00516932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>Supplementary Figures</w:t>
      </w:r>
    </w:p>
    <w:p w14:paraId="52B1C32B" w14:textId="11E9B435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drawing>
          <wp:inline distT="19050" distB="19050" distL="19050" distR="19050" wp14:anchorId="08A1969D" wp14:editId="1237C21B">
            <wp:extent cx="4837246" cy="5053630"/>
            <wp:effectExtent l="0" t="0" r="1905" b="1270"/>
            <wp:docPr id="6" name="image4.png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Calendar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5240" cy="5061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992C5B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0" w:right="804" w:firstLine="10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1. </w:t>
      </w:r>
      <w:r>
        <w:rPr>
          <w:color w:val="000000"/>
          <w:sz w:val="19"/>
          <w:szCs w:val="19"/>
        </w:rPr>
        <w:t xml:space="preserve">Plots comparing slopes (r-values) on the subset of 54 test participants in the Edaravone study. The plots depict slopes (r-values) computed before (pre-Edaravone) and after (post-Edaravone) starting drug using the ALSFRS-R scores: (A) slopes from groundtruth speech scores, (B) slopes from speech scores as predicted by the voice model, (C) slopes from groundtruth limb scores [scores averaged over 6 limb-based movements], and (D) slopes from averaged limb-movement scores as predicted by the accelerometer model. The x-axis represents the slope (r-value) from scores after-drug (post-Edaravone), and the y-axis represents the slope (r-value) from scores before-drug (pre-Edaravone). In each plot, the IDs of participants (subjects) who had sufficient data to compute a slope both before and after starting the drug are highlighted in color. The participants who only had sufficient data to compute slope either before or after drug are represented in a lighter color in the background (their slope is 0 in the other case). </w:t>
      </w:r>
    </w:p>
    <w:p w14:paraId="77474977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1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04DA5318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57342C39" wp14:editId="0791687E">
            <wp:extent cx="6332547" cy="4025655"/>
            <wp:effectExtent l="0" t="0" r="0" b="0"/>
            <wp:docPr id="9" name="image2.png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Calendar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547" cy="402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B272BF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22" w:right="814" w:firstLine="9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2. </w:t>
      </w:r>
      <w:r>
        <w:rPr>
          <w:color w:val="000000"/>
          <w:sz w:val="19"/>
          <w:szCs w:val="19"/>
        </w:rPr>
        <w:t xml:space="preserve">Plots comparing the average respiratory functions’ ALSFRS-R at the start of drug with the slopes (r-values) computed after starting Edavarone on the subset of 54 test participants in the Edaravone cohort. The plots depict respiratory ALSFRS-R (averaged over 3 respiratory-related functions) computed at start or pre-Edaravone and slopes (r-values) computed after (post-Edaravone) using the ALSFRS-R scores: (A) slopes from groundtruth average respiratory scores, (B) slopes from groundtruth speech scores, (C) slopes from groundtruth limb scores [averaged over 6 limb-based movements], (D) slopes from speech scores as predicted by the voice model, and (E) slopes from averaged limb-movement scores as predicted by the accelerometer model. The x-axis represents the slope (r-value) from scores after-drug (post-Edaravone), and the y-axis represents the average respiratory ALSFRS-R at or before starting Edaravone. In each plot, the IDs of participants (subjects) who had sufficient data to compute a slope after starting the drug are highlighted in color. The remaining participants whose data was insufficient to compute slope after drug are represented in a lighter color in the background (their slope is 0). </w:t>
      </w:r>
    </w:p>
    <w:p w14:paraId="46E8D79D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5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6DA46DC9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70625ED2" wp14:editId="08DC8F36">
            <wp:extent cx="6332408" cy="6341277"/>
            <wp:effectExtent l="0" t="0" r="0" b="0"/>
            <wp:docPr id="8" name="image9.png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 descr="Calendar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408" cy="6341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14AA5C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2" w:right="82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3 A. </w:t>
      </w:r>
      <w:r>
        <w:rPr>
          <w:color w:val="000000"/>
          <w:sz w:val="19"/>
          <w:szCs w:val="19"/>
        </w:rPr>
        <w:t xml:space="preserve">[Voice model] 1-of-3 Groundtruth and predicted labels and slopes for before and after drug for all participants in the edaravone cohort. Higher resolution is included in the supplementary materials. </w:t>
      </w:r>
    </w:p>
    <w:p w14:paraId="2BD86C75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7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28C58099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106EB3E8" wp14:editId="01F881FC">
            <wp:extent cx="6332408" cy="6407793"/>
            <wp:effectExtent l="0" t="0" r="0" b="0"/>
            <wp:docPr id="4" name="image12.png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 descr="Calendar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408" cy="64077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E33AFC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2" w:right="82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3 B. </w:t>
      </w:r>
      <w:r>
        <w:rPr>
          <w:color w:val="000000"/>
          <w:sz w:val="19"/>
          <w:szCs w:val="19"/>
        </w:rPr>
        <w:t xml:space="preserve">[Voice model] 2-of-3 Groundtruth and predicted labels and slopes for before and after drug for all participants in the edaravone cohort. Higher resolution is included in the supplementary materials. </w:t>
      </w:r>
    </w:p>
    <w:p w14:paraId="175AA161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5" w:line="240" w:lineRule="auto"/>
        <w:ind w:right="833"/>
        <w:jc w:val="right"/>
        <w:rPr>
          <w:b/>
          <w:color w:val="0000FF"/>
          <w:sz w:val="17"/>
          <w:szCs w:val="17"/>
        </w:rPr>
        <w:sectPr w:rsidR="00DA71AC">
          <w:footerReference w:type="even" r:id="rId11"/>
          <w:footerReference w:type="default" r:id="rId12"/>
          <w:pgSz w:w="12240" w:h="15840"/>
          <w:pgMar w:top="1167" w:right="307" w:bottom="677" w:left="1108" w:header="0" w:footer="720" w:gutter="0"/>
          <w:pgNumType w:start="1"/>
          <w:cols w:space="720"/>
        </w:sectPr>
      </w:pPr>
    </w:p>
    <w:p w14:paraId="0AEDB2D3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359F4497" wp14:editId="3A17167F">
            <wp:extent cx="6332315" cy="8020933"/>
            <wp:effectExtent l="0" t="0" r="0" b="0"/>
            <wp:docPr id="2" name="image10.png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 descr="Calendar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315" cy="8020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F1FF0D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3 C. </w:t>
      </w:r>
      <w:r>
        <w:rPr>
          <w:color w:val="000000"/>
          <w:sz w:val="19"/>
          <w:szCs w:val="19"/>
        </w:rPr>
        <w:t xml:space="preserve">[Voice model] 3-of-3 Groundtruth and predicted labels and slopes for before and after drug for all participants in the edaravone cohort. Higher resolution is included in the supplementary materials. </w:t>
      </w:r>
    </w:p>
    <w:p w14:paraId="6DD26A9D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199" w:lineRule="auto"/>
        <w:rPr>
          <w:b/>
          <w:color w:val="0000FF"/>
          <w:sz w:val="17"/>
          <w:szCs w:val="17"/>
        </w:rPr>
        <w:sectPr w:rsidR="00DA71AC">
          <w:type w:val="continuous"/>
          <w:pgSz w:w="12240" w:h="15840"/>
          <w:pgMar w:top="1167" w:right="1440" w:bottom="677" w:left="1440" w:header="0" w:footer="720" w:gutter="0"/>
          <w:cols w:space="720" w:equalWidth="0">
            <w:col w:w="9360" w:space="0"/>
          </w:cols>
        </w:sectPr>
      </w:pPr>
    </w:p>
    <w:p w14:paraId="3C510185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22C6D51D" wp14:editId="40EA7E3F">
            <wp:extent cx="6332366" cy="6249391"/>
            <wp:effectExtent l="0" t="0" r="0" b="0"/>
            <wp:docPr id="5" name="image6.png" descr="A picture containing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 descr="A picture containing chart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366" cy="62493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B42828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82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4 A. </w:t>
      </w:r>
      <w:r>
        <w:rPr>
          <w:color w:val="000000"/>
          <w:sz w:val="19"/>
          <w:szCs w:val="19"/>
        </w:rPr>
        <w:t xml:space="preserve">[Accelerometer model] 1-of-3 Groundtruth and predicted labels and slopes for before and after drug for all participants in the edaravone cohort. Higher resolution is included in the supplementary materials. </w:t>
      </w:r>
    </w:p>
    <w:p w14:paraId="3C753C08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0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788CCCE7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7EFA0003" wp14:editId="57DF7E15">
            <wp:extent cx="6332374" cy="6345585"/>
            <wp:effectExtent l="0" t="0" r="0" b="0"/>
            <wp:docPr id="1" name="image1.png" descr="A picture containing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chart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374" cy="6345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9DBD7E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82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4 B. </w:t>
      </w:r>
      <w:r>
        <w:rPr>
          <w:color w:val="000000"/>
          <w:sz w:val="19"/>
          <w:szCs w:val="19"/>
        </w:rPr>
        <w:t xml:space="preserve">[Accelerometer model] 2-of-3 Groundtruth and predicted labels and slopes for before and after drug for all participants in the edaravone cohort. Higher resolution is included in the supplementary materials. </w:t>
      </w:r>
    </w:p>
    <w:p w14:paraId="5A7B631D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4" w:line="240" w:lineRule="auto"/>
        <w:ind w:right="833"/>
        <w:jc w:val="right"/>
        <w:rPr>
          <w:b/>
          <w:color w:val="0000FF"/>
          <w:sz w:val="17"/>
          <w:szCs w:val="17"/>
        </w:rPr>
      </w:pPr>
    </w:p>
    <w:p w14:paraId="4A962F4B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"/>
        <w:rPr>
          <w:b/>
          <w:color w:val="0000FF"/>
          <w:sz w:val="17"/>
          <w:szCs w:val="17"/>
        </w:rPr>
      </w:pPr>
      <w:r>
        <w:rPr>
          <w:b/>
          <w:noProof/>
          <w:color w:val="0000FF"/>
          <w:sz w:val="17"/>
          <w:szCs w:val="17"/>
        </w:rPr>
        <w:lastRenderedPageBreak/>
        <w:drawing>
          <wp:inline distT="19050" distB="19050" distL="19050" distR="19050" wp14:anchorId="33F4C35F" wp14:editId="4FF7E1E3">
            <wp:extent cx="6332297" cy="4430986"/>
            <wp:effectExtent l="0" t="0" r="0" b="0"/>
            <wp:docPr id="3" name="image3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Chart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97" cy="44309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A12F54" w14:textId="77777777" w:rsidR="00DA71AC" w:rsidRDefault="00DA71AC" w:rsidP="00DA71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9" w:lineRule="auto"/>
        <w:ind w:left="30" w:right="82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Supplementary Figure 4 C. </w:t>
      </w:r>
      <w:r>
        <w:rPr>
          <w:color w:val="000000"/>
          <w:sz w:val="19"/>
          <w:szCs w:val="19"/>
        </w:rPr>
        <w:t xml:space="preserve">[Accelerometer model] 3-of-3 Groundtruth and predicted labels and slopes for before and after drug for all participants in the edaravone cohort. Higher resolution is included in the supplementary materials. </w:t>
      </w:r>
    </w:p>
    <w:p w14:paraId="0E0D518F" w14:textId="77777777" w:rsidR="00D6580C" w:rsidRDefault="00D6580C"/>
    <w:sectPr w:rsidR="00D6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F33B" w14:textId="77777777" w:rsidR="00DC5DDD" w:rsidRDefault="00DC5DDD">
      <w:pPr>
        <w:spacing w:line="240" w:lineRule="auto"/>
      </w:pPr>
      <w:r>
        <w:separator/>
      </w:r>
    </w:p>
  </w:endnote>
  <w:endnote w:type="continuationSeparator" w:id="0">
    <w:p w14:paraId="2A6F6729" w14:textId="77777777" w:rsidR="00DC5DDD" w:rsidRDefault="00DC5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7290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A19B27" w14:textId="77777777" w:rsidR="00862944" w:rsidRDefault="00A953DB" w:rsidP="009C7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CA1145" w14:textId="77777777" w:rsidR="00862944" w:rsidRDefault="00DC5DDD" w:rsidP="003651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14509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B93B7" w14:textId="77777777" w:rsidR="00862944" w:rsidRDefault="00A953DB" w:rsidP="009C7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3ECCCA" w14:textId="77777777" w:rsidR="00862944" w:rsidRDefault="00DC5DDD" w:rsidP="003651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528A" w14:textId="77777777" w:rsidR="00DC5DDD" w:rsidRDefault="00DC5DDD">
      <w:pPr>
        <w:spacing w:line="240" w:lineRule="auto"/>
      </w:pPr>
      <w:r>
        <w:separator/>
      </w:r>
    </w:p>
  </w:footnote>
  <w:footnote w:type="continuationSeparator" w:id="0">
    <w:p w14:paraId="6A1F68AD" w14:textId="77777777" w:rsidR="00DC5DDD" w:rsidRDefault="00DC5D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0C"/>
    <w:rsid w:val="00516932"/>
    <w:rsid w:val="00576DF5"/>
    <w:rsid w:val="006A39F9"/>
    <w:rsid w:val="00830EC0"/>
    <w:rsid w:val="009D2ABC"/>
    <w:rsid w:val="00A953DB"/>
    <w:rsid w:val="00D6580C"/>
    <w:rsid w:val="00D8462F"/>
    <w:rsid w:val="00DA71AC"/>
    <w:rsid w:val="00D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C1773"/>
  <w15:chartTrackingRefBased/>
  <w15:docId w15:val="{C65EBC3A-1D4C-BF42-85FA-3DCB7A73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1AC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71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1AC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A71AC"/>
  </w:style>
  <w:style w:type="character" w:styleId="Hyperlink">
    <w:name w:val="Hyperlink"/>
    <w:basedOn w:val="DefaultParagraphFont"/>
    <w:uiPriority w:val="99"/>
    <w:unhideWhenUsed/>
    <w:rsid w:val="009D2A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G5JaRHxFYM&amp;t=1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Vieira</dc:creator>
  <cp:keywords/>
  <dc:description/>
  <cp:lastModifiedBy>Fernando Vieira</cp:lastModifiedBy>
  <cp:revision>2</cp:revision>
  <cp:lastPrinted>2022-02-24T13:24:00Z</cp:lastPrinted>
  <dcterms:created xsi:type="dcterms:W3CDTF">2022-02-28T14:36:00Z</dcterms:created>
  <dcterms:modified xsi:type="dcterms:W3CDTF">2022-02-28T14:36:00Z</dcterms:modified>
</cp:coreProperties>
</file>